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ascii="宋体" w:hAnsi="宋体" w:eastAsia="宋体" w:cs="宋体"/>
          <w:b/>
          <w:bCs/>
          <w:sz w:val="44"/>
          <w:szCs w:val="44"/>
        </w:rPr>
        <w:t>南通市行政处罚信息信用修复</w:t>
      </w:r>
      <w:r>
        <w:rPr>
          <w:rFonts w:hint="eastAsia" w:ascii="宋体" w:hAnsi="宋体" w:eastAsia="宋体" w:cs="宋体"/>
          <w:b/>
          <w:bCs/>
          <w:sz w:val="44"/>
          <w:szCs w:val="44"/>
          <w:lang w:val="en-US" w:eastAsia="zh-CN"/>
        </w:rPr>
        <w:t>提醒书</w:t>
      </w:r>
    </w:p>
    <w:p>
      <w:pPr>
        <w:ind w:firstLine="480" w:firstLineChars="200"/>
        <w:rPr>
          <w:rFonts w:ascii="宋体" w:hAnsi="宋体" w:eastAsia="宋体" w:cs="宋体"/>
          <w:sz w:val="24"/>
        </w:rPr>
      </w:pPr>
    </w:p>
    <w:p>
      <w:pPr>
        <w:spacing w:line="600" w:lineRule="exact"/>
        <w:ind w:firstLine="560" w:firstLineChars="200"/>
        <w:rPr>
          <w:rFonts w:ascii="仿宋" w:hAnsi="仿宋" w:eastAsia="仿宋" w:cs="宋体"/>
          <w:sz w:val="28"/>
          <w:szCs w:val="28"/>
        </w:rPr>
      </w:pPr>
      <w:r>
        <w:rPr>
          <w:rFonts w:ascii="仿宋" w:hAnsi="仿宋" w:eastAsia="仿宋" w:cs="宋体"/>
          <w:sz w:val="28"/>
          <w:szCs w:val="28"/>
        </w:rPr>
        <w:t>根据《中华人民共和国行政处罚法》以及国家、省、市关于做好行政许可和行政处罚等信用信息公示的工作要求，贵单位(个人）此次的行政处罚信息将纳入各级公共信用信息系统，并在各级信用网站进行公示。目前，行政处罚信息已广泛应用于行政管理、公共服务、招投投标、政府采购、评选评优及金融信贷等领域，可能会对单位（个人）的生产生活产生一定的影响。</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修复途径</w:t>
      </w:r>
      <w:r>
        <w:rPr>
          <w:rFonts w:hint="eastAsia" w:ascii="仿宋" w:hAnsi="仿宋" w:eastAsia="仿宋" w:cs="宋体"/>
          <w:sz w:val="28"/>
          <w:szCs w:val="28"/>
          <w:lang w:eastAsia="zh-CN"/>
        </w:rPr>
        <w:t>：</w:t>
      </w:r>
      <w:r>
        <w:rPr>
          <w:rFonts w:hint="eastAsia" w:ascii="仿宋" w:hAnsi="仿宋" w:eastAsia="仿宋" w:cs="宋体"/>
          <w:sz w:val="28"/>
          <w:szCs w:val="28"/>
        </w:rPr>
        <w:t>线上线下两种渠道。线上请及时登录“信用中国”网站（https://www.creditchina.gov.cn/）进行信用修复。线下可提交修复材料归至南通市公共信用信息中心服务窗</w:t>
      </w:r>
      <w:r>
        <w:rPr>
          <w:rFonts w:ascii="仿宋" w:hAnsi="仿宋" w:eastAsia="仿宋" w:cs="宋体"/>
          <w:sz w:val="28"/>
          <w:szCs w:val="28"/>
        </w:rPr>
        <w:t>口（南通市工农南路150号市政务中心一楼50号窗口，联系电话：0513</w:t>
      </w:r>
      <w:r>
        <w:rPr>
          <w:rFonts w:hint="eastAsia" w:ascii="仿宋" w:hAnsi="仿宋" w:eastAsia="仿宋" w:cs="宋体"/>
          <w:sz w:val="28"/>
          <w:szCs w:val="28"/>
        </w:rPr>
        <w:t>-</w:t>
      </w:r>
      <w:r>
        <w:rPr>
          <w:rFonts w:ascii="仿宋" w:hAnsi="仿宋" w:eastAsia="仿宋" w:cs="宋体"/>
          <w:sz w:val="28"/>
          <w:szCs w:val="28"/>
        </w:rPr>
        <w:t>59001939）进行</w:t>
      </w:r>
      <w:r>
        <w:rPr>
          <w:rFonts w:hint="eastAsia" w:ascii="仿宋" w:hAnsi="仿宋" w:eastAsia="仿宋" w:cs="宋体"/>
          <w:sz w:val="28"/>
          <w:szCs w:val="28"/>
        </w:rPr>
        <w:t>信用</w:t>
      </w:r>
      <w:r>
        <w:rPr>
          <w:rFonts w:ascii="仿宋" w:hAnsi="仿宋" w:eastAsia="仿宋" w:cs="宋体"/>
          <w:sz w:val="28"/>
          <w:szCs w:val="28"/>
        </w:rPr>
        <w:t>修复。</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注意事项</w:t>
      </w:r>
      <w:r>
        <w:rPr>
          <w:rFonts w:hint="eastAsia" w:ascii="仿宋" w:hAnsi="仿宋" w:eastAsia="仿宋" w:cs="宋体"/>
          <w:sz w:val="28"/>
          <w:szCs w:val="28"/>
          <w:lang w:eastAsia="zh-CN"/>
        </w:rPr>
        <w:t>：</w:t>
      </w:r>
      <w:r>
        <w:rPr>
          <w:rFonts w:hint="eastAsia" w:ascii="仿宋" w:hAnsi="仿宋" w:eastAsia="仿宋" w:cs="宋体"/>
          <w:sz w:val="28"/>
          <w:szCs w:val="28"/>
        </w:rPr>
        <w:t>我市所有线上线下信用修复及培训均为公益性质，无需企业承担费用。</w:t>
      </w:r>
    </w:p>
    <w:p>
      <w:pPr>
        <w:spacing w:line="600" w:lineRule="exact"/>
        <w:ind w:firstLine="560" w:firstLineChars="200"/>
        <w:rPr>
          <w:rFonts w:ascii="仿宋" w:hAnsi="仿宋" w:eastAsia="仿宋" w:cs="宋体"/>
          <w:sz w:val="28"/>
          <w:szCs w:val="28"/>
        </w:rPr>
      </w:pPr>
      <w:r>
        <w:rPr>
          <w:rFonts w:ascii="仿宋" w:hAnsi="仿宋" w:eastAsia="仿宋" w:cs="宋体"/>
          <w:sz w:val="28"/>
          <w:szCs w:val="28"/>
        </w:rPr>
        <w:t>提示：涉及一般失信行为的最短公示期为3个月；涉及严重失信行为的最短公示期为6个月；涉及特定严重失信行为3年公示期间不得修复。</w:t>
      </w:r>
    </w:p>
    <w:p>
      <w:pPr>
        <w:spacing w:line="600" w:lineRule="exact"/>
        <w:ind w:firstLine="280" w:firstLineChars="100"/>
        <w:jc w:val="center"/>
        <w:rPr>
          <w:rFonts w:ascii="仿宋" w:hAnsi="仿宋" w:eastAsia="仿宋" w:cs="宋体"/>
          <w:sz w:val="28"/>
          <w:szCs w:val="28"/>
        </w:rPr>
      </w:pPr>
      <w:r>
        <w:rPr>
          <w:rFonts w:hint="eastAsia" w:ascii="仿宋" w:hAnsi="仿宋" w:eastAsia="仿宋" w:cs="宋体"/>
          <w:sz w:val="28"/>
          <w:szCs w:val="28"/>
        </w:rPr>
        <w:t xml:space="preserve">                  </w:t>
      </w:r>
      <w:r>
        <w:rPr>
          <w:rFonts w:ascii="仿宋" w:hAnsi="仿宋" w:eastAsia="仿宋" w:cs="宋体"/>
          <w:sz w:val="28"/>
          <w:szCs w:val="28"/>
        </w:rPr>
        <w:t>南通市社会信用体系建设领导小组办公室</w:t>
      </w:r>
      <w:r>
        <w:rPr>
          <w:rFonts w:ascii="仿宋" w:hAnsi="仿宋" w:eastAsia="仿宋" w:cs="宋体"/>
          <w:sz w:val="28"/>
          <w:szCs w:val="28"/>
        </w:rPr>
        <w:br w:type="textWrapping"/>
      </w:r>
      <w:r>
        <w:rPr>
          <w:rFonts w:hint="eastAsia" w:ascii="仿宋" w:hAnsi="仿宋" w:eastAsia="仿宋" w:cs="宋体"/>
          <w:sz w:val="28"/>
          <w:szCs w:val="28"/>
        </w:rPr>
        <w:t xml:space="preserve">                 </w:t>
      </w:r>
      <w:r>
        <w:rPr>
          <w:rFonts w:ascii="仿宋" w:hAnsi="仿宋" w:eastAsia="仿宋" w:cs="宋体"/>
          <w:sz w:val="28"/>
          <w:szCs w:val="28"/>
        </w:rPr>
        <w:t>南通市公共信用信息中心</w:t>
      </w:r>
    </w:p>
    <w:p>
      <w:pPr>
        <w:spacing w:line="600" w:lineRule="exact"/>
        <w:rPr>
          <w:rFonts w:ascii="仿宋" w:hAnsi="仿宋" w:eastAsia="仿宋" w:cs="宋体"/>
          <w:sz w:val="28"/>
          <w:szCs w:val="28"/>
          <w:u w:val="single"/>
        </w:rPr>
      </w:pPr>
      <w:r>
        <w:rPr>
          <w:rFonts w:hint="eastAsia" w:ascii="仿宋" w:hAnsi="仿宋" w:eastAsia="仿宋" w:cs="宋体"/>
          <w:sz w:val="28"/>
          <w:szCs w:val="28"/>
        </w:rPr>
        <w:t>本单位于   年   月  日收到该提醒书</w:t>
      </w:r>
      <w:r>
        <w:rPr>
          <w:rFonts w:hint="eastAsia" w:ascii="仿宋" w:hAnsi="仿宋" w:eastAsia="仿宋" w:cs="宋体"/>
          <w:sz w:val="28"/>
          <w:szCs w:val="28"/>
          <w:lang w:val="en-US" w:eastAsia="zh-CN"/>
        </w:rPr>
        <w:t>及</w:t>
      </w:r>
      <w:r>
        <w:rPr>
          <w:rFonts w:hint="eastAsia" w:ascii="仿宋" w:hAnsi="仿宋" w:eastAsia="仿宋" w:cs="宋体"/>
          <w:sz w:val="28"/>
          <w:szCs w:val="28"/>
        </w:rPr>
        <w:t>信用修复流程告知书。</w:t>
      </w:r>
    </w:p>
    <w:p>
      <w:pPr>
        <w:pStyle w:val="2"/>
        <w:spacing w:line="590" w:lineRule="exact"/>
        <w:jc w:val="both"/>
        <w:rPr>
          <w:rFonts w:hint="eastAsia" w:ascii="仿宋" w:hAnsi="仿宋" w:eastAsia="仿宋" w:cs="宋体"/>
          <w:sz w:val="28"/>
          <w:szCs w:val="28"/>
          <w:lang w:val="en-US" w:eastAsia="zh-CN"/>
        </w:rPr>
      </w:pPr>
      <w:r>
        <w:rPr>
          <w:rFonts w:hint="eastAsia" w:ascii="仿宋" w:hAnsi="仿宋" w:eastAsia="仿宋" w:cs="宋体"/>
          <w:sz w:val="28"/>
          <w:szCs w:val="28"/>
        </w:rPr>
        <w:t xml:space="preserve">签收人：   </w:t>
      </w:r>
      <w:r>
        <w:rPr>
          <w:rFonts w:hint="eastAsia" w:ascii="仿宋" w:hAnsi="仿宋" w:eastAsia="仿宋" w:cs="宋体"/>
          <w:sz w:val="28"/>
          <w:szCs w:val="28"/>
          <w:lang w:val="en-US" w:eastAsia="zh-CN"/>
        </w:rPr>
        <w:t xml:space="preserve">          </w:t>
      </w:r>
    </w:p>
    <w:p>
      <w:pPr>
        <w:pStyle w:val="2"/>
        <w:spacing w:line="240" w:lineRule="auto"/>
        <w:jc w:val="center"/>
        <w:rPr>
          <w:rFonts w:hint="eastAsia" w:ascii="仿宋" w:hAnsi="仿宋" w:eastAsia="仿宋" w:cs="宋体"/>
          <w:sz w:val="28"/>
          <w:szCs w:val="28"/>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（后附失信行为分类</w:t>
      </w:r>
      <w:r>
        <w:rPr>
          <w:rFonts w:hint="eastAsia" w:ascii="仿宋" w:hAnsi="仿宋" w:eastAsia="仿宋" w:cs="宋体"/>
          <w:sz w:val="28"/>
          <w:szCs w:val="28"/>
          <w:lang w:val="en-US" w:eastAsia="zh-CN"/>
        </w:rPr>
        <w:t>及</w:t>
      </w:r>
      <w:r>
        <w:rPr>
          <w:rFonts w:hint="eastAsia" w:ascii="仿宋" w:hAnsi="仿宋" w:eastAsia="仿宋" w:cs="宋体"/>
          <w:sz w:val="28"/>
          <w:szCs w:val="28"/>
        </w:rPr>
        <w:t>信用修复流程告知书）</w:t>
      </w:r>
      <w:bookmarkStart w:id="0" w:name="_GoBack"/>
      <w:bookmarkEnd w:id="0"/>
    </w:p>
    <w:p>
      <w:pPr>
        <w:spacing w:line="360" w:lineRule="auto"/>
        <w:ind w:firstLine="360" w:firstLineChars="100"/>
        <w:jc w:val="center"/>
        <w:rPr>
          <w:rFonts w:ascii="宋体" w:hAnsi="宋体" w:eastAsia="宋体" w:cs="宋体"/>
          <w:sz w:val="36"/>
          <w:szCs w:val="36"/>
        </w:rPr>
      </w:pPr>
      <w:r>
        <w:rPr>
          <w:rFonts w:hint="eastAsia" w:ascii="宋体" w:hAnsi="宋体" w:eastAsia="宋体" w:cs="宋体"/>
          <w:sz w:val="36"/>
          <w:szCs w:val="36"/>
        </w:rPr>
        <w:t>《南通市卫生健康行政处罚信息信用修复工作指引（试行）》通知中失信行为分类</w:t>
      </w:r>
    </w:p>
    <w:p>
      <w:pPr>
        <w:spacing w:line="312" w:lineRule="auto"/>
        <w:ind w:firstLine="480" w:firstLineChars="200"/>
        <w:rPr>
          <w:rFonts w:ascii="仿宋" w:hAnsi="仿宋" w:eastAsia="仿宋" w:cs="宋体"/>
          <w:sz w:val="24"/>
        </w:rPr>
      </w:pPr>
      <w:r>
        <w:rPr>
          <w:rFonts w:hint="eastAsia" w:ascii="仿宋" w:hAnsi="仿宋" w:eastAsia="仿宋" w:cs="宋体"/>
          <w:sz w:val="24"/>
        </w:rPr>
        <w:t>失信行为按照造成后果的严重程度，划分为一般失信行为、严重失信行为和特定严重失信行为。</w:t>
      </w:r>
    </w:p>
    <w:p>
      <w:pPr>
        <w:spacing w:line="312" w:lineRule="auto"/>
        <w:ind w:firstLine="480" w:firstLineChars="200"/>
        <w:rPr>
          <w:rFonts w:ascii="仿宋" w:hAnsi="仿宋" w:eastAsia="仿宋" w:cs="宋体"/>
          <w:sz w:val="24"/>
        </w:rPr>
      </w:pPr>
      <w:r>
        <w:rPr>
          <w:rFonts w:ascii="仿宋" w:hAnsi="仿宋" w:eastAsia="仿宋" w:cs="宋体"/>
          <w:sz w:val="24"/>
        </w:rPr>
        <w:t>一般失信行为和严重失信行为的行政处罚信息符合规定条件的，经失信主体申请，可以进行信用修复；特定严重失信行为不予信用修复。</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本指引所称一般失信行为的行政处罚信息，是指对性质较轻、情节轻微、社会危害程度较小的违法失信行为的行政处罚信息。认定为一般失信行为的情形包括：处以警告；对个人处以五千元以下罚款的；对法人或其他组织处以5万元以下罚款的，但依法最低罚款金额（含“处”“并处”，不含“可以处”“并可以处”）5万元以上的，为8万元。</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本指引所称严重失信行为的行政处罚信息，是指对性质恶劣、情节严重、社会危害程度较大的违法失信行为的行政处罚信息，包括以下情形：</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(一）对个人处以五千元（含）以上罚款，或处以暂停一年以上执业活动或吊销执业许可证件的；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(二）对法人或其他组织处以5万元以上罚款的，但依法最低罚款金额（含“处”“并处”，不含“可以处”“并可以处”）5万元以上的，为8万元，或处以责令停产停业或吊销机构执业许可证件的；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(三）采取妨碍、逃避、暴力或者其他手段抗拒或拒不配合执法人员查处违法行为的；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(四）造成严重社会影响的；</w:t>
      </w:r>
      <w:r>
        <w:rPr>
          <w:rFonts w:ascii="仿宋" w:hAnsi="仿宋" w:eastAsia="仿宋" w:cs="宋体"/>
          <w:sz w:val="24"/>
        </w:rPr>
        <w:br w:type="textWrapping"/>
      </w:r>
      <w:r>
        <w:rPr>
          <w:rFonts w:hint="eastAsia" w:ascii="仿宋" w:hAnsi="仿宋" w:eastAsia="仿宋" w:cs="宋体"/>
          <w:sz w:val="24"/>
        </w:rPr>
        <w:t xml:space="preserve">    (五）法律、法规、规章明确规定构成情节严重的。</w:t>
      </w:r>
    </w:p>
    <w:p>
      <w:pPr>
        <w:spacing w:line="312" w:lineRule="auto"/>
        <w:ind w:firstLine="480" w:firstLineChars="200"/>
        <w:rPr>
          <w:rFonts w:ascii="仿宋" w:hAnsi="仿宋" w:eastAsia="仿宋" w:cs="宋体"/>
          <w:sz w:val="24"/>
        </w:rPr>
      </w:pPr>
      <w:r>
        <w:rPr>
          <w:rFonts w:hint="eastAsia" w:ascii="仿宋" w:hAnsi="仿宋" w:eastAsia="仿宋" w:cs="宋体"/>
          <w:sz w:val="24"/>
        </w:rPr>
        <w:t>本指引所称特定严重失信行为的行政处罚信息包括以下情形：</w:t>
      </w:r>
    </w:p>
    <w:p>
      <w:pPr>
        <w:spacing w:line="312" w:lineRule="auto"/>
        <w:ind w:firstLine="480" w:firstLineChars="200"/>
        <w:rPr>
          <w:rFonts w:ascii="仿宋" w:hAnsi="仿宋" w:eastAsia="仿宋" w:cs="宋体"/>
          <w:sz w:val="24"/>
        </w:rPr>
      </w:pPr>
      <w:r>
        <w:rPr>
          <w:rFonts w:ascii="仿宋" w:hAnsi="仿宋" w:eastAsia="仿宋" w:cs="宋体"/>
          <w:sz w:val="24"/>
        </w:rPr>
        <w:t>(一）</w:t>
      </w:r>
      <w:r>
        <w:rPr>
          <w:rFonts w:hint="eastAsia" w:ascii="仿宋" w:hAnsi="仿宋" w:eastAsia="仿宋" w:cs="宋体"/>
          <w:sz w:val="24"/>
        </w:rPr>
        <w:t>在食品药品、安全生产等重点领域被处以责令停产停业，或吊销许可</w:t>
      </w:r>
    </w:p>
    <w:p>
      <w:pPr>
        <w:adjustRightInd w:val="0"/>
        <w:spacing w:line="312" w:lineRule="auto"/>
        <w:jc w:val="left"/>
        <w:textAlignment w:val="bottom"/>
        <w:rPr>
          <w:rFonts w:ascii="仿宋" w:hAnsi="仿宋" w:eastAsia="仿宋" w:cs="宋体"/>
          <w:sz w:val="24"/>
        </w:rPr>
      </w:pPr>
      <w:r>
        <w:rPr>
          <w:rFonts w:hint="eastAsia" w:ascii="仿宋" w:hAnsi="仿宋" w:eastAsia="仿宋" w:cs="宋体"/>
          <w:sz w:val="24"/>
        </w:rPr>
        <w:t>证、吊销执照的行政处罚信息；</w:t>
      </w:r>
    </w:p>
    <w:p>
      <w:pPr>
        <w:spacing w:line="312" w:lineRule="auto"/>
        <w:ind w:firstLine="480" w:firstLineChars="200"/>
        <w:rPr>
          <w:rFonts w:ascii="仿宋" w:hAnsi="仿宋" w:eastAsia="仿宋" w:cs="宋体"/>
          <w:sz w:val="24"/>
        </w:rPr>
      </w:pPr>
      <w:r>
        <w:rPr>
          <w:rFonts w:hint="eastAsia" w:ascii="仿宋" w:hAnsi="仿宋" w:eastAsia="仿宋" w:cs="宋体"/>
          <w:sz w:val="24"/>
        </w:rPr>
        <w:t>(二）因无证照经营、制售假冒伪劣产品、侵害消费者合法权益等违法行为被处以责令停产停业，或吊销许可证、吊销执照的行政处罚信息；</w:t>
      </w:r>
      <w:r>
        <w:rPr>
          <w:rFonts w:hint="eastAsia" w:ascii="仿宋" w:hAnsi="仿宋" w:eastAsia="仿宋" w:cs="宋体"/>
          <w:sz w:val="24"/>
        </w:rPr>
        <w:br w:type="textWrapping"/>
      </w:r>
      <w:r>
        <w:rPr>
          <w:rFonts w:hint="eastAsia" w:ascii="仿宋" w:hAnsi="仿宋" w:eastAsia="仿宋" w:cs="宋体"/>
          <w:sz w:val="24"/>
        </w:rPr>
        <w:t xml:space="preserve">    (三）存在贿赂、欺诈、虚假广告、聚众扰乱社会秩序等严重破坏市场公平竞争秩序和社会正常秩序的严重失信行为；</w:t>
      </w:r>
    </w:p>
    <w:p>
      <w:pPr>
        <w:spacing w:line="312" w:lineRule="auto"/>
        <w:ind w:firstLine="480" w:firstLineChars="200"/>
        <w:rPr>
          <w:rFonts w:hint="eastAsia" w:ascii="仿宋" w:hAnsi="仿宋" w:eastAsia="仿宋" w:cs="宋体"/>
          <w:sz w:val="24"/>
        </w:rPr>
      </w:pPr>
      <w:r>
        <w:rPr>
          <w:rFonts w:ascii="仿宋" w:hAnsi="仿宋" w:eastAsia="仿宋" w:cs="宋体"/>
          <w:sz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1115060</wp:posOffset>
                </wp:positionV>
                <wp:extent cx="5262245" cy="15875"/>
                <wp:effectExtent l="0" t="4445" r="14605" b="8255"/>
                <wp:wrapNone/>
                <wp:docPr id="3" name="直接连接符 3"/>
                <wp:cNvGraphicFramePr/>
                <a:graphic xmlns:a="http://schemas.openxmlformats.org/drawingml/2006/main">
                  <a:graphicData uri="http://schemas.microsoft.com/office/word/2010/wordprocessingShape">
                    <wps:wsp>
                      <wps:cNvCnPr/>
                      <wps:spPr>
                        <a:xfrm flipV="1">
                          <a:off x="1137285" y="9744710"/>
                          <a:ext cx="5262245" cy="1587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0.15pt;margin-top:87.8pt;height:1.25pt;width:414.35pt;z-index:251660288;mso-width-relative:page;mso-height-relative:page;" filled="f" stroked="t" coordsize="21600,21600" o:gfxdata="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w5NXtgAAAAIAQAADwAAAAAAAAABACAAAAAiAAAA&#10;ZHJzL2Rvd25yZXYueG1sUEsBAhQAFAAAAAgAh07iQLxMuWEHAgAA2QMAAA4AAAAAAAAAAQAgAAAA&#10;JwEAAGRycy9lMm9Eb2MueG1sUEsFBgAAAAAGAAYAWQEAAKAFAAAAAA==&#10;">
                <v:fill on="f" focussize="0,0"/>
                <v:stroke weight="0.5pt" color="#5B9BD5" miterlimit="8" joinstyle="miter"/>
                <v:imagedata o:title=""/>
                <o:lock v:ext="edit" aspectratio="f"/>
              </v:line>
            </w:pict>
          </mc:Fallback>
        </mc:AlternateContent>
      </w:r>
      <w:r>
        <w:rPr>
          <w:rFonts w:hint="eastAsia" w:ascii="仿宋" w:hAnsi="仿宋" w:eastAsia="仿宋" w:cs="宋体"/>
          <w:sz w:val="24"/>
        </w:rPr>
        <w:t>(四）拒不履行法定义务，严重影响行政机关公信力的行为，包括当事人在行政机关作出决定后，有履行能力但拒不履行、逃避执行等严重失信行为；</w:t>
      </w:r>
      <w:r>
        <w:rPr>
          <w:rFonts w:hint="eastAsia" w:ascii="仿宋" w:hAnsi="仿宋" w:eastAsia="仿宋" w:cs="宋体"/>
          <w:sz w:val="24"/>
        </w:rPr>
        <w:br w:type="textWrapping"/>
      </w:r>
      <w:r>
        <w:rPr>
          <w:rFonts w:hint="eastAsia" w:ascii="仿宋" w:hAnsi="仿宋" w:eastAsia="仿宋" w:cs="宋体"/>
          <w:sz w:val="24"/>
        </w:rPr>
        <w:t xml:space="preserve">    (五）法律、法规、规章规定不可进行信用修复的其他行政处罚信息。</w:t>
      </w:r>
    </w:p>
    <w:p>
      <w:pPr>
        <w:pStyle w:val="2"/>
        <w:rPr>
          <w:rFonts w:hint="eastAsia" w:ascii="仿宋" w:hAnsi="仿宋" w:eastAsia="仿宋" w:cs="宋体"/>
          <w:sz w:val="24"/>
        </w:rPr>
      </w:pPr>
    </w:p>
    <w:p>
      <w:pPr>
        <w:pStyle w:val="2"/>
        <w:spacing w:line="590" w:lineRule="exact"/>
        <w:jc w:val="center"/>
        <w:rPr>
          <w:rFonts w:hint="eastAsia" w:ascii="宋体" w:hAnsi="宋体" w:eastAsia="宋体" w:cs="宋体"/>
          <w:kern w:val="2"/>
          <w:sz w:val="36"/>
          <w:szCs w:val="36"/>
          <w:lang w:val="en-US" w:eastAsia="zh-CN" w:bidi="ar-SA"/>
        </w:rPr>
      </w:pPr>
      <w:r>
        <w:rPr>
          <w:rFonts w:hint="eastAsia" w:ascii="宋体" w:hAnsi="宋体" w:eastAsia="宋体" w:cs="宋体"/>
          <w:kern w:val="2"/>
          <w:sz w:val="36"/>
          <w:szCs w:val="36"/>
          <w:lang w:val="en-US" w:eastAsia="zh-CN" w:bidi="ar-SA"/>
        </w:rPr>
        <w:t>南通市信用修复流程告知书</w:t>
      </w:r>
    </w:p>
    <w:p>
      <w:pPr>
        <w:pStyle w:val="2"/>
        <w:spacing w:line="240" w:lineRule="exact"/>
        <w:rPr>
          <w:rFonts w:hint="eastAsia" w:ascii="方正仿宋_GBK" w:eastAsia="方正仿宋_GBK" w:cs="方正小标宋_GBK"/>
          <w:kern w:val="0"/>
          <w:sz w:val="32"/>
          <w:szCs w:val="32"/>
          <w:lang w:eastAsia="zh-CN"/>
        </w:rPr>
      </w:pPr>
    </w:p>
    <w:p>
      <w:pPr>
        <w:pStyle w:val="2"/>
        <w:spacing w:line="240" w:lineRule="exact"/>
        <w:rPr>
          <w:rFonts w:hint="eastAsia" w:ascii="方正仿宋_GBK" w:eastAsia="方正仿宋_GBK" w:cs="方正小标宋_GBK"/>
          <w:kern w:val="0"/>
          <w:sz w:val="32"/>
          <w:szCs w:val="32"/>
          <w:lang w:eastAsia="zh-CN"/>
        </w:rPr>
      </w:pPr>
    </w:p>
    <w:p>
      <w:pPr>
        <w:pStyle w:val="2"/>
        <w:rPr>
          <w:rFonts w:hint="eastAsia" w:ascii="仿宋" w:hAnsi="仿宋" w:eastAsia="仿宋" w:cs="宋体"/>
          <w:sz w:val="24"/>
        </w:rPr>
      </w:pPr>
      <w:r>
        <w:rPr>
          <w:rFonts w:ascii="方正仿宋_GBK" w:eastAsia="方正仿宋_GBK" w:cs="方正小标宋_GBK"/>
          <w:kern w:val="0"/>
          <w:sz w:val="32"/>
          <w:szCs w:val="32"/>
          <w:lang w:val="en-US"/>
        </w:rPr>
        <w:drawing>
          <wp:inline distT="0" distB="0" distL="114300" distR="114300">
            <wp:extent cx="5488305" cy="7089140"/>
            <wp:effectExtent l="0" t="1270" r="0" b="15240"/>
            <wp:docPr id="4" name="未知 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6917270" cy="8941942"/>
                      <a:chOff x="71414" y="130652"/>
                      <a:chExt cx="6917270" cy="8941942"/>
                    </a:xfrm>
                  </a:grpSpPr>
                  <a:grpSp>
                    <a:nvGrpSpPr>
                      <a:cNvPr id="2" name="组合 76"/>
                      <a:cNvGrpSpPr/>
                    </a:nvGrpSpPr>
                    <a:grpSpPr>
                      <a:xfrm>
                        <a:off x="71414" y="130652"/>
                        <a:ext cx="6917270" cy="8941942"/>
                        <a:chOff x="-202170" y="47022"/>
                        <a:chExt cx="6917270" cy="8941942"/>
                      </a:xfrm>
                    </a:grpSpPr>
                    <a:sp>
                      <a:nvSpPr>
                        <a:cNvPr id="5" name="矩形 4"/>
                        <a:cNvSpPr/>
                      </a:nvSpPr>
                      <a:spPr>
                        <a:xfrm>
                          <a:off x="2424106" y="47022"/>
                          <a:ext cx="2357454" cy="81020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在“信用中国”网站首页右上方搜索栏，搜索企业主体名称或</a:t>
                            </a:r>
                            <a:endParaRPr lang="en-US" altLang="zh-CN" sz="1200" dirty="0" smtClean="0">
                              <a:solidFill>
                                <a:schemeClr val="tx1"/>
                              </a:solidFill>
                            </a:endParaRPr>
                          </a:p>
                          <a:p>
                            <a:pPr algn="ctr"/>
                            <a:r>
                              <a:rPr lang="zh-CN" altLang="en-US" sz="1200" dirty="0" smtClean="0">
                                <a:solidFill>
                                  <a:schemeClr val="tx1"/>
                                </a:solidFill>
                              </a:rPr>
                              <a:t>统一社会信用代码，进入企业</a:t>
                            </a:r>
                            <a:endParaRPr lang="en-US" altLang="zh-CN" sz="1200" dirty="0" smtClean="0">
                              <a:solidFill>
                                <a:schemeClr val="tx1"/>
                              </a:solidFill>
                            </a:endParaRPr>
                          </a:p>
                          <a:p>
                            <a:pPr algn="ctr"/>
                            <a:r>
                              <a:rPr lang="zh-CN" altLang="en-US" sz="1200" dirty="0" smtClean="0">
                                <a:solidFill>
                                  <a:schemeClr val="tx1"/>
                                </a:solidFill>
                              </a:rPr>
                              <a:t>信用信息详情页面</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菱形 10"/>
                        <a:cNvSpPr/>
                      </a:nvSpPr>
                      <a:spPr>
                        <a:xfrm>
                          <a:off x="2352668" y="2428860"/>
                          <a:ext cx="2500330" cy="900000"/>
                        </a:xfrm>
                        <a:prstGeom prst="diamond">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待修复的行政处罚信息是否满足最短公示期</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1741476" y="2225574"/>
                          <a:ext cx="1168408"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否（右上角</a:t>
                            </a:r>
                            <a:endParaRPr lang="en-US" altLang="zh-CN" sz="1100" dirty="0" smtClean="0"/>
                          </a:p>
                          <a:p>
                            <a:r>
                              <a:rPr lang="zh-CN" altLang="en-US" sz="1100" dirty="0" smtClean="0"/>
                              <a:t>“在线申请修复”按钮为灰色）</a:t>
                            </a:r>
                            <a:endParaRPr lang="zh-CN" altLang="en-US" sz="1600" dirty="0"/>
                          </a:p>
                        </a:txBody>
                        <a:useSpRect/>
                      </a:txSp>
                    </a:sp>
                    <a:sp>
                      <a:nvSpPr>
                        <a:cNvPr id="13" name="矩形 12"/>
                        <a:cNvSpPr/>
                      </a:nvSpPr>
                      <a:spPr>
                        <a:xfrm>
                          <a:off x="285728" y="2521728"/>
                          <a:ext cx="1500198" cy="714380"/>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暂时不可进行信用修复，待满足最短公示期后进行修复</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3643314" y="3313104"/>
                          <a:ext cx="1357322"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是（右上角</a:t>
                            </a:r>
                            <a:endParaRPr lang="en-US" altLang="zh-CN" sz="1100" dirty="0" smtClean="0"/>
                          </a:p>
                          <a:p>
                            <a:r>
                              <a:rPr lang="zh-CN" altLang="en-US" sz="1100" dirty="0" smtClean="0"/>
                              <a:t>“在线申请修复”按钮为红色）</a:t>
                            </a:r>
                            <a:endParaRPr lang="zh-CN" altLang="en-US" sz="1600" dirty="0"/>
                          </a:p>
                        </a:txBody>
                        <a:useSpRect/>
                      </a:txSp>
                    </a:sp>
                    <a:sp>
                      <a:nvSpPr>
                        <a:cNvPr id="15" name="矩形 14"/>
                        <a:cNvSpPr/>
                      </a:nvSpPr>
                      <a:spPr>
                        <a:xfrm>
                          <a:off x="2833832" y="3929058"/>
                          <a:ext cx="1538002" cy="50006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按要求准备材料一、材料二、材料三</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3643314" y="4531641"/>
                          <a:ext cx="1357322" cy="43088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点击红色的“在线申请修复”按钮</a:t>
                            </a:r>
                            <a:endParaRPr lang="zh-CN" altLang="en-US" sz="1600" dirty="0"/>
                          </a:p>
                        </a:txBody>
                        <a:useSpRect/>
                      </a:txSp>
                    </a:sp>
                    <a:sp>
                      <a:nvSpPr>
                        <a:cNvPr id="17" name="矩形 16"/>
                        <a:cNvSpPr/>
                      </a:nvSpPr>
                      <a:spPr>
                        <a:xfrm>
                          <a:off x="2781320" y="5072066"/>
                          <a:ext cx="1643074" cy="50006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根据页面引导填报信息，提交修复申请</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3643314" y="5715008"/>
                          <a:ext cx="1071571"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收到通知短信</a:t>
                            </a:r>
                            <a:endParaRPr lang="zh-CN" altLang="en-US" sz="1100" dirty="0"/>
                          </a:p>
                        </a:txBody>
                        <a:useSpRect/>
                      </a:txSp>
                    </a:sp>
                    <a:sp>
                      <a:nvSpPr>
                        <a:cNvPr id="19" name="矩形 18"/>
                        <a:cNvSpPr/>
                      </a:nvSpPr>
                      <a:spPr>
                        <a:xfrm>
                          <a:off x="2643206" y="6072198"/>
                          <a:ext cx="1928826" cy="857256"/>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可通过通知短信中的</a:t>
                            </a:r>
                            <a:endParaRPr lang="en-US" altLang="zh-CN" sz="1200" dirty="0" smtClean="0">
                              <a:solidFill>
                                <a:schemeClr val="tx1"/>
                              </a:solidFill>
                            </a:endParaRPr>
                          </a:p>
                          <a:p>
                            <a:pPr algn="ctr"/>
                            <a:r>
                              <a:rPr lang="zh-CN" altLang="en-US" sz="1200" dirty="0" smtClean="0">
                                <a:solidFill>
                                  <a:schemeClr val="tx1"/>
                                </a:solidFill>
                              </a:rPr>
                              <a:t>“办理进度查询码”</a:t>
                            </a:r>
                            <a:endParaRPr lang="en-US" altLang="zh-CN" sz="1200" dirty="0" smtClean="0">
                              <a:solidFill>
                                <a:schemeClr val="tx1"/>
                              </a:solidFill>
                            </a:endParaRPr>
                          </a:p>
                          <a:p>
                            <a:pPr algn="ctr"/>
                            <a:r>
                              <a:rPr lang="zh-CN" altLang="en-US" sz="1200" dirty="0" smtClean="0">
                                <a:solidFill>
                                  <a:schemeClr val="tx1"/>
                                </a:solidFill>
                              </a:rPr>
                              <a:t>在线查看受理情况、</a:t>
                            </a:r>
                            <a:endParaRPr lang="en-US" altLang="zh-CN" sz="1200" dirty="0" smtClean="0">
                              <a:solidFill>
                                <a:schemeClr val="tx1"/>
                              </a:solidFill>
                            </a:endParaRPr>
                          </a:p>
                          <a:p>
                            <a:pPr algn="ctr"/>
                            <a:r>
                              <a:rPr lang="zh-CN" altLang="en-US" sz="1200" dirty="0" smtClean="0">
                                <a:solidFill>
                                  <a:schemeClr val="tx1"/>
                                </a:solidFill>
                              </a:rPr>
                              <a:t>审核进度和审核结果</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菱形 19"/>
                        <a:cNvSpPr/>
                      </a:nvSpPr>
                      <a:spPr>
                        <a:xfrm>
                          <a:off x="2766139" y="7358082"/>
                          <a:ext cx="1678793" cy="714380"/>
                        </a:xfrm>
                        <a:prstGeom prst="diamond">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是否审核通过</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矩形 20"/>
                        <a:cNvSpPr/>
                      </a:nvSpPr>
                      <a:spPr>
                        <a:xfrm>
                          <a:off x="3034031" y="8548144"/>
                          <a:ext cx="1143008" cy="428628"/>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网站终止公示</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3643314" y="8143900"/>
                          <a:ext cx="381003"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a:t>是</a:t>
                            </a:r>
                            <a:endParaRPr lang="zh-CN" altLang="en-US" sz="1600" dirty="0"/>
                          </a:p>
                        </a:txBody>
                        <a:useSpRect/>
                      </a:txSp>
                    </a:sp>
                    <a:sp>
                      <a:nvSpPr>
                        <a:cNvPr id="23" name="矩形 22"/>
                        <a:cNvSpPr/>
                      </a:nvSpPr>
                      <a:spPr>
                        <a:xfrm>
                          <a:off x="4869928" y="7476531"/>
                          <a:ext cx="1500198" cy="48022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不予提前终止公示，反馈原因</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3"/>
                        <a:cNvSpPr txBox="1"/>
                      </a:nvSpPr>
                      <a:spPr>
                        <a:xfrm>
                          <a:off x="4405343" y="7500958"/>
                          <a:ext cx="381003"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a:t>
                            </a:r>
                            <a:endParaRPr lang="zh-CN" altLang="en-US" sz="1600" dirty="0"/>
                          </a:p>
                        </a:txBody>
                        <a:useSpRect/>
                      </a:txSp>
                    </a:sp>
                    <a:sp>
                      <a:nvSpPr>
                        <a:cNvPr id="25" name="TextBox 24"/>
                        <a:cNvSpPr txBox="1"/>
                      </a:nvSpPr>
                      <a:spPr>
                        <a:xfrm>
                          <a:off x="5572116" y="6114976"/>
                          <a:ext cx="1142984" cy="60016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根据反馈原因，修改完善相关材料</a:t>
                            </a:r>
                            <a:endParaRPr lang="zh-CN" altLang="en-US" sz="1100" dirty="0"/>
                          </a:p>
                        </a:txBody>
                        <a:useSpRect/>
                      </a:txSp>
                    </a:sp>
                    <a:cxnSp>
                      <a:nvCxnSpPr>
                        <a:cNvPr id="35" name="直接箭头连接符 34"/>
                        <a:cNvCxnSpPr>
                          <a:stCxn id="11" idx="1"/>
                          <a:endCxn id="13" idx="3"/>
                        </a:cNvCxnSpPr>
                      </a:nvCxnSpPr>
                      <a:spPr>
                        <a:xfrm rot="10800000" flipV="1">
                          <a:off x="1785926" y="2878860"/>
                          <a:ext cx="566742" cy="5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37" name="直接箭头连接符 36"/>
                        <a:cNvCxnSpPr>
                          <a:stCxn id="15" idx="2"/>
                          <a:endCxn id="17" idx="0"/>
                        </a:cNvCxnSpPr>
                      </a:nvCxnSpPr>
                      <a:spPr>
                        <a:xfrm rot="16200000" flipH="1">
                          <a:off x="3281374" y="4750583"/>
                          <a:ext cx="642942" cy="24"/>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39" name="直接箭头连接符 38"/>
                        <a:cNvCxnSpPr>
                          <a:stCxn id="17" idx="2"/>
                          <a:endCxn id="19" idx="0"/>
                        </a:cNvCxnSpPr>
                      </a:nvCxnSpPr>
                      <a:spPr>
                        <a:xfrm rot="16200000" flipH="1">
                          <a:off x="3355205" y="5819784"/>
                          <a:ext cx="500066" cy="4762"/>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1" name="直接箭头连接符 40"/>
                        <a:cNvCxnSpPr>
                          <a:stCxn id="19" idx="2"/>
                          <a:endCxn id="20" idx="0"/>
                        </a:cNvCxnSpPr>
                      </a:nvCxnSpPr>
                      <a:spPr>
                        <a:xfrm rot="5400000">
                          <a:off x="3392264" y="7142727"/>
                          <a:ext cx="428628" cy="2083"/>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3" name="直接箭头连接符 42"/>
                        <a:cNvCxnSpPr>
                          <a:stCxn id="20" idx="2"/>
                          <a:endCxn id="21" idx="0"/>
                        </a:cNvCxnSpPr>
                      </a:nvCxnSpPr>
                      <a:spPr>
                        <a:xfrm rot="5400000">
                          <a:off x="3367695" y="8310303"/>
                          <a:ext cx="475682" cy="1"/>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47" name="直接箭头连接符 46"/>
                        <a:cNvCxnSpPr>
                          <a:stCxn id="20" idx="3"/>
                          <a:endCxn id="23" idx="1"/>
                        </a:cNvCxnSpPr>
                      </a:nvCxnSpPr>
                      <a:spPr>
                        <a:xfrm>
                          <a:off x="4444932" y="7715272"/>
                          <a:ext cx="424996" cy="1370"/>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9" name="形状 78"/>
                        <a:cNvCxnSpPr>
                          <a:stCxn id="23" idx="0"/>
                          <a:endCxn id="17" idx="3"/>
                        </a:cNvCxnSpPr>
                      </a:nvCxnSpPr>
                      <a:spPr>
                        <a:xfrm rot="16200000" flipV="1">
                          <a:off x="3944995" y="5801498"/>
                          <a:ext cx="2154432" cy="1195633"/>
                        </a:xfrm>
                        <a:prstGeom prst="bentConnector2">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sp>
                      <a:nvSpPr>
                        <a:cNvPr id="80" name="TextBox 79"/>
                        <a:cNvSpPr txBox="1"/>
                      </a:nvSpPr>
                      <a:spPr>
                        <a:xfrm>
                          <a:off x="-202170" y="3818318"/>
                          <a:ext cx="2786082" cy="517064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200"/>
                              </a:lnSpc>
                            </a:pPr>
                            <a:r>
                              <a:rPr lang="zh-CN" altLang="en-US" sz="1100" dirty="0" smtClean="0">
                                <a:latin typeface="Times New Roman" panose="02020603050405020304" charset="0"/>
                                <a:cs typeface="Times New Roman" panose="02020603050405020304" charset="0"/>
                              </a:rPr>
                              <a:t>备注：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t>1. </a:t>
                            </a:r>
                            <a:r>
                              <a:rPr lang="zh-CN" altLang="en-US" sz="1100" dirty="0" smtClean="0"/>
                              <a:t>根据</a:t>
                            </a:r>
                            <a:r>
                              <a:rPr lang="en-US" altLang="zh-CN" sz="1100" dirty="0" smtClean="0"/>
                              <a:t>《</a:t>
                            </a:r>
                            <a:r>
                              <a:rPr lang="zh-CN" altLang="en-US" sz="1100" dirty="0" smtClean="0"/>
                              <a:t>失信行为纠正后的信用信息修复管理办法（试行）</a:t>
                            </a:r>
                            <a:r>
                              <a:rPr lang="en-US" altLang="zh-CN" sz="1100" dirty="0" smtClean="0"/>
                              <a:t>》</a:t>
                            </a:r>
                            <a:r>
                              <a:rPr lang="zh-CN" altLang="en-US" sz="1100" dirty="0" smtClean="0"/>
                              <a:t>（国家发展改革委令第</a:t>
                            </a:r>
                            <a:r>
                              <a:rPr lang="en-US" sz="1100" dirty="0" smtClean="0"/>
                              <a:t>58</a:t>
                            </a:r>
                            <a:r>
                              <a:rPr lang="zh-CN" altLang="en-US" sz="1100" dirty="0" smtClean="0"/>
                              <a:t>号）相关规定，制定本流程告知书。</a:t>
                            </a:r>
                            <a:endParaRPr lang="en-US" altLang="zh-CN" sz="1100" dirty="0" smtClean="0"/>
                          </a:p>
                          <a:p>
                            <a:pPr>
                              <a:lnSpc>
                                <a:spcPts val="1200"/>
                              </a:lnSpc>
                            </a:pPr>
                            <a:r>
                              <a:rPr lang="en-US" altLang="zh-CN" sz="1100" dirty="0" smtClean="0">
                                <a:latin typeface="Times New Roman" panose="02020603050405020304" charset="0"/>
                                <a:cs typeface="Times New Roman" panose="02020603050405020304" charset="0"/>
                              </a:rPr>
                              <a:t>2. </a:t>
                            </a:r>
                            <a:r>
                              <a:rPr lang="zh-CN" altLang="en-US" sz="1100" dirty="0" smtClean="0">
                                <a:latin typeface="Times New Roman" panose="02020603050405020304" charset="0"/>
                                <a:cs typeface="Times New Roman" panose="02020603050405020304" charset="0"/>
                              </a:rPr>
                              <a:t>未在“信用中国”网站公示的行政处罚信息为简易处罚等不需要公示的信息，不需要进行信用修复。</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3. </a:t>
                            </a:r>
                            <a:r>
                              <a:rPr lang="zh-CN" altLang="en-US" sz="1100" dirty="0" smtClean="0"/>
                              <a:t>一般行政处罚信息最短公示期为三个月，最长公示期为三年，其中涉及食品、药品、特种设备、安全生产、消防领域行政处罚信息最短公示期一年。</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4. </a:t>
                            </a:r>
                            <a:r>
                              <a:rPr lang="zh-CN" altLang="en-US" sz="1100" dirty="0" smtClean="0">
                                <a:latin typeface="Times New Roman" panose="02020603050405020304" charset="0"/>
                                <a:cs typeface="Times New Roman" panose="02020603050405020304" charset="0"/>
                              </a:rPr>
                              <a:t>材料一：</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失信行为纠正后的信用信息修复业务办理授权委托书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或</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法定代表人身份证明书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 仅限法定代表人申请行攻处罚信息信用修复时使用）。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5. </a:t>
                            </a:r>
                            <a:r>
                              <a:rPr lang="zh-CN" altLang="en-US" sz="1100" dirty="0" smtClean="0">
                                <a:latin typeface="Times New Roman" panose="02020603050405020304" charset="0"/>
                                <a:cs typeface="Times New Roman" panose="02020603050405020304" charset="0"/>
                              </a:rPr>
                              <a:t>材料二：</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失信行为纠正后的信用信息修复申请表</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或</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准予信用修复决定书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（仅限申请修复市场监督管理领域的行政处罚信息使用）。</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6. </a:t>
                            </a:r>
                            <a:r>
                              <a:rPr lang="zh-CN" altLang="en-US" sz="1100" dirty="0" smtClean="0">
                                <a:latin typeface="Times New Roman" panose="02020603050405020304" charset="0"/>
                                <a:cs typeface="Times New Roman" panose="02020603050405020304" charset="0"/>
                              </a:rPr>
                              <a:t>材料三：</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失信行为纠正后的信用信息修复承诺书</a:t>
                            </a:r>
                            <a:r>
                              <a:rPr lang="en-US" altLang="zh-CN" sz="1100" dirty="0" smtClean="0">
                                <a:latin typeface="Times New Roman" panose="02020603050405020304" charset="0"/>
                                <a:cs typeface="Times New Roman" panose="02020603050405020304" charset="0"/>
                              </a:rPr>
                              <a:t>》</a:t>
                            </a:r>
                            <a:r>
                              <a:rPr lang="zh-CN" altLang="en-US" sz="1100" dirty="0" smtClean="0">
                                <a:latin typeface="Times New Roman" panose="02020603050405020304" charset="0"/>
                                <a:cs typeface="Times New Roman" panose="02020603050405020304" charset="0"/>
                              </a:rPr>
                              <a:t>。</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7. </a:t>
                            </a:r>
                            <a:r>
                              <a:rPr lang="zh-CN" altLang="en-US" sz="1100" dirty="0" smtClean="0">
                                <a:latin typeface="Times New Roman" panose="02020603050405020304" charset="0"/>
                                <a:cs typeface="Times New Roman" panose="02020603050405020304" charset="0"/>
                              </a:rPr>
                              <a:t>材料一、材料二、材料三</a:t>
                            </a:r>
                            <a:r>
                              <a:rPr lang="zh-CN" altLang="en-US" sz="1100" dirty="0" smtClean="0">
                                <a:solidFill>
                                  <a:schemeClr val="tx1"/>
                                </a:solidFill>
                                <a:latin typeface="Times New Roman" panose="02020603050405020304" charset="0"/>
                                <a:cs typeface="Times New Roman" panose="02020603050405020304" charset="0"/>
                              </a:rPr>
                              <a:t>模板可直接</a:t>
                            </a:r>
                            <a:r>
                              <a:rPr lang="zh-CN" altLang="en-US" sz="1100" dirty="0" smtClean="0">
                                <a:latin typeface="Times New Roman" panose="02020603050405020304" charset="0"/>
                                <a:cs typeface="Times New Roman" panose="02020603050405020304" charset="0"/>
                              </a:rPr>
                              <a:t>在“信用中国”网站</a:t>
                            </a:r>
                            <a:r>
                              <a:rPr lang="zh-CN" altLang="en-US" sz="1100" dirty="0" smtClean="0">
                                <a:solidFill>
                                  <a:schemeClr val="tx1"/>
                                </a:solidFill>
                                <a:latin typeface="Times New Roman" panose="02020603050405020304" charset="0"/>
                                <a:cs typeface="Times New Roman" panose="02020603050405020304" charset="0"/>
                              </a:rPr>
                              <a:t>下载。</a:t>
                            </a:r>
                            <a:endParaRPr lang="en-US" altLang="zh-CN" sz="1100" dirty="0" smtClean="0">
                              <a:solidFill>
                                <a:schemeClr val="tx1"/>
                              </a:solidFill>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8. </a:t>
                            </a:r>
                            <a:r>
                              <a:rPr lang="zh-CN" altLang="en-US" sz="1100" dirty="0" smtClean="0">
                                <a:latin typeface="Times New Roman" panose="02020603050405020304" charset="0"/>
                                <a:cs typeface="Times New Roman" panose="02020603050405020304" charset="0"/>
                              </a:rPr>
                              <a:t>修复申请办理进度查询地址</a:t>
                            </a:r>
                            <a:r>
                              <a:rPr lang="en-US" altLang="zh-CN" sz="1100" dirty="0" smtClean="0">
                                <a:latin typeface="Times New Roman" panose="02020603050405020304" charset="0"/>
                                <a:cs typeface="Times New Roman" panose="02020603050405020304" charset="0"/>
                              </a:rPr>
                              <a:t>https://public.creditchina.gov.cn/htmls/repair3/repairSearch.html </a:t>
                            </a:r>
                            <a:r>
                              <a:rPr lang="zh-CN" altLang="en-US" sz="1100" dirty="0" smtClean="0">
                                <a:latin typeface="Times New Roman" panose="02020603050405020304" charset="0"/>
                                <a:cs typeface="Times New Roman" panose="02020603050405020304" charset="0"/>
                              </a:rPr>
                              <a:t>。</a:t>
                            </a:r>
                            <a:endParaRPr lang="en-US" altLang="zh-CN" sz="1100" dirty="0" smtClean="0">
                              <a:latin typeface="Times New Roman" panose="02020603050405020304" charset="0"/>
                              <a:cs typeface="Times New Roman" panose="02020603050405020304" charset="0"/>
                            </a:endParaRPr>
                          </a:p>
                          <a:p>
                            <a:pPr>
                              <a:lnSpc>
                                <a:spcPts val="1200"/>
                              </a:lnSpc>
                            </a:pPr>
                            <a:r>
                              <a:rPr lang="en-US" altLang="zh-CN" sz="1100" b="1" dirty="0" smtClean="0">
                                <a:latin typeface="Times New Roman" panose="02020603050405020304" charset="0"/>
                                <a:cs typeface="Times New Roman" panose="02020603050405020304" charset="0"/>
                              </a:rPr>
                              <a:t>9. </a:t>
                            </a:r>
                            <a:r>
                              <a:rPr lang="zh-CN" altLang="en-US" sz="1100" b="1" dirty="0" smtClean="0">
                                <a:latin typeface="Times New Roman" panose="02020603050405020304" charset="0"/>
                                <a:cs typeface="Times New Roman" panose="02020603050405020304" charset="0"/>
                              </a:rPr>
                              <a:t>线下可提交材料一、材料二、材料三至南通市公共信用信息服务窗口（南通市工农南路</a:t>
                            </a:r>
                            <a:r>
                              <a:rPr lang="en-US" altLang="zh-CN" sz="1100" b="1" dirty="0" smtClean="0">
                                <a:latin typeface="Times New Roman" panose="02020603050405020304" charset="0"/>
                                <a:cs typeface="Times New Roman" panose="02020603050405020304" charset="0"/>
                              </a:rPr>
                              <a:t>150</a:t>
                            </a:r>
                            <a:r>
                              <a:rPr lang="zh-CN" altLang="en-US" sz="1100" b="1" dirty="0" smtClean="0">
                                <a:latin typeface="Times New Roman" panose="02020603050405020304" charset="0"/>
                                <a:cs typeface="Times New Roman" panose="02020603050405020304" charset="0"/>
                              </a:rPr>
                              <a:t>号市政务中心一楼</a:t>
                            </a:r>
                            <a:r>
                              <a:rPr lang="en-US" altLang="zh-CN" sz="1100" b="1" dirty="0" smtClean="0">
                                <a:latin typeface="Times New Roman" panose="02020603050405020304" charset="0"/>
                                <a:cs typeface="Times New Roman" panose="02020603050405020304" charset="0"/>
                              </a:rPr>
                              <a:t>50</a:t>
                            </a:r>
                            <a:r>
                              <a:rPr lang="zh-CN" altLang="en-US" sz="1100" b="1" dirty="0" smtClean="0">
                                <a:latin typeface="Times New Roman" panose="02020603050405020304" charset="0"/>
                                <a:cs typeface="Times New Roman" panose="02020603050405020304" charset="0"/>
                              </a:rPr>
                              <a:t>号窗口）进行信用修复。</a:t>
                            </a:r>
                            <a:endParaRPr lang="en-US" altLang="zh-CN" sz="1100" b="1" dirty="0" smtClean="0">
                              <a:latin typeface="Times New Roman" panose="02020603050405020304" charset="0"/>
                              <a:cs typeface="Times New Roman" panose="02020603050405020304" charset="0"/>
                            </a:endParaRPr>
                          </a:p>
                          <a:p>
                            <a:pPr>
                              <a:lnSpc>
                                <a:spcPts val="1200"/>
                              </a:lnSpc>
                            </a:pPr>
                            <a:r>
                              <a:rPr lang="en-US" altLang="zh-CN" sz="1100" dirty="0" smtClean="0">
                                <a:latin typeface="Times New Roman" panose="02020603050405020304" charset="0"/>
                                <a:cs typeface="Times New Roman" panose="02020603050405020304" charset="0"/>
                              </a:rPr>
                              <a:t>10. </a:t>
                            </a:r>
                            <a:r>
                              <a:rPr lang="zh-CN" altLang="en-US" sz="1100" dirty="0" smtClean="0">
                                <a:latin typeface="Times New Roman" panose="02020603050405020304" charset="0"/>
                                <a:cs typeface="Times New Roman" panose="02020603050405020304" charset="0"/>
                              </a:rPr>
                              <a:t>南通</a:t>
                            </a:r>
                            <a:r>
                              <a:rPr lang="zh-CN" altLang="en-US" sz="1100" dirty="0">
                                <a:latin typeface="Times New Roman" panose="02020603050405020304" charset="0"/>
                                <a:cs typeface="Times New Roman" panose="02020603050405020304" charset="0"/>
                              </a:rPr>
                              <a:t>市公共信用信息中心、江苏省公共信用信中心和国家公共信用信息中心在</a:t>
                            </a:r>
                            <a:r>
                              <a:rPr lang="en-US" sz="1100" dirty="0">
                                <a:latin typeface="Times New Roman" panose="02020603050405020304" charset="0"/>
                                <a:cs typeface="Times New Roman" panose="02020603050405020304" charset="0"/>
                              </a:rPr>
                              <a:t>7</a:t>
                            </a:r>
                            <a:r>
                              <a:rPr lang="zh-CN" altLang="en-US" sz="1100" dirty="0">
                                <a:latin typeface="Times New Roman" panose="02020603050405020304" charset="0"/>
                                <a:cs typeface="Times New Roman" panose="02020603050405020304" charset="0"/>
                              </a:rPr>
                              <a:t>个工作日内完成信用修复</a:t>
                            </a:r>
                            <a:r>
                              <a:rPr lang="zh-CN" altLang="en-US" sz="1100" dirty="0" smtClean="0">
                                <a:latin typeface="Times New Roman" panose="02020603050405020304" charset="0"/>
                                <a:cs typeface="Times New Roman" panose="02020603050405020304" charset="0"/>
                              </a:rPr>
                              <a:t>受理审核。</a:t>
                            </a:r>
                            <a:endParaRPr lang="en-US" altLang="zh-CN" sz="1100" dirty="0" smtClean="0">
                              <a:latin typeface="Times New Roman" panose="02020603050405020304" charset="0"/>
                              <a:cs typeface="Times New Roman" panose="02020603050405020304" charset="0"/>
                            </a:endParaRPr>
                          </a:p>
                        </a:txBody>
                        <a:useSpRect/>
                      </a:txSp>
                    </a:sp>
                    <a:sp>
                      <a:nvSpPr>
                        <a:cNvPr id="36" name="TextBox 35"/>
                        <a:cNvSpPr txBox="1"/>
                      </a:nvSpPr>
                      <a:spPr>
                        <a:xfrm>
                          <a:off x="6012936" y="285720"/>
                          <a:ext cx="428628" cy="341632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latin typeface="黑体" panose="02010609060101010101" charset="-122"/>
                                <a:ea typeface="黑体" panose="02010609060101010101" charset="-122"/>
                              </a:rPr>
                              <a:t>南通市信用修复流程告知书</a:t>
                            </a:r>
                            <a:endParaRPr lang="zh-CN" altLang="en-US" dirty="0">
                              <a:latin typeface="黑体" panose="02010609060101010101" charset="-122"/>
                              <a:ea typeface="黑体" panose="02010609060101010101" charset="-122"/>
                            </a:endParaRPr>
                          </a:p>
                        </a:txBody>
                        <a:useSpRect/>
                      </a:txSp>
                    </a:sp>
                    <a:sp>
                      <a:nvSpPr>
                        <a:cNvPr id="48" name="矩形 47"/>
                        <a:cNvSpPr/>
                      </a:nvSpPr>
                      <a:spPr>
                        <a:xfrm>
                          <a:off x="2424106" y="1285852"/>
                          <a:ext cx="2357454" cy="810202"/>
                        </a:xfrm>
                        <a:prstGeom prst="rect">
                          <a:avLst/>
                        </a:prstGeom>
                        <a:noFill/>
                        <a:ln w="1270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sz="1200" dirty="0" smtClean="0">
                                <a:solidFill>
                                  <a:schemeClr val="tx1"/>
                                </a:solidFill>
                              </a:rPr>
                              <a:t>在企业信用信息详情页面，找到“行政管理”，点击下方的“行政处罚”分类，可以看到相关</a:t>
                            </a:r>
                            <a:br>
                              <a:rPr lang="en-US" altLang="zh-CN" sz="1200" dirty="0" smtClean="0">
                                <a:solidFill>
                                  <a:schemeClr val="tx1"/>
                                </a:solidFill>
                              </a:rPr>
                            </a:br>
                            <a:r>
                              <a:rPr lang="zh-CN" altLang="en-US" sz="1200" dirty="0" smtClean="0">
                                <a:solidFill>
                                  <a:schemeClr val="tx1"/>
                                </a:solidFill>
                              </a:rPr>
                              <a:t>行政处罚信息</a:t>
                            </a:r>
                            <a:endParaRPr lang="zh-CN" alt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2" name="直接箭头连接符 71"/>
                        <a:cNvCxnSpPr>
                          <a:stCxn id="5" idx="2"/>
                          <a:endCxn id="48" idx="0"/>
                        </a:cNvCxnSpPr>
                      </a:nvCxnSpPr>
                      <a:spPr>
                        <a:xfrm rot="5400000">
                          <a:off x="3388519" y="1071538"/>
                          <a:ext cx="428628"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4" name="直接箭头连接符 73"/>
                        <a:cNvCxnSpPr>
                          <a:stCxn id="48" idx="2"/>
                          <a:endCxn id="11" idx="0"/>
                        </a:cNvCxnSpPr>
                      </a:nvCxnSpPr>
                      <a:spPr>
                        <a:xfrm rot="5400000">
                          <a:off x="3436430" y="2262457"/>
                          <a:ext cx="332806"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cxnSp>
                      <a:nvCxnSpPr>
                        <a:cNvPr id="76" name="直接箭头连接符 75"/>
                        <a:cNvCxnSpPr>
                          <a:stCxn id="11" idx="2"/>
                          <a:endCxn id="15" idx="0"/>
                        </a:cNvCxnSpPr>
                      </a:nvCxnSpPr>
                      <a:spPr>
                        <a:xfrm rot="5400000">
                          <a:off x="3302734" y="3628959"/>
                          <a:ext cx="600198" cy="1588"/>
                        </a:xfrm>
                        <a:prstGeom prst="straightConnector1">
                          <a:avLst/>
                        </a:prstGeom>
                        <a:ln>
                          <a:solidFill>
                            <a:schemeClr val="tx1"/>
                          </a:solidFill>
                          <a:tailEnd type="triangle" w="med" len="lg"/>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256540</wp:posOffset>
              </wp:positionV>
              <wp:extent cx="5222875" cy="7620"/>
              <wp:effectExtent l="0" t="0" r="0" b="0"/>
              <wp:wrapNone/>
              <wp:docPr id="2" name="直接连接符 2"/>
              <wp:cNvGraphicFramePr/>
              <a:graphic xmlns:a="http://schemas.openxmlformats.org/drawingml/2006/main">
                <a:graphicData uri="http://schemas.microsoft.com/office/word/2010/wordprocessingShape">
                  <wps:wsp>
                    <wps:cNvCnPr/>
                    <wps:spPr>
                      <a:xfrm>
                        <a:off x="1184910" y="10073640"/>
                        <a:ext cx="5222875" cy="762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7pt;margin-top:20.2pt;height:0.6pt;width:411.25pt;z-index:251659264;mso-width-relative:page;mso-height-relative:page;" filled="f" stroked="t" coordsize="21600,21600" o:gfxdata="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OfHtcAAAAHAQAADwAAAAAAAAABACAAAAAiAAAAZHJzL2Rvd25y&#10;ZXYueG1sUEsBAhQAFAAAAAgAh07iQHZ2CXH/AQAAzwMAAA4AAAAAAAAAAQAgAAAAJgEAAGRycy9l&#10;Mm9Eb2MueG1sUEsFBgAAAAAGAAYAWQEAAJcFAAAAAA==&#10;">
              <v:fill on="f" focussize="0,0"/>
              <v:stroke weight="0.5pt" color="#5B9BD5" miterlimit="8" joinstyle="miter"/>
              <v:imagedata o:title=""/>
              <o:lock v:ext="edit" aspectratio="f"/>
            </v:line>
          </w:pict>
        </mc:Fallback>
      </mc:AlternateContent>
    </w:r>
    <w:r>
      <w:rPr>
        <w:rFonts w:hint="eastAsia"/>
        <w:sz w:val="24"/>
      </w:rPr>
      <w:t>备注：此提醒书一式两份，一份交当事人签收，一份行政处罚机关留档保存。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ZGMzMDE0ZmQwNjZhMTgxNmZmOGNjNTQ3MGJhMjEifQ=="/>
  </w:docVars>
  <w:rsids>
    <w:rsidRoot w:val="78341AF7"/>
    <w:rsid w:val="00587315"/>
    <w:rsid w:val="0078602E"/>
    <w:rsid w:val="00C16C55"/>
    <w:rsid w:val="06CE0008"/>
    <w:rsid w:val="07812A3C"/>
    <w:rsid w:val="09C34DB8"/>
    <w:rsid w:val="164A50D4"/>
    <w:rsid w:val="1B6F3320"/>
    <w:rsid w:val="2093247E"/>
    <w:rsid w:val="27075144"/>
    <w:rsid w:val="30D30C0E"/>
    <w:rsid w:val="3E8B6203"/>
    <w:rsid w:val="3F7316DB"/>
    <w:rsid w:val="50750AD0"/>
    <w:rsid w:val="67D544BD"/>
    <w:rsid w:val="684F3383"/>
    <w:rsid w:val="6FA10B33"/>
    <w:rsid w:val="6FFE5F86"/>
    <w:rsid w:val="78341AF7"/>
    <w:rsid w:val="7D6E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1312</Words>
  <Characters>1357</Characters>
  <Lines>10</Lines>
  <Paragraphs>2</Paragraphs>
  <TotalTime>1</TotalTime>
  <ScaleCrop>false</ScaleCrop>
  <LinksUpToDate>false</LinksUpToDate>
  <CharactersWithSpaces>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2021-11-23T00:59:00Z</dcterms:created>
  <dc:creator>提莫多少钱一斤</dc:creator>
  <cp:lastModifiedBy>zl</cp:lastModifiedBy>
  <cp:lastPrinted>2021-12-03T02:42:00Z</cp:lastPrinted>
  <dcterms:modified xsi:type="dcterms:W3CDTF">2023-08-08T06:54:32Z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66D2D25F37E64028AE9603518D46DD1B</vt:lpwstr>
  </property>
</Properties>
</file>