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B656E">
      <w:pPr>
        <w:jc w:val="center"/>
        <w:rPr>
          <w:rFonts w:hint="eastAsia" w:ascii="仿宋" w:hAnsi="仿宋" w:eastAsia="仿宋"/>
          <w:b/>
          <w:spacing w:val="20"/>
          <w:sz w:val="44"/>
          <w:lang w:val="zh-CN"/>
        </w:rPr>
      </w:pPr>
    </w:p>
    <w:p w14:paraId="327EFAD0">
      <w:pPr>
        <w:autoSpaceDE w:val="0"/>
        <w:autoSpaceDN w:val="0"/>
        <w:adjustRightInd w:val="0"/>
        <w:spacing w:before="319" w:beforeLines="100" w:after="319" w:afterLines="100" w:line="360" w:lineRule="auto"/>
        <w:jc w:val="center"/>
        <w:rPr>
          <w:rFonts w:hint="eastAsia" w:ascii="仿宋" w:hAnsi="仿宋" w:eastAsia="仿宋" w:cs="宋体"/>
          <w:b/>
          <w:bCs/>
          <w:sz w:val="72"/>
          <w:lang w:val="zh-CN"/>
        </w:rPr>
      </w:pPr>
      <w:r>
        <w:rPr>
          <w:rFonts w:hint="eastAsia" w:ascii="仿宋" w:hAnsi="仿宋" w:eastAsia="仿宋" w:cs="宋体"/>
          <w:b/>
          <w:bCs/>
          <w:sz w:val="72"/>
          <w:lang w:val="zh-CN"/>
        </w:rPr>
        <w:t>竞争性磋商文件</w:t>
      </w:r>
    </w:p>
    <w:p w14:paraId="4C68CCD6">
      <w:pPr>
        <w:rPr>
          <w:rFonts w:hint="eastAsia" w:ascii="仿宋" w:hAnsi="仿宋" w:eastAsia="仿宋"/>
          <w:b/>
          <w:spacing w:val="20"/>
          <w:sz w:val="44"/>
          <w:lang w:val="zh-CN"/>
        </w:rPr>
      </w:pPr>
    </w:p>
    <w:p w14:paraId="6B870E53">
      <w:pPr>
        <w:spacing w:before="319" w:beforeLines="100" w:after="319" w:afterLines="100" w:line="360" w:lineRule="auto"/>
        <w:jc w:val="center"/>
        <w:rPr>
          <w:rFonts w:hint="eastAsia" w:ascii="仿宋" w:hAnsi="仿宋" w:eastAsia="仿宋"/>
          <w:b/>
          <w:spacing w:val="20"/>
          <w:sz w:val="44"/>
          <w:szCs w:val="44"/>
          <w:lang w:val="zh-CN"/>
        </w:rPr>
      </w:pPr>
      <w:r>
        <w:rPr>
          <w:rFonts w:hint="eastAsia" w:ascii="仿宋" w:hAnsi="仿宋" w:eastAsia="仿宋"/>
          <w:b/>
          <w:spacing w:val="20"/>
          <w:sz w:val="44"/>
          <w:szCs w:val="44"/>
        </w:rPr>
        <w:drawing>
          <wp:anchor distT="0" distB="0" distL="114300" distR="114300" simplePos="0" relativeHeight="251659264" behindDoc="0" locked="0" layoutInCell="1" allowOverlap="1">
            <wp:simplePos x="0" y="0"/>
            <wp:positionH relativeFrom="column">
              <wp:posOffset>1764665</wp:posOffset>
            </wp:positionH>
            <wp:positionV relativeFrom="paragraph">
              <wp:posOffset>1701165</wp:posOffset>
            </wp:positionV>
            <wp:extent cx="2072640" cy="1588770"/>
            <wp:effectExtent l="19050" t="0" r="3810" b="0"/>
            <wp:wrapTopAndBottom/>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i0"/>
                    <pic:cNvPicPr>
                      <a:picLocks noChangeAspect="1" noChangeArrowheads="1"/>
                    </pic:cNvPicPr>
                  </pic:nvPicPr>
                  <pic:blipFill>
                    <a:blip r:embed="rId4"/>
                    <a:srcRect/>
                    <a:stretch>
                      <a:fillRect/>
                    </a:stretch>
                  </pic:blipFill>
                  <pic:spPr>
                    <a:xfrm>
                      <a:off x="0" y="0"/>
                      <a:ext cx="2072640" cy="1588770"/>
                    </a:xfrm>
                    <a:prstGeom prst="rect">
                      <a:avLst/>
                    </a:prstGeom>
                    <a:noFill/>
                  </pic:spPr>
                </pic:pic>
              </a:graphicData>
            </a:graphic>
          </wp:anchor>
        </w:drawing>
      </w:r>
      <w:r>
        <w:rPr>
          <w:rFonts w:hint="eastAsia" w:ascii="仿宋" w:hAnsi="仿宋" w:eastAsia="仿宋"/>
          <w:b/>
          <w:spacing w:val="20"/>
          <w:sz w:val="44"/>
          <w:szCs w:val="44"/>
          <w:lang w:val="zh-CN"/>
        </w:rPr>
        <w:t>项目名称：南通市通州区第二人民医院网络改造一期项目</w:t>
      </w:r>
    </w:p>
    <w:p w14:paraId="373D652A">
      <w:pPr>
        <w:spacing w:before="319" w:beforeLines="100" w:after="319" w:afterLines="100" w:line="360" w:lineRule="auto"/>
        <w:jc w:val="center"/>
        <w:rPr>
          <w:rFonts w:hint="eastAsia" w:ascii="仿宋" w:hAnsi="仿宋" w:eastAsia="仿宋" w:cs="宋体"/>
          <w:b/>
          <w:sz w:val="40"/>
        </w:rPr>
      </w:pPr>
    </w:p>
    <w:p w14:paraId="495EBC06">
      <w:pPr>
        <w:spacing w:before="319" w:beforeLines="100" w:after="319" w:afterLines="100" w:line="360" w:lineRule="auto"/>
        <w:jc w:val="center"/>
        <w:rPr>
          <w:rFonts w:hint="eastAsia" w:ascii="仿宋" w:hAnsi="仿宋" w:eastAsia="仿宋" w:cs="宋体"/>
          <w:b/>
          <w:sz w:val="40"/>
        </w:rPr>
      </w:pPr>
    </w:p>
    <w:p w14:paraId="525FFBC2">
      <w:pPr>
        <w:spacing w:before="319" w:beforeLines="100" w:after="319" w:afterLines="100" w:line="360" w:lineRule="auto"/>
        <w:rPr>
          <w:rFonts w:hint="eastAsia" w:ascii="仿宋" w:hAnsi="仿宋" w:eastAsia="仿宋" w:cs="宋体"/>
          <w:sz w:val="24"/>
        </w:rPr>
      </w:pPr>
    </w:p>
    <w:tbl>
      <w:tblPr>
        <w:tblStyle w:val="4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8"/>
      </w:tblGrid>
      <w:tr w14:paraId="53E0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8" w:type="dxa"/>
          </w:tcPr>
          <w:p w14:paraId="474A298D">
            <w:pPr>
              <w:snapToGrid w:val="0"/>
              <w:spacing w:line="360" w:lineRule="auto"/>
              <w:jc w:val="center"/>
              <w:rPr>
                <w:rFonts w:hint="eastAsia" w:ascii="仿宋" w:hAnsi="仿宋" w:eastAsia="仿宋" w:cs="宋体"/>
                <w:b/>
                <w:sz w:val="32"/>
              </w:rPr>
            </w:pPr>
            <w:r>
              <w:rPr>
                <w:rFonts w:hint="eastAsia" w:ascii="仿宋" w:hAnsi="仿宋" w:eastAsia="仿宋" w:cs="宋体"/>
                <w:b/>
                <w:sz w:val="32"/>
              </w:rPr>
              <w:t>南通市通州区第二人民医院</w:t>
            </w:r>
          </w:p>
          <w:p w14:paraId="0328EB88">
            <w:pPr>
              <w:snapToGrid w:val="0"/>
              <w:spacing w:line="360" w:lineRule="auto"/>
              <w:jc w:val="center"/>
              <w:rPr>
                <w:rFonts w:hint="eastAsia" w:ascii="仿宋" w:hAnsi="仿宋" w:eastAsia="仿宋" w:cs="宋体"/>
                <w:sz w:val="24"/>
              </w:rPr>
            </w:pPr>
            <w:r>
              <w:rPr>
                <w:rFonts w:hint="eastAsia" w:ascii="仿宋" w:hAnsi="仿宋" w:eastAsia="仿宋" w:cs="宋体"/>
                <w:b/>
                <w:sz w:val="32"/>
              </w:rPr>
              <w:t>2025年</w:t>
            </w:r>
            <w:r>
              <w:rPr>
                <w:rFonts w:hint="eastAsia" w:ascii="仿宋" w:hAnsi="仿宋" w:eastAsia="仿宋" w:cs="宋体"/>
                <w:b/>
                <w:sz w:val="32"/>
                <w:lang w:val="en-US" w:eastAsia="zh-CN"/>
              </w:rPr>
              <w:t>10</w:t>
            </w:r>
            <w:r>
              <w:rPr>
                <w:rFonts w:hint="eastAsia" w:ascii="仿宋" w:hAnsi="仿宋" w:eastAsia="仿宋" w:cs="宋体"/>
                <w:b/>
                <w:sz w:val="32"/>
              </w:rPr>
              <w:t>月</w:t>
            </w:r>
            <w:r>
              <w:rPr>
                <w:rFonts w:hint="eastAsia" w:ascii="仿宋" w:hAnsi="仿宋" w:eastAsia="仿宋" w:cs="宋体"/>
                <w:b/>
                <w:sz w:val="32"/>
                <w:highlight w:val="none"/>
                <w:lang w:val="en-US" w:eastAsia="zh-CN"/>
              </w:rPr>
              <w:t>9</w:t>
            </w:r>
            <w:r>
              <w:rPr>
                <w:rFonts w:hint="eastAsia" w:ascii="仿宋" w:hAnsi="仿宋" w:eastAsia="仿宋" w:cs="宋体"/>
                <w:b/>
                <w:sz w:val="32"/>
              </w:rPr>
              <w:t>日</w:t>
            </w:r>
          </w:p>
        </w:tc>
      </w:tr>
    </w:tbl>
    <w:p w14:paraId="625D92B5">
      <w:pPr>
        <w:adjustRightInd w:val="0"/>
        <w:snapToGrid w:val="0"/>
        <w:spacing w:line="360" w:lineRule="auto"/>
        <w:ind w:left="-158" w:leftChars="-75"/>
        <w:jc w:val="left"/>
        <w:rPr>
          <w:rFonts w:hint="eastAsia" w:ascii="仿宋" w:hAnsi="仿宋" w:eastAsia="仿宋"/>
          <w:b/>
          <w:snapToGrid w:val="0"/>
          <w:sz w:val="30"/>
          <w:szCs w:val="30"/>
        </w:rPr>
      </w:pPr>
    </w:p>
    <w:p w14:paraId="3AD221F1">
      <w:pPr>
        <w:adjustRightInd w:val="0"/>
        <w:snapToGrid w:val="0"/>
        <w:spacing w:line="360" w:lineRule="auto"/>
        <w:jc w:val="left"/>
        <w:rPr>
          <w:rFonts w:hint="eastAsia" w:ascii="仿宋" w:hAnsi="仿宋" w:eastAsia="仿宋"/>
          <w:b/>
          <w:snapToGrid w:val="0"/>
          <w:sz w:val="26"/>
          <w:szCs w:val="28"/>
          <w:u w:val="single"/>
        </w:rPr>
      </w:pPr>
    </w:p>
    <w:p w14:paraId="2A6CDB84">
      <w:pPr>
        <w:adjustRightInd w:val="0"/>
        <w:snapToGrid w:val="0"/>
        <w:spacing w:line="360" w:lineRule="auto"/>
        <w:jc w:val="left"/>
        <w:rPr>
          <w:rFonts w:hint="eastAsia" w:ascii="仿宋" w:hAnsi="仿宋" w:eastAsia="仿宋"/>
          <w:b/>
          <w:snapToGrid w:val="0"/>
          <w:sz w:val="26"/>
          <w:szCs w:val="28"/>
          <w:u w:val="single"/>
        </w:rPr>
      </w:pPr>
    </w:p>
    <w:p w14:paraId="2D2E1CF0">
      <w:pPr>
        <w:autoSpaceDE w:val="0"/>
        <w:autoSpaceDN w:val="0"/>
        <w:adjustRightInd w:val="0"/>
        <w:spacing w:line="360" w:lineRule="auto"/>
        <w:jc w:val="center"/>
        <w:outlineLvl w:val="0"/>
        <w:rPr>
          <w:rFonts w:hint="eastAsia" w:ascii="仿宋" w:hAnsi="仿宋" w:eastAsia="仿宋" w:cs="宋体"/>
          <w:b/>
          <w:bCs/>
          <w:sz w:val="32"/>
          <w:lang w:val="zh-CN"/>
        </w:rPr>
      </w:pPr>
      <w:r>
        <w:rPr>
          <w:rFonts w:hint="eastAsia" w:ascii="仿宋" w:hAnsi="仿宋" w:eastAsia="仿宋" w:cs="宋体"/>
          <w:b/>
          <w:bCs/>
          <w:sz w:val="32"/>
          <w:lang w:val="zh-CN"/>
        </w:rPr>
        <w:t>目  录</w:t>
      </w:r>
    </w:p>
    <w:p w14:paraId="5D18EFB0">
      <w:pPr>
        <w:autoSpaceDE w:val="0"/>
        <w:autoSpaceDN w:val="0"/>
        <w:adjustRightInd w:val="0"/>
        <w:spacing w:before="159" w:beforeLines="50" w:after="159" w:afterLines="50" w:line="360" w:lineRule="auto"/>
        <w:ind w:firstLine="556"/>
        <w:rPr>
          <w:rFonts w:hint="eastAsia" w:ascii="仿宋" w:hAnsi="仿宋" w:eastAsia="仿宋" w:cs="宋体"/>
          <w:sz w:val="28"/>
          <w:lang w:val="zh-CN"/>
        </w:rPr>
      </w:pPr>
      <w:r>
        <w:rPr>
          <w:rFonts w:hint="eastAsia" w:ascii="仿宋" w:hAnsi="仿宋" w:eastAsia="仿宋" w:cs="宋体"/>
          <w:bCs/>
          <w:sz w:val="28"/>
        </w:rPr>
        <w:t>第一部分  竞争性</w:t>
      </w:r>
      <w:r>
        <w:rPr>
          <w:rFonts w:hint="eastAsia" w:ascii="仿宋" w:hAnsi="仿宋" w:eastAsia="仿宋" w:cs="宋体"/>
          <w:sz w:val="28"/>
        </w:rPr>
        <w:t>磋商采购邀请</w:t>
      </w:r>
    </w:p>
    <w:p w14:paraId="20B01E3D">
      <w:pPr>
        <w:autoSpaceDE w:val="0"/>
        <w:autoSpaceDN w:val="0"/>
        <w:adjustRightInd w:val="0"/>
        <w:spacing w:before="159" w:beforeLines="50" w:after="159" w:afterLines="50" w:line="360" w:lineRule="auto"/>
        <w:ind w:firstLine="556"/>
        <w:rPr>
          <w:rFonts w:hint="eastAsia" w:ascii="仿宋" w:hAnsi="仿宋" w:eastAsia="仿宋" w:cs="宋体"/>
          <w:sz w:val="28"/>
          <w:lang w:val="zh-CN"/>
        </w:rPr>
      </w:pPr>
      <w:r>
        <w:rPr>
          <w:rFonts w:hint="eastAsia" w:ascii="仿宋" w:hAnsi="仿宋" w:eastAsia="仿宋" w:cs="宋体"/>
          <w:bCs/>
          <w:sz w:val="28"/>
        </w:rPr>
        <w:t>第二部分  供应商</w:t>
      </w:r>
      <w:r>
        <w:rPr>
          <w:rFonts w:hint="eastAsia" w:ascii="仿宋" w:hAnsi="仿宋" w:eastAsia="仿宋" w:cs="宋体"/>
          <w:sz w:val="28"/>
          <w:lang w:val="zh-CN"/>
        </w:rPr>
        <w:t>须知</w:t>
      </w:r>
    </w:p>
    <w:p w14:paraId="1F84C1D6">
      <w:pPr>
        <w:autoSpaceDE w:val="0"/>
        <w:autoSpaceDN w:val="0"/>
        <w:adjustRightInd w:val="0"/>
        <w:spacing w:before="159" w:beforeLines="50" w:after="159" w:afterLines="50" w:line="360" w:lineRule="auto"/>
        <w:ind w:firstLine="537"/>
        <w:rPr>
          <w:rFonts w:hint="eastAsia" w:ascii="仿宋" w:hAnsi="仿宋" w:eastAsia="仿宋" w:cs="宋体"/>
          <w:sz w:val="28"/>
          <w:lang w:val="zh-CN"/>
        </w:rPr>
      </w:pPr>
      <w:r>
        <w:rPr>
          <w:rFonts w:hint="eastAsia" w:ascii="仿宋" w:hAnsi="仿宋" w:eastAsia="仿宋" w:cs="宋体"/>
          <w:bCs/>
          <w:sz w:val="28"/>
        </w:rPr>
        <w:t xml:space="preserve">第三部分  </w:t>
      </w:r>
      <w:r>
        <w:rPr>
          <w:rFonts w:hint="eastAsia" w:ascii="仿宋" w:hAnsi="仿宋" w:eastAsia="仿宋" w:cs="宋体"/>
          <w:sz w:val="28"/>
          <w:lang w:val="zh-CN"/>
        </w:rPr>
        <w:t>项目需求</w:t>
      </w:r>
    </w:p>
    <w:p w14:paraId="430CE0A5">
      <w:pPr>
        <w:autoSpaceDE w:val="0"/>
        <w:autoSpaceDN w:val="0"/>
        <w:adjustRightInd w:val="0"/>
        <w:spacing w:before="159" w:beforeLines="50" w:after="159" w:afterLines="50" w:line="360" w:lineRule="auto"/>
        <w:ind w:firstLine="537"/>
        <w:rPr>
          <w:rFonts w:hint="eastAsia" w:ascii="仿宋" w:hAnsi="仿宋" w:eastAsia="仿宋" w:cs="宋体"/>
          <w:bCs/>
          <w:sz w:val="28"/>
        </w:rPr>
      </w:pPr>
      <w:r>
        <w:rPr>
          <w:rFonts w:hint="eastAsia" w:ascii="仿宋" w:hAnsi="仿宋" w:eastAsia="仿宋" w:cs="宋体"/>
          <w:bCs/>
          <w:sz w:val="28"/>
        </w:rPr>
        <w:t>第四部分  评标办法</w:t>
      </w:r>
    </w:p>
    <w:p w14:paraId="6012F2BB">
      <w:pPr>
        <w:autoSpaceDE w:val="0"/>
        <w:autoSpaceDN w:val="0"/>
        <w:adjustRightInd w:val="0"/>
        <w:spacing w:before="159" w:beforeLines="50" w:after="159" w:afterLines="50" w:line="360" w:lineRule="auto"/>
        <w:ind w:firstLine="537"/>
        <w:rPr>
          <w:rFonts w:hint="eastAsia" w:ascii="仿宋" w:hAnsi="仿宋" w:eastAsia="仿宋" w:cs="宋体"/>
          <w:bCs/>
          <w:sz w:val="28"/>
        </w:rPr>
      </w:pPr>
      <w:r>
        <w:rPr>
          <w:rFonts w:hint="eastAsia" w:ascii="仿宋" w:hAnsi="仿宋" w:eastAsia="仿宋" w:cs="宋体"/>
          <w:bCs/>
          <w:sz w:val="28"/>
        </w:rPr>
        <w:t>第五部分  质疑提出和处理</w:t>
      </w:r>
    </w:p>
    <w:p w14:paraId="51F6D323">
      <w:pPr>
        <w:autoSpaceDE w:val="0"/>
        <w:autoSpaceDN w:val="0"/>
        <w:adjustRightInd w:val="0"/>
        <w:spacing w:before="159" w:beforeLines="50" w:after="159" w:afterLines="50" w:line="360" w:lineRule="auto"/>
        <w:ind w:firstLine="537"/>
        <w:rPr>
          <w:rFonts w:hint="eastAsia" w:ascii="仿宋" w:hAnsi="仿宋" w:eastAsia="仿宋" w:cs="宋体"/>
          <w:bCs/>
          <w:sz w:val="28"/>
        </w:rPr>
      </w:pPr>
      <w:r>
        <w:rPr>
          <w:rFonts w:hint="eastAsia" w:ascii="仿宋" w:hAnsi="仿宋" w:eastAsia="仿宋" w:cs="宋体"/>
          <w:bCs/>
          <w:sz w:val="28"/>
        </w:rPr>
        <w:t>第六部分  响应文件组成及格式</w:t>
      </w:r>
    </w:p>
    <w:p w14:paraId="050ED271">
      <w:pPr>
        <w:spacing w:line="360" w:lineRule="auto"/>
        <w:jc w:val="center"/>
        <w:rPr>
          <w:rFonts w:hint="eastAsia" w:ascii="仿宋" w:hAnsi="仿宋" w:eastAsia="仿宋" w:cs="宋体"/>
          <w:sz w:val="24"/>
        </w:rPr>
      </w:pPr>
      <w:bookmarkStart w:id="0" w:name="_Toc312608845"/>
      <w:bookmarkStart w:id="1" w:name="_Toc241913651"/>
      <w:bookmarkStart w:id="2" w:name="_Toc257275442"/>
      <w:r>
        <w:rPr>
          <w:rFonts w:hint="eastAsia" w:ascii="仿宋" w:hAnsi="仿宋" w:eastAsia="仿宋" w:cs="宋体"/>
          <w:kern w:val="44"/>
          <w:sz w:val="24"/>
        </w:rPr>
        <w:br w:type="page"/>
      </w:r>
      <w:bookmarkEnd w:id="0"/>
      <w:bookmarkEnd w:id="1"/>
      <w:bookmarkEnd w:id="2"/>
    </w:p>
    <w:p w14:paraId="24ABDBAB">
      <w:pPr>
        <w:pStyle w:val="2"/>
        <w:spacing w:before="240" w:after="240" w:line="480" w:lineRule="exact"/>
        <w:jc w:val="center"/>
        <w:rPr>
          <w:rFonts w:hint="eastAsia" w:ascii="仿宋" w:hAnsi="仿宋" w:eastAsia="仿宋"/>
          <w:sz w:val="32"/>
          <w:szCs w:val="32"/>
          <w:lang w:val="en-US"/>
        </w:rPr>
      </w:pPr>
      <w:r>
        <w:rPr>
          <w:rFonts w:hint="eastAsia" w:ascii="仿宋" w:hAnsi="仿宋" w:eastAsia="仿宋"/>
          <w:sz w:val="32"/>
          <w:szCs w:val="32"/>
        </w:rPr>
        <w:t>第一部分 竞争性磋商</w:t>
      </w:r>
      <w:r>
        <w:rPr>
          <w:rFonts w:hint="eastAsia" w:ascii="仿宋" w:hAnsi="仿宋" w:eastAsia="仿宋"/>
          <w:sz w:val="32"/>
          <w:szCs w:val="32"/>
          <w:lang w:val="en-US"/>
        </w:rPr>
        <w:t>采购邀请</w:t>
      </w:r>
    </w:p>
    <w:p w14:paraId="701705CF">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一、项目概况</w:t>
      </w:r>
    </w:p>
    <w:p w14:paraId="3E46DC79">
      <w:pPr>
        <w:widowControl/>
        <w:shd w:val="clear" w:color="auto" w:fill="FFFFFF"/>
        <w:spacing w:line="480" w:lineRule="exact"/>
        <w:ind w:firstLine="560" w:firstLineChars="200"/>
        <w:jc w:val="left"/>
        <w:rPr>
          <w:rFonts w:hint="eastAsia" w:ascii="仿宋" w:hAnsi="仿宋" w:eastAsia="仿宋" w:cs="仿宋"/>
          <w:sz w:val="28"/>
          <w:szCs w:val="28"/>
        </w:rPr>
      </w:pPr>
      <w:bookmarkStart w:id="3" w:name="OLE_LINK35"/>
      <w:bookmarkStart w:id="4" w:name="OLE_LINK36"/>
      <w:bookmarkStart w:id="5" w:name="OLE_LINK453"/>
      <w:r>
        <w:rPr>
          <w:rFonts w:ascii="仿宋" w:hAnsi="仿宋" w:eastAsia="仿宋" w:cs="仿宋"/>
          <w:sz w:val="28"/>
          <w:szCs w:val="28"/>
        </w:rPr>
        <w:t>随着医疗行业信息化进程的加速推进，</w:t>
      </w:r>
      <w:r>
        <w:rPr>
          <w:rFonts w:hint="eastAsia" w:ascii="仿宋" w:hAnsi="仿宋" w:eastAsia="仿宋" w:cs="仿宋"/>
          <w:sz w:val="28"/>
          <w:szCs w:val="28"/>
        </w:rPr>
        <w:t>南通市</w:t>
      </w:r>
      <w:r>
        <w:rPr>
          <w:rFonts w:ascii="仿宋" w:hAnsi="仿宋" w:eastAsia="仿宋" w:cs="仿宋"/>
          <w:sz w:val="28"/>
          <w:szCs w:val="28"/>
        </w:rPr>
        <w:t>通州</w:t>
      </w:r>
      <w:r>
        <w:rPr>
          <w:rFonts w:hint="eastAsia" w:ascii="仿宋" w:hAnsi="仿宋" w:eastAsia="仿宋" w:cs="仿宋"/>
          <w:sz w:val="28"/>
          <w:szCs w:val="28"/>
        </w:rPr>
        <w:t>区</w:t>
      </w:r>
      <w:r>
        <w:rPr>
          <w:rFonts w:ascii="仿宋" w:hAnsi="仿宋" w:eastAsia="仿宋" w:cs="仿宋"/>
          <w:sz w:val="28"/>
          <w:szCs w:val="28"/>
        </w:rPr>
        <w:t>第二人民医院现有的信息基础设施已难以满足日益增长的业务需求和智能化管理要求。为提升医院信息化服务水平，保障医疗业务高效稳定运行，优化患者就医体验，特</w:t>
      </w:r>
      <w:r>
        <w:rPr>
          <w:rFonts w:hint="eastAsia" w:ascii="仿宋" w:hAnsi="仿宋" w:eastAsia="仿宋" w:cs="仿宋"/>
          <w:sz w:val="28"/>
          <w:szCs w:val="28"/>
        </w:rPr>
        <w:t>进行此次项目的竞争性磋商，</w:t>
      </w:r>
      <w:r>
        <w:rPr>
          <w:rFonts w:hint="eastAsia" w:ascii="MS Gothic" w:hAnsi="MS Gothic" w:eastAsia="MS Gothic" w:cs="MS Gothic"/>
          <w:sz w:val="28"/>
          <w:szCs w:val="28"/>
        </w:rPr>
        <w:t>​</w:t>
      </w:r>
      <w:bookmarkEnd w:id="3"/>
      <w:bookmarkEnd w:id="4"/>
      <w:bookmarkEnd w:id="5"/>
      <w:r>
        <w:rPr>
          <w:rFonts w:hint="eastAsia" w:ascii="仿宋" w:hAnsi="仿宋" w:eastAsia="仿宋" w:cs="仿宋"/>
          <w:sz w:val="28"/>
          <w:szCs w:val="28"/>
        </w:rPr>
        <w:t>该项目的被邀请供应商请认真阅读本采购文件。</w:t>
      </w:r>
    </w:p>
    <w:p w14:paraId="3F84D49D">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二、项目基本情况</w:t>
      </w:r>
    </w:p>
    <w:p w14:paraId="65DD6FE3">
      <w:pPr>
        <w:widowControl/>
        <w:shd w:val="clear" w:color="auto" w:fill="FFFFFF"/>
        <w:spacing w:line="480" w:lineRule="exact"/>
        <w:ind w:firstLine="560" w:firstLineChars="200"/>
        <w:jc w:val="left"/>
        <w:rPr>
          <w:rFonts w:hint="eastAsia" w:ascii="仿宋" w:hAnsi="仿宋" w:eastAsia="仿宋" w:cs="宋体"/>
          <w:sz w:val="28"/>
          <w:u w:val="single"/>
        </w:rPr>
      </w:pPr>
      <w:r>
        <w:rPr>
          <w:rFonts w:hint="eastAsia" w:ascii="仿宋" w:hAnsi="仿宋" w:eastAsia="仿宋" w:cs="仿宋"/>
          <w:sz w:val="28"/>
          <w:szCs w:val="28"/>
        </w:rPr>
        <w:t>项目名称：</w:t>
      </w:r>
      <w:r>
        <w:rPr>
          <w:rFonts w:hint="eastAsia" w:ascii="仿宋" w:hAnsi="仿宋" w:eastAsia="仿宋" w:cs="宋体"/>
          <w:sz w:val="28"/>
          <w:highlight w:val="none"/>
          <w:u w:val="single"/>
        </w:rPr>
        <w:t>南通市通州区第二人民医院网络改造一期项目</w:t>
      </w:r>
    </w:p>
    <w:p w14:paraId="7B1A4408">
      <w:pPr>
        <w:widowControl/>
        <w:shd w:val="clear" w:color="auto" w:fill="FFFFFF"/>
        <w:spacing w:line="480" w:lineRule="exact"/>
        <w:ind w:firstLine="560" w:firstLineChars="200"/>
        <w:jc w:val="left"/>
        <w:rPr>
          <w:rFonts w:hint="eastAsia" w:ascii="仿宋" w:hAnsi="仿宋" w:eastAsia="仿宋" w:cs="宋体"/>
          <w:sz w:val="28"/>
          <w:u w:val="single"/>
        </w:rPr>
      </w:pPr>
      <w:r>
        <w:rPr>
          <w:rFonts w:hint="eastAsia" w:ascii="仿宋" w:hAnsi="仿宋" w:eastAsia="仿宋" w:cs="仿宋"/>
          <w:sz w:val="28"/>
          <w:szCs w:val="28"/>
        </w:rPr>
        <w:t>预算金额：</w:t>
      </w:r>
      <w:r>
        <w:rPr>
          <w:rFonts w:hint="eastAsia" w:ascii="仿宋" w:hAnsi="仿宋" w:eastAsia="仿宋" w:cs="宋体"/>
          <w:sz w:val="28"/>
          <w:u w:val="single"/>
        </w:rPr>
        <w:t xml:space="preserve">   </w:t>
      </w:r>
      <w:r>
        <w:rPr>
          <w:rFonts w:ascii="仿宋" w:hAnsi="仿宋" w:eastAsia="仿宋" w:cs="宋体"/>
          <w:sz w:val="28"/>
          <w:u w:val="single"/>
        </w:rPr>
        <w:t>21</w:t>
      </w:r>
      <w:r>
        <w:rPr>
          <w:rFonts w:hint="eastAsia" w:ascii="仿宋" w:hAnsi="仿宋" w:eastAsia="仿宋" w:cs="宋体"/>
          <w:sz w:val="28"/>
          <w:u w:val="single"/>
        </w:rPr>
        <w:t xml:space="preserve">  万元   </w:t>
      </w:r>
    </w:p>
    <w:p w14:paraId="39B0EEAD">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最终报价超过采购预算的为无效投标文件。发现供应商报价明显低于项目预算，有可能低于其实际货物成本的，请供应商合理说明并提供依据，否则作无效投标处理。</w:t>
      </w:r>
    </w:p>
    <w:p w14:paraId="53C141C8">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u w:val="single"/>
        </w:rPr>
        <w:t>详见第三部分项目需求，</w:t>
      </w:r>
      <w:r>
        <w:rPr>
          <w:rFonts w:ascii="仿宋" w:hAnsi="仿宋" w:eastAsia="仿宋" w:cs="仿宋"/>
          <w:sz w:val="28"/>
          <w:szCs w:val="28"/>
          <w:u w:val="single"/>
        </w:rPr>
        <w:t>请仔细研究</w:t>
      </w:r>
      <w:r>
        <w:rPr>
          <w:rFonts w:hint="eastAsia" w:ascii="仿宋" w:hAnsi="仿宋" w:eastAsia="仿宋" w:cs="仿宋"/>
          <w:sz w:val="28"/>
          <w:szCs w:val="28"/>
          <w:u w:val="single"/>
        </w:rPr>
        <w:t xml:space="preserve"> </w:t>
      </w:r>
      <w:r>
        <w:rPr>
          <w:rFonts w:ascii="仿宋" w:hAnsi="仿宋" w:eastAsia="仿宋" w:cs="仿宋"/>
          <w:sz w:val="28"/>
          <w:szCs w:val="28"/>
        </w:rPr>
        <w:t>。</w:t>
      </w:r>
    </w:p>
    <w:p w14:paraId="380574D1">
      <w:pPr>
        <w:spacing w:line="460" w:lineRule="exact"/>
        <w:ind w:firstLine="480"/>
        <w:jc w:val="left"/>
        <w:rPr>
          <w:rFonts w:hint="eastAsia" w:ascii="仿宋" w:hAnsi="仿宋" w:eastAsia="仿宋" w:cs="仿宋"/>
          <w:sz w:val="28"/>
          <w:szCs w:val="28"/>
        </w:rPr>
      </w:pPr>
      <w:r>
        <w:rPr>
          <w:rFonts w:hint="eastAsia" w:ascii="仿宋" w:hAnsi="仿宋" w:eastAsia="仿宋" w:cs="仿宋"/>
          <w:sz w:val="28"/>
          <w:szCs w:val="28"/>
        </w:rPr>
        <w:t>合同履行期限：自合同签定之日起</w:t>
      </w:r>
      <w:r>
        <w:rPr>
          <w:rFonts w:ascii="仿宋" w:hAnsi="仿宋" w:eastAsia="仿宋" w:cs="仿宋"/>
          <w:sz w:val="28"/>
          <w:szCs w:val="28"/>
          <w:u w:val="single"/>
        </w:rPr>
        <w:t xml:space="preserve">  60  </w:t>
      </w:r>
      <w:r>
        <w:rPr>
          <w:rFonts w:hint="eastAsia" w:ascii="仿宋" w:hAnsi="仿宋" w:eastAsia="仿宋" w:cs="仿宋"/>
          <w:sz w:val="28"/>
          <w:szCs w:val="28"/>
        </w:rPr>
        <w:t>天内，完成供货、安装、调试、集成服务及交付使用，质保期自验收合格之日起算三年。</w:t>
      </w:r>
    </w:p>
    <w:p w14:paraId="445F43A0">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项目类型：工程。</w:t>
      </w:r>
    </w:p>
    <w:p w14:paraId="15B238D4">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所属行业：软件和信息技术服务业。</w:t>
      </w:r>
    </w:p>
    <w:p w14:paraId="713ADF79">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三、申请人的资格要求：</w:t>
      </w:r>
    </w:p>
    <w:p w14:paraId="7A9C2994">
      <w:pPr>
        <w:spacing w:line="360" w:lineRule="auto"/>
        <w:ind w:firstLine="480"/>
        <w:rPr>
          <w:rFonts w:hint="eastAsia" w:ascii="仿宋" w:hAnsi="仿宋" w:eastAsia="仿宋" w:cs="宋体"/>
          <w:sz w:val="28"/>
          <w:szCs w:val="28"/>
        </w:rPr>
      </w:pPr>
      <w:r>
        <w:rPr>
          <w:rFonts w:hint="eastAsia" w:ascii="仿宋" w:hAnsi="仿宋" w:eastAsia="仿宋" w:cs="宋体"/>
          <w:sz w:val="28"/>
          <w:szCs w:val="28"/>
        </w:rPr>
        <w:t>（一）通用资格要求</w:t>
      </w:r>
    </w:p>
    <w:p w14:paraId="53F40016">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r>
        <w:rPr>
          <w:rFonts w:hint="eastAsia" w:ascii="仿宋" w:hAnsi="仿宋" w:eastAsia="仿宋" w:cs="宋体"/>
          <w:sz w:val="28"/>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52B4266E">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64332D04">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3.本项目不接受联合体投标。</w:t>
      </w:r>
    </w:p>
    <w:p w14:paraId="1A52D13D">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4.本项目不接受分包。</w:t>
      </w:r>
    </w:p>
    <w:p w14:paraId="7631E261">
      <w:pPr>
        <w:spacing w:line="360" w:lineRule="auto"/>
        <w:ind w:firstLine="480"/>
        <w:rPr>
          <w:rFonts w:hint="eastAsia" w:ascii="仿宋" w:hAnsi="仿宋" w:eastAsia="仿宋" w:cs="宋体"/>
          <w:sz w:val="28"/>
          <w:szCs w:val="28"/>
        </w:rPr>
      </w:pPr>
      <w:r>
        <w:rPr>
          <w:rFonts w:hint="eastAsia" w:ascii="仿宋" w:hAnsi="仿宋" w:eastAsia="仿宋" w:cs="宋体"/>
          <w:sz w:val="28"/>
          <w:szCs w:val="28"/>
        </w:rPr>
        <w:t>（二）本项目的特定资格要求：无</w:t>
      </w:r>
    </w:p>
    <w:p w14:paraId="4A4FEF9A">
      <w:pPr>
        <w:widowControl/>
        <w:shd w:val="clear" w:color="auto" w:fill="FFFFFF"/>
        <w:spacing w:line="480" w:lineRule="exact"/>
        <w:ind w:firstLine="562" w:firstLineChars="200"/>
        <w:jc w:val="left"/>
        <w:rPr>
          <w:rFonts w:hint="eastAsia" w:ascii="仿宋" w:hAnsi="仿宋" w:eastAsia="仿宋" w:cs="仿宋"/>
          <w:sz w:val="28"/>
          <w:szCs w:val="28"/>
          <w:u w:val="single"/>
        </w:rPr>
      </w:pPr>
      <w:r>
        <w:rPr>
          <w:rFonts w:hint="eastAsia" w:ascii="仿宋" w:hAnsi="仿宋" w:eastAsia="仿宋" w:cs="仿宋"/>
          <w:b/>
          <w:sz w:val="28"/>
          <w:szCs w:val="28"/>
        </w:rPr>
        <w:t>三、获取磋商采购文件时间：</w:t>
      </w:r>
      <w:r>
        <w:rPr>
          <w:rFonts w:hint="eastAsia" w:ascii="仿宋" w:hAnsi="仿宋" w:eastAsia="仿宋" w:cs="仿宋"/>
          <w:sz w:val="28"/>
          <w:szCs w:val="28"/>
          <w:u w:val="single"/>
        </w:rPr>
        <w:t>2025年10月0</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日至2025年10月</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日</w:t>
      </w:r>
    </w:p>
    <w:p w14:paraId="48E37E86">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四、提交磋商响应文件截止时间和地点</w:t>
      </w:r>
    </w:p>
    <w:p w14:paraId="5A79AB3A">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2025年10月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日14点30分（北京时间）</w:t>
      </w:r>
    </w:p>
    <w:p w14:paraId="08AAB407">
      <w:pPr>
        <w:widowControl/>
        <w:shd w:val="clear" w:color="auto" w:fill="FFFFFF"/>
        <w:spacing w:line="480" w:lineRule="exact"/>
        <w:ind w:firstLine="560" w:firstLineChars="200"/>
        <w:jc w:val="left"/>
        <w:rPr>
          <w:rFonts w:hint="eastAsia" w:ascii="仿宋" w:hAnsi="仿宋" w:eastAsia="仿宋"/>
          <w:sz w:val="28"/>
          <w:szCs w:val="28"/>
          <w:u w:val="single"/>
        </w:rPr>
      </w:pPr>
      <w:r>
        <w:rPr>
          <w:rFonts w:hint="eastAsia" w:ascii="仿宋" w:hAnsi="仿宋" w:eastAsia="仿宋" w:cs="仿宋"/>
          <w:sz w:val="28"/>
          <w:szCs w:val="28"/>
        </w:rPr>
        <w:t>地点：</w:t>
      </w:r>
      <w:r>
        <w:rPr>
          <w:rFonts w:hint="eastAsia" w:ascii="仿宋" w:hAnsi="仿宋" w:eastAsia="仿宋" w:cs="仿宋"/>
          <w:sz w:val="28"/>
          <w:szCs w:val="28"/>
          <w:u w:val="single"/>
        </w:rPr>
        <w:t>南通市通州区第二人民医院</w:t>
      </w:r>
    </w:p>
    <w:p w14:paraId="17C92FDC">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五、磋商时间和地点</w:t>
      </w:r>
    </w:p>
    <w:p w14:paraId="1C3DD10F">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bookmarkStart w:id="6" w:name="OLE_LINK28"/>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10</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u w:val="single"/>
        </w:rPr>
        <w:t>日</w:t>
      </w:r>
      <w:r>
        <w:rPr>
          <w:rFonts w:ascii="仿宋" w:hAnsi="仿宋" w:eastAsia="仿宋" w:cs="仿宋"/>
          <w:sz w:val="28"/>
          <w:szCs w:val="28"/>
          <w:u w:val="single"/>
        </w:rPr>
        <w:t>1</w:t>
      </w:r>
      <w:r>
        <w:rPr>
          <w:rFonts w:hint="eastAsia" w:ascii="仿宋" w:hAnsi="仿宋" w:eastAsia="仿宋" w:cs="仿宋"/>
          <w:sz w:val="28"/>
          <w:szCs w:val="28"/>
          <w:u w:val="single"/>
        </w:rPr>
        <w:t>4点30分（北京时间）</w:t>
      </w:r>
    </w:p>
    <w:p w14:paraId="0A89E087">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u w:val="single"/>
        </w:rPr>
        <w:t>南通市通州区第二人民医院</w:t>
      </w:r>
      <w:r>
        <w:rPr>
          <w:rFonts w:hint="eastAsia" w:ascii="仿宋" w:hAnsi="仿宋" w:eastAsia="仿宋"/>
          <w:sz w:val="28"/>
          <w:szCs w:val="28"/>
          <w:u w:val="single"/>
        </w:rPr>
        <w:t>（若有调整，另行通知）</w:t>
      </w:r>
    </w:p>
    <w:bookmarkEnd w:id="6"/>
    <w:p w14:paraId="667757BC">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六、公告期限</w:t>
      </w:r>
    </w:p>
    <w:p w14:paraId="0B6DA616">
      <w:pPr>
        <w:widowControl/>
        <w:shd w:val="clear" w:color="auto" w:fill="FFFFFF"/>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自本公告发布之日起10天。</w:t>
      </w:r>
    </w:p>
    <w:p w14:paraId="088944DB">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七、其他补充事宜</w:t>
      </w:r>
    </w:p>
    <w:p w14:paraId="15233524">
      <w:pPr>
        <w:spacing w:line="480" w:lineRule="exact"/>
        <w:ind w:firstLine="560" w:firstLineChars="200"/>
        <w:rPr>
          <w:rFonts w:hint="eastAsia" w:ascii="仿宋" w:hAnsi="仿宋" w:eastAsia="仿宋"/>
          <w:sz w:val="28"/>
          <w:szCs w:val="28"/>
          <w:lang w:val="zh-CN"/>
        </w:rPr>
      </w:pPr>
      <w:r>
        <w:rPr>
          <w:rFonts w:hint="eastAsia" w:ascii="仿宋" w:hAnsi="仿宋" w:eastAsia="仿宋"/>
          <w:sz w:val="28"/>
          <w:szCs w:val="28"/>
        </w:rPr>
        <w:t>磋商保证金</w:t>
      </w:r>
      <w:r>
        <w:rPr>
          <w:rFonts w:hint="eastAsia" w:ascii="仿宋" w:hAnsi="仿宋" w:eastAsia="仿宋"/>
          <w:sz w:val="28"/>
          <w:szCs w:val="28"/>
          <w:u w:val="single"/>
        </w:rPr>
        <w:t>不收取</w:t>
      </w:r>
      <w:r>
        <w:rPr>
          <w:rFonts w:hint="eastAsia" w:ascii="仿宋" w:hAnsi="仿宋" w:eastAsia="仿宋"/>
          <w:sz w:val="28"/>
          <w:szCs w:val="28"/>
        </w:rPr>
        <w:t>。</w:t>
      </w:r>
      <w:bookmarkStart w:id="27" w:name="_GoBack"/>
      <w:bookmarkEnd w:id="27"/>
    </w:p>
    <w:p w14:paraId="02BA66AC">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八、对本次招标提出询问，请按以下方式联系。</w:t>
      </w:r>
    </w:p>
    <w:p w14:paraId="440177A0">
      <w:pPr>
        <w:widowControl/>
        <w:shd w:val="clear" w:color="auto" w:fill="FFFFFF"/>
        <w:adjustRightInd w:val="0"/>
        <w:spacing w:line="480" w:lineRule="exact"/>
        <w:ind w:firstLine="560" w:firstLineChars="200"/>
        <w:jc w:val="left"/>
        <w:rPr>
          <w:rFonts w:hint="eastAsia" w:ascii="仿宋" w:hAnsi="仿宋" w:eastAsia="仿宋"/>
          <w:sz w:val="28"/>
          <w:szCs w:val="28"/>
          <w:lang w:val="zh-CN"/>
        </w:rPr>
      </w:pPr>
      <w:r>
        <w:rPr>
          <w:rFonts w:hint="eastAsia" w:ascii="仿宋" w:hAnsi="仿宋" w:eastAsia="仿宋"/>
          <w:sz w:val="28"/>
          <w:szCs w:val="28"/>
          <w:lang w:val="zh-CN"/>
        </w:rPr>
        <w:t>1.采购人信息</w:t>
      </w:r>
    </w:p>
    <w:p w14:paraId="0757163D">
      <w:pPr>
        <w:widowControl/>
        <w:shd w:val="clear" w:color="auto" w:fill="FFFFFF"/>
        <w:adjustRightInd w:val="0"/>
        <w:spacing w:line="480" w:lineRule="exact"/>
        <w:ind w:firstLine="560" w:firstLineChars="200"/>
        <w:jc w:val="left"/>
        <w:rPr>
          <w:rFonts w:hint="eastAsia" w:ascii="仿宋" w:hAnsi="仿宋" w:eastAsia="仿宋"/>
          <w:sz w:val="28"/>
          <w:szCs w:val="28"/>
          <w:lang w:val="zh-CN"/>
        </w:rPr>
      </w:pPr>
      <w:r>
        <w:rPr>
          <w:rFonts w:hint="eastAsia" w:ascii="仿宋" w:hAnsi="仿宋" w:eastAsia="仿宋"/>
          <w:sz w:val="28"/>
          <w:szCs w:val="28"/>
          <w:lang w:val="zh-CN"/>
        </w:rPr>
        <w:t>名 称：</w:t>
      </w:r>
      <w:r>
        <w:rPr>
          <w:rFonts w:hint="eastAsia" w:ascii="仿宋" w:hAnsi="仿宋" w:eastAsia="仿宋" w:cs="仿宋"/>
          <w:sz w:val="28"/>
          <w:szCs w:val="28"/>
        </w:rPr>
        <w:t>南通市通州区第二人民医院</w:t>
      </w:r>
    </w:p>
    <w:p w14:paraId="32FCD5DD">
      <w:pPr>
        <w:widowControl/>
        <w:shd w:val="clear" w:color="auto" w:fill="FFFFFF"/>
        <w:adjustRightInd w:val="0"/>
        <w:spacing w:line="480" w:lineRule="exact"/>
        <w:ind w:firstLine="560" w:firstLineChars="200"/>
        <w:jc w:val="left"/>
        <w:rPr>
          <w:rFonts w:hint="eastAsia" w:ascii="仿宋" w:hAnsi="仿宋" w:eastAsia="仿宋"/>
          <w:sz w:val="28"/>
          <w:szCs w:val="28"/>
          <w:highlight w:val="none"/>
          <w:lang w:val="zh-CN"/>
        </w:rPr>
      </w:pPr>
      <w:r>
        <w:rPr>
          <w:rFonts w:hint="eastAsia" w:ascii="仿宋" w:hAnsi="仿宋" w:eastAsia="仿宋"/>
          <w:sz w:val="28"/>
          <w:szCs w:val="28"/>
          <w:highlight w:val="none"/>
          <w:lang w:val="zh-CN"/>
        </w:rPr>
        <w:t>地址：</w:t>
      </w:r>
      <w:r>
        <w:rPr>
          <w:rFonts w:ascii="仿宋" w:hAnsi="仿宋" w:eastAsia="仿宋"/>
          <w:sz w:val="28"/>
          <w:szCs w:val="28"/>
          <w:highlight w:val="none"/>
          <w:lang w:val="zh-CN"/>
        </w:rPr>
        <w:t xml:space="preserve"> </w:t>
      </w:r>
      <w:r>
        <w:rPr>
          <w:rFonts w:hint="eastAsia" w:ascii="仿宋" w:hAnsi="仿宋" w:eastAsia="仿宋"/>
          <w:sz w:val="28"/>
          <w:szCs w:val="28"/>
          <w:highlight w:val="none"/>
          <w:lang w:val="zh-CN"/>
        </w:rPr>
        <w:t>南通市通州区古盐路15号</w:t>
      </w:r>
    </w:p>
    <w:p w14:paraId="28A53F80">
      <w:pPr>
        <w:widowControl/>
        <w:shd w:val="clear" w:color="auto" w:fill="FFFFFF"/>
        <w:adjustRightInd w:val="0"/>
        <w:spacing w:line="480" w:lineRule="exact"/>
        <w:ind w:firstLine="560" w:firstLineChars="200"/>
        <w:jc w:val="left"/>
        <w:rPr>
          <w:rFonts w:hint="eastAsia" w:ascii="仿宋" w:hAnsi="仿宋" w:eastAsia="仿宋"/>
          <w:sz w:val="28"/>
          <w:szCs w:val="28"/>
          <w:highlight w:val="none"/>
          <w:lang w:val="zh-CN"/>
        </w:rPr>
      </w:pPr>
      <w:r>
        <w:rPr>
          <w:rFonts w:hint="eastAsia" w:ascii="仿宋" w:hAnsi="仿宋" w:eastAsia="仿宋"/>
          <w:sz w:val="28"/>
          <w:szCs w:val="28"/>
          <w:highlight w:val="none"/>
          <w:lang w:val="zh-CN"/>
        </w:rPr>
        <w:t>联系人：</w:t>
      </w:r>
      <w:r>
        <w:rPr>
          <w:rFonts w:ascii="仿宋" w:hAnsi="仿宋" w:eastAsia="仿宋"/>
          <w:sz w:val="28"/>
          <w:szCs w:val="28"/>
          <w:highlight w:val="none"/>
          <w:lang w:val="zh-CN"/>
        </w:rPr>
        <w:t xml:space="preserve"> </w:t>
      </w:r>
      <w:r>
        <w:rPr>
          <w:rFonts w:hint="eastAsia" w:ascii="仿宋" w:hAnsi="仿宋" w:eastAsia="仿宋"/>
          <w:sz w:val="28"/>
          <w:szCs w:val="28"/>
          <w:highlight w:val="none"/>
          <w:lang w:val="zh-CN"/>
        </w:rPr>
        <w:t>吴娜娜</w:t>
      </w:r>
    </w:p>
    <w:p w14:paraId="6681DE86">
      <w:pPr>
        <w:widowControl/>
        <w:shd w:val="clear" w:color="auto" w:fill="FFFFFF"/>
        <w:adjustRightInd w:val="0"/>
        <w:spacing w:line="480" w:lineRule="exact"/>
        <w:ind w:firstLine="560" w:firstLineChars="200"/>
        <w:jc w:val="left"/>
        <w:rPr>
          <w:rFonts w:hint="eastAsia" w:ascii="仿宋" w:hAnsi="仿宋" w:eastAsia="仿宋"/>
          <w:sz w:val="28"/>
          <w:szCs w:val="28"/>
          <w:highlight w:val="none"/>
          <w:lang w:val="zh-CN"/>
        </w:rPr>
      </w:pPr>
      <w:r>
        <w:rPr>
          <w:rFonts w:hint="eastAsia" w:ascii="仿宋" w:hAnsi="仿宋" w:eastAsia="仿宋"/>
          <w:sz w:val="28"/>
          <w:szCs w:val="28"/>
          <w:highlight w:val="none"/>
          <w:lang w:val="zh-CN"/>
        </w:rPr>
        <w:t>联系方式：</w:t>
      </w:r>
      <w:r>
        <w:rPr>
          <w:rFonts w:hint="eastAsia" w:ascii="仿宋" w:hAnsi="仿宋" w:eastAsia="仿宋"/>
          <w:sz w:val="28"/>
          <w:szCs w:val="28"/>
          <w:highlight w:val="none"/>
          <w:lang w:val="en-US" w:eastAsia="zh-CN"/>
        </w:rPr>
        <w:t>15162864329</w:t>
      </w:r>
      <w:r>
        <w:rPr>
          <w:rFonts w:ascii="仿宋" w:hAnsi="仿宋" w:eastAsia="仿宋"/>
          <w:sz w:val="28"/>
          <w:szCs w:val="28"/>
          <w:highlight w:val="none"/>
          <w:lang w:val="zh-CN"/>
        </w:rPr>
        <w:t xml:space="preserve"> </w:t>
      </w:r>
    </w:p>
    <w:p w14:paraId="5C75D3E1">
      <w:pPr>
        <w:widowControl/>
        <w:shd w:val="clear" w:color="auto" w:fill="FFFFFF"/>
        <w:adjustRightInd w:val="0"/>
        <w:spacing w:line="480" w:lineRule="exact"/>
        <w:jc w:val="left"/>
        <w:rPr>
          <w:rFonts w:hint="eastAsia" w:ascii="仿宋" w:hAnsi="仿宋" w:eastAsia="仿宋"/>
          <w:sz w:val="28"/>
          <w:szCs w:val="28"/>
        </w:rPr>
      </w:pPr>
    </w:p>
    <w:p w14:paraId="2F4E39A1">
      <w:pPr>
        <w:widowControl/>
        <w:shd w:val="clear" w:color="auto" w:fill="FFFFFF"/>
        <w:adjustRightInd w:val="0"/>
        <w:spacing w:line="480" w:lineRule="exact"/>
        <w:ind w:firstLine="560" w:firstLineChars="200"/>
        <w:jc w:val="left"/>
        <w:rPr>
          <w:rFonts w:hint="eastAsia" w:ascii="仿宋" w:hAnsi="仿宋" w:eastAsia="仿宋"/>
          <w:sz w:val="28"/>
          <w:szCs w:val="28"/>
        </w:rPr>
      </w:pPr>
    </w:p>
    <w:p w14:paraId="670595A0">
      <w:pPr>
        <w:widowControl/>
        <w:shd w:val="clear" w:color="auto" w:fill="FFFFFF"/>
        <w:adjustRightInd w:val="0"/>
        <w:spacing w:line="480" w:lineRule="exact"/>
        <w:ind w:firstLine="560" w:firstLineChars="200"/>
        <w:jc w:val="left"/>
        <w:rPr>
          <w:rFonts w:hint="eastAsia" w:ascii="仿宋" w:hAnsi="仿宋" w:eastAsia="仿宋"/>
          <w:sz w:val="28"/>
          <w:szCs w:val="28"/>
        </w:rPr>
      </w:pPr>
    </w:p>
    <w:p w14:paraId="5C4A078B">
      <w:pPr>
        <w:snapToGrid w:val="0"/>
        <w:spacing w:line="480" w:lineRule="exact"/>
        <w:ind w:firstLine="3373" w:firstLineChars="1200"/>
        <w:jc w:val="center"/>
        <w:rPr>
          <w:rFonts w:hint="eastAsia" w:ascii="仿宋" w:hAnsi="仿宋" w:eastAsia="仿宋"/>
          <w:b/>
          <w:bCs/>
          <w:sz w:val="28"/>
          <w:szCs w:val="28"/>
        </w:rPr>
      </w:pPr>
      <w:r>
        <w:rPr>
          <w:rFonts w:hint="eastAsia" w:ascii="仿宋" w:hAnsi="仿宋" w:eastAsia="仿宋"/>
          <w:b/>
          <w:bCs/>
          <w:sz w:val="28"/>
          <w:szCs w:val="28"/>
        </w:rPr>
        <w:t>南通市通州区第二人民医院</w:t>
      </w:r>
    </w:p>
    <w:p w14:paraId="513FD2B1">
      <w:pPr>
        <w:snapToGrid w:val="0"/>
        <w:spacing w:line="480" w:lineRule="exact"/>
        <w:ind w:firstLine="3373" w:firstLineChars="1200"/>
        <w:jc w:val="center"/>
        <w:rPr>
          <w:rFonts w:hint="eastAsia" w:ascii="仿宋" w:hAnsi="仿宋" w:eastAsia="仿宋"/>
          <w:b/>
          <w:bCs/>
          <w:sz w:val="28"/>
          <w:szCs w:val="28"/>
        </w:rPr>
      </w:pPr>
      <w:r>
        <w:rPr>
          <w:rFonts w:hint="eastAsia" w:ascii="仿宋" w:hAnsi="仿宋" w:eastAsia="仿宋"/>
          <w:b/>
          <w:bCs/>
          <w:sz w:val="28"/>
          <w:szCs w:val="28"/>
        </w:rPr>
        <w:t>2025年</w:t>
      </w:r>
      <w:r>
        <w:rPr>
          <w:rFonts w:hint="eastAsia" w:ascii="仿宋" w:hAnsi="仿宋" w:eastAsia="仿宋"/>
          <w:b/>
          <w:bCs/>
          <w:sz w:val="28"/>
          <w:szCs w:val="28"/>
          <w:lang w:val="en-US" w:eastAsia="zh-CN"/>
        </w:rPr>
        <w:t>10</w:t>
      </w:r>
      <w:r>
        <w:rPr>
          <w:rFonts w:hint="eastAsia" w:ascii="仿宋" w:hAnsi="仿宋" w:eastAsia="仿宋"/>
          <w:b/>
          <w:bCs/>
          <w:sz w:val="28"/>
          <w:szCs w:val="28"/>
        </w:rPr>
        <w:t>月</w:t>
      </w:r>
      <w:r>
        <w:rPr>
          <w:rFonts w:hint="eastAsia" w:ascii="仿宋" w:hAnsi="仿宋" w:eastAsia="仿宋"/>
          <w:b/>
          <w:bCs/>
          <w:sz w:val="28"/>
          <w:szCs w:val="28"/>
          <w:lang w:val="en-US" w:eastAsia="zh-CN"/>
        </w:rPr>
        <w:t>9</w:t>
      </w:r>
      <w:r>
        <w:rPr>
          <w:rFonts w:hint="eastAsia" w:ascii="仿宋" w:hAnsi="仿宋" w:eastAsia="仿宋"/>
          <w:b/>
          <w:bCs/>
          <w:sz w:val="28"/>
          <w:szCs w:val="28"/>
        </w:rPr>
        <w:t>日</w:t>
      </w:r>
    </w:p>
    <w:p w14:paraId="1882AEB7">
      <w:pPr>
        <w:pStyle w:val="2"/>
        <w:spacing w:before="240" w:after="240" w:line="480" w:lineRule="exact"/>
        <w:jc w:val="center"/>
        <w:rPr>
          <w:rFonts w:hint="eastAsia" w:ascii="仿宋" w:hAnsi="仿宋" w:eastAsia="仿宋"/>
          <w:sz w:val="32"/>
          <w:szCs w:val="32"/>
        </w:rPr>
      </w:pPr>
      <w:r>
        <w:rPr>
          <w:rFonts w:hint="eastAsia" w:ascii="仿宋" w:hAnsi="仿宋" w:eastAsia="仿宋"/>
          <w:sz w:val="32"/>
          <w:szCs w:val="32"/>
        </w:rPr>
        <w:t>第二部分 供应商须知</w:t>
      </w:r>
    </w:p>
    <w:p w14:paraId="687550DC">
      <w:pPr>
        <w:spacing w:line="480" w:lineRule="exact"/>
        <w:ind w:firstLine="562" w:firstLineChars="200"/>
        <w:rPr>
          <w:rFonts w:hint="eastAsia" w:ascii="仿宋" w:hAnsi="仿宋" w:eastAsia="仿宋" w:cs="宋体"/>
          <w:b/>
          <w:sz w:val="28"/>
          <w:lang w:val="zh-CN"/>
        </w:rPr>
      </w:pPr>
      <w:r>
        <w:rPr>
          <w:rFonts w:hint="eastAsia" w:ascii="仿宋" w:hAnsi="仿宋" w:eastAsia="仿宋" w:cs="宋体"/>
          <w:b/>
          <w:sz w:val="28"/>
          <w:lang w:val="zh-CN"/>
        </w:rPr>
        <w:t>一、本磋商文件由采购人解释</w:t>
      </w:r>
    </w:p>
    <w:p w14:paraId="77ABF278">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1.磋商文件内容：</w:t>
      </w:r>
    </w:p>
    <w:p w14:paraId="1A81CAAD">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（1）磋商文件；</w:t>
      </w:r>
    </w:p>
    <w:p w14:paraId="004903AD">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（2）在规定时间内发出的答疑文件或补充通知。</w:t>
      </w:r>
    </w:p>
    <w:p w14:paraId="0C1EB980">
      <w:pPr>
        <w:spacing w:line="480" w:lineRule="exact"/>
        <w:ind w:firstLine="560" w:firstLineChars="200"/>
        <w:contextualSpacing/>
        <w:rPr>
          <w:rFonts w:hint="eastAsia" w:ascii="仿宋" w:hAnsi="仿宋" w:eastAsia="仿宋" w:cs="宋体"/>
          <w:b/>
          <w:sz w:val="28"/>
        </w:rPr>
      </w:pPr>
      <w:r>
        <w:rPr>
          <w:rFonts w:hint="eastAsia" w:ascii="仿宋" w:hAnsi="仿宋" w:eastAsia="仿宋" w:cs="宋体"/>
          <w:sz w:val="28"/>
        </w:rPr>
        <w:t>2.供应商应仔细检查磋商文件的所有内容，如有内容或页码残缺、资格要求和技术参数含有倾向性或排他性等表述的，</w:t>
      </w:r>
      <w:r>
        <w:rPr>
          <w:rFonts w:hint="eastAsia" w:ascii="仿宋" w:hAnsi="仿宋" w:eastAsia="仿宋" w:cs="宋体"/>
          <w:b/>
          <w:sz w:val="28"/>
        </w:rPr>
        <w:t>请在</w:t>
      </w:r>
      <w:r>
        <w:rPr>
          <w:rFonts w:hint="eastAsia" w:ascii="仿宋" w:hAnsi="仿宋" w:eastAsia="仿宋" w:cs="宋体"/>
          <w:b/>
          <w:bCs/>
          <w:sz w:val="28"/>
        </w:rPr>
        <w:t>磋商文件发布后2个工作日内</w:t>
      </w:r>
      <w:r>
        <w:rPr>
          <w:rFonts w:hint="eastAsia" w:ascii="仿宋" w:hAnsi="仿宋" w:eastAsia="仿宋" w:cs="宋体"/>
          <w:b/>
          <w:sz w:val="28"/>
        </w:rPr>
        <w:t>，以书面形式提出询问或疑问，</w:t>
      </w:r>
      <w:r>
        <w:rPr>
          <w:rFonts w:hint="eastAsia" w:ascii="仿宋" w:hAnsi="仿宋" w:eastAsia="仿宋" w:cs="宋体"/>
          <w:sz w:val="28"/>
        </w:rPr>
        <w:t>未在规定时间内提出询问或疑问的，视同供应商理解并接受本磋商文件所有内容，并由此引起的损失自负。供应商不得在响应结束后针对磋商文件所有内容提出质疑事项。</w:t>
      </w:r>
      <w:r>
        <w:rPr>
          <w:rFonts w:hint="eastAsia" w:ascii="仿宋" w:hAnsi="仿宋" w:eastAsia="仿宋" w:cs="宋体"/>
          <w:b/>
          <w:sz w:val="28"/>
        </w:rPr>
        <w:t>非书面形式的不作为日后质疑提出的依据。</w:t>
      </w:r>
    </w:p>
    <w:p w14:paraId="11BF1914">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3</w:t>
      </w:r>
      <w:r>
        <w:rPr>
          <w:rFonts w:hint="eastAsia" w:ascii="仿宋" w:hAnsi="仿宋" w:eastAsia="仿宋" w:cs="宋体"/>
          <w:kern w:val="1"/>
          <w:sz w:val="28"/>
        </w:rPr>
        <w:t>.</w:t>
      </w:r>
      <w:r>
        <w:rPr>
          <w:rFonts w:hint="eastAsia" w:ascii="仿宋" w:hAnsi="仿宋" w:eastAsia="仿宋" w:cs="宋体"/>
          <w:sz w:val="28"/>
        </w:rPr>
        <w:t>供应商应认真审阅磋商文件中所有的事项、格式、条款和规范要求等，如果供应商没有按照磋商文件要求提交磋商响应文件，或者响应文件没有对磋商文件做出实质性响应，其响应将被拒绝，应由供应商自行承担。</w:t>
      </w:r>
    </w:p>
    <w:p w14:paraId="6B31D13F">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4</w:t>
      </w:r>
      <w:r>
        <w:rPr>
          <w:rFonts w:hint="eastAsia" w:ascii="仿宋" w:hAnsi="仿宋" w:eastAsia="仿宋" w:cs="宋体"/>
          <w:kern w:val="1"/>
          <w:sz w:val="28"/>
        </w:rPr>
        <w:t>.</w:t>
      </w:r>
      <w:r>
        <w:rPr>
          <w:rFonts w:hint="eastAsia" w:ascii="仿宋" w:hAnsi="仿宋" w:eastAsia="仿宋" w:cs="宋体"/>
          <w:sz w:val="28"/>
        </w:rPr>
        <w:t>采购人可以对已发出的磋商文件进行必要的澄清或者修改，澄清或者修改的内容作为磋商文件的组成部分。澄清或者修改的内容可能影响磋商响应文件编制的，采购人应当在提交首次响应文件截止之日3个工作日前，以邮件形式通知所有被邀请供应商，且以最终发送邮件信息为准，不足3个工作日的，应当顺延提交首次投标文件截止之日。</w:t>
      </w:r>
    </w:p>
    <w:p w14:paraId="7135494B">
      <w:pPr>
        <w:spacing w:line="480" w:lineRule="exact"/>
        <w:ind w:firstLine="560" w:firstLineChars="200"/>
        <w:contextualSpacing/>
        <w:rPr>
          <w:rFonts w:hint="eastAsia" w:ascii="仿宋" w:hAnsi="仿宋" w:eastAsia="仿宋" w:cs="宋体"/>
          <w:sz w:val="28"/>
          <w:lang w:val="zh-CN"/>
        </w:rPr>
      </w:pPr>
      <w:r>
        <w:rPr>
          <w:rFonts w:hint="eastAsia" w:ascii="仿宋" w:hAnsi="仿宋" w:eastAsia="仿宋" w:cs="宋体"/>
          <w:sz w:val="28"/>
        </w:rPr>
        <w:t>供应商由于对磋商文件的任何推论和误解以及采购人对有</w:t>
      </w:r>
      <w:r>
        <w:rPr>
          <w:rFonts w:hint="eastAsia" w:ascii="仿宋" w:hAnsi="仿宋" w:eastAsia="仿宋" w:cs="宋体"/>
          <w:sz w:val="28"/>
          <w:lang w:val="zh-CN"/>
        </w:rPr>
        <w:t>关问题的口头解释所造成的后果，均由供应商自负。</w:t>
      </w:r>
    </w:p>
    <w:p w14:paraId="2449BDF4">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二、磋商响应文件的编写及装订</w:t>
      </w:r>
    </w:p>
    <w:p w14:paraId="3C090F49">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参加磋商的供应商按磋商文件要求编写响应文件，自编目录并连续标注页码，纸质响应文件牢固装订成册。纸质响应文件均需采用A4纸（图纸等除外），不允许使用活页夹、拉杆夹、文件夹、塑料方便式书脊（插入式或穿孔式）装订。响应文件不得行间插字、涂改、增删，如修改错漏处，须经参加磋商响应供应商法定代表人或被授权人签字并加盖公章。</w:t>
      </w:r>
    </w:p>
    <w:p w14:paraId="429C2E99">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三、投标文件的份数和签署</w:t>
      </w:r>
    </w:p>
    <w:p w14:paraId="7CB47D91">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1</w:t>
      </w:r>
      <w:r>
        <w:rPr>
          <w:rFonts w:hint="eastAsia" w:ascii="仿宋" w:hAnsi="仿宋" w:eastAsia="仿宋" w:cs="宋体"/>
          <w:kern w:val="1"/>
          <w:sz w:val="28"/>
        </w:rPr>
        <w:t>.</w:t>
      </w:r>
      <w:r>
        <w:rPr>
          <w:rFonts w:hint="eastAsia" w:ascii="仿宋" w:hAnsi="仿宋" w:eastAsia="仿宋" w:cs="宋体"/>
          <w:b/>
          <w:sz w:val="28"/>
        </w:rPr>
        <w:t>供应商应准备</w:t>
      </w:r>
      <w:r>
        <w:rPr>
          <w:rFonts w:hint="eastAsia" w:ascii="仿宋" w:hAnsi="仿宋" w:eastAsia="仿宋" w:cs="宋体"/>
          <w:b/>
          <w:sz w:val="28"/>
          <w:u w:val="single"/>
        </w:rPr>
        <w:t>叁</w:t>
      </w:r>
      <w:r>
        <w:rPr>
          <w:rFonts w:hint="eastAsia" w:ascii="仿宋" w:hAnsi="仿宋" w:eastAsia="仿宋" w:cs="宋体"/>
          <w:b/>
          <w:sz w:val="28"/>
        </w:rPr>
        <w:t>份完整的纸质投标文件（其中正本</w:t>
      </w:r>
      <w:r>
        <w:rPr>
          <w:rFonts w:hint="eastAsia" w:ascii="仿宋" w:hAnsi="仿宋" w:eastAsia="仿宋" w:cs="宋体"/>
          <w:b/>
          <w:sz w:val="28"/>
          <w:u w:val="single"/>
        </w:rPr>
        <w:t xml:space="preserve"> 壹 </w:t>
      </w:r>
      <w:r>
        <w:rPr>
          <w:rFonts w:hint="eastAsia" w:ascii="仿宋" w:hAnsi="仿宋" w:eastAsia="仿宋" w:cs="宋体"/>
          <w:b/>
          <w:sz w:val="28"/>
        </w:rPr>
        <w:t>份，副本</w:t>
      </w:r>
      <w:r>
        <w:rPr>
          <w:rFonts w:hint="eastAsia" w:ascii="仿宋" w:hAnsi="仿宋" w:eastAsia="仿宋" w:cs="宋体"/>
          <w:b/>
          <w:sz w:val="28"/>
          <w:u w:val="single"/>
        </w:rPr>
        <w:t xml:space="preserve"> 贰 </w:t>
      </w:r>
      <w:r>
        <w:rPr>
          <w:rFonts w:hint="eastAsia" w:ascii="仿宋" w:hAnsi="仿宋" w:eastAsia="仿宋" w:cs="宋体"/>
          <w:b/>
          <w:sz w:val="28"/>
        </w:rPr>
        <w:t>份，并标明“正本”或“副本”字样）</w:t>
      </w:r>
      <w:r>
        <w:rPr>
          <w:rFonts w:hint="eastAsia" w:ascii="仿宋" w:hAnsi="仿宋" w:eastAsia="仿宋" w:cs="宋体"/>
          <w:b/>
          <w:sz w:val="28"/>
          <w:lang w:val="zh-CN"/>
        </w:rPr>
        <w:t>，</w:t>
      </w:r>
      <w:r>
        <w:rPr>
          <w:rFonts w:hint="eastAsia" w:ascii="仿宋" w:hAnsi="仿宋" w:eastAsia="仿宋" w:cs="宋体"/>
          <w:b/>
          <w:sz w:val="28"/>
        </w:rPr>
        <w:t>投标文件正、副本若有差异，概以“正本”为准。</w:t>
      </w:r>
    </w:p>
    <w:p w14:paraId="334229A6">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2</w:t>
      </w:r>
      <w:r>
        <w:rPr>
          <w:rFonts w:hint="eastAsia" w:ascii="仿宋" w:hAnsi="仿宋" w:eastAsia="仿宋" w:cs="宋体"/>
          <w:kern w:val="1"/>
          <w:sz w:val="28"/>
        </w:rPr>
        <w:t>.</w:t>
      </w:r>
      <w:r>
        <w:rPr>
          <w:rFonts w:hint="eastAsia" w:ascii="仿宋" w:hAnsi="仿宋" w:eastAsia="仿宋" w:cs="宋体"/>
          <w:sz w:val="28"/>
        </w:rPr>
        <w:t>纸质投标文件正本（须用不能擦去的墨水书写或打印）须由法定代表人或被授权人签字或盖章，并加盖单位印章。副本可复印，但须加盖单位印章。</w:t>
      </w:r>
    </w:p>
    <w:p w14:paraId="0C449675">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四、磋商响应文件的密封及标记</w:t>
      </w:r>
    </w:p>
    <w:p w14:paraId="3E4CAF1E">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1</w:t>
      </w:r>
      <w:r>
        <w:rPr>
          <w:rFonts w:hint="eastAsia" w:ascii="仿宋" w:hAnsi="仿宋" w:eastAsia="仿宋" w:cs="宋体"/>
          <w:kern w:val="1"/>
          <w:sz w:val="28"/>
        </w:rPr>
        <w:t>.</w:t>
      </w:r>
      <w:r>
        <w:rPr>
          <w:rFonts w:hint="eastAsia" w:ascii="仿宋" w:hAnsi="仿宋" w:eastAsia="仿宋" w:cs="宋体"/>
          <w:sz w:val="28"/>
        </w:rPr>
        <w:t>响应文件要求密封。</w:t>
      </w:r>
    </w:p>
    <w:p w14:paraId="1EE6D69C">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2</w:t>
      </w:r>
      <w:r>
        <w:rPr>
          <w:rFonts w:hint="eastAsia" w:ascii="仿宋" w:hAnsi="仿宋" w:eastAsia="仿宋" w:cs="宋体"/>
          <w:kern w:val="1"/>
          <w:sz w:val="28"/>
        </w:rPr>
        <w:t>.</w:t>
      </w:r>
      <w:r>
        <w:rPr>
          <w:rFonts w:hint="eastAsia" w:ascii="仿宋" w:hAnsi="仿宋" w:eastAsia="仿宋" w:cs="宋体"/>
          <w:sz w:val="28"/>
        </w:rPr>
        <w:t>供应商可将响应文件正、副本统一密封或分别密封，如正本和副本分别密封的，应在封袋上标明正、副本字样。</w:t>
      </w:r>
    </w:p>
    <w:p w14:paraId="18C3E7CE">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3</w:t>
      </w:r>
      <w:r>
        <w:rPr>
          <w:rFonts w:hint="eastAsia" w:ascii="仿宋" w:hAnsi="仿宋" w:eastAsia="仿宋" w:cs="宋体"/>
          <w:kern w:val="1"/>
          <w:sz w:val="28"/>
        </w:rPr>
        <w:t>.</w:t>
      </w:r>
      <w:r>
        <w:rPr>
          <w:rFonts w:hint="eastAsia" w:ascii="仿宋" w:hAnsi="仿宋" w:eastAsia="仿宋" w:cs="宋体"/>
          <w:sz w:val="28"/>
        </w:rPr>
        <w:t>密封后封袋上应标明项目名称、供应商名称、边缝处加盖单位骑缝章。</w:t>
      </w:r>
    </w:p>
    <w:p w14:paraId="2EA0881A">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五、报价准备</w:t>
      </w:r>
    </w:p>
    <w:p w14:paraId="5F92251C">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1</w:t>
      </w:r>
      <w:r>
        <w:rPr>
          <w:rFonts w:hint="eastAsia" w:ascii="仿宋" w:hAnsi="仿宋" w:eastAsia="仿宋" w:cs="宋体"/>
          <w:kern w:val="1"/>
          <w:sz w:val="28"/>
        </w:rPr>
        <w:t>.本项目为固定总价报价，</w:t>
      </w:r>
      <w:r>
        <w:rPr>
          <w:rFonts w:hint="eastAsia" w:ascii="仿宋" w:hAnsi="仿宋" w:eastAsia="仿宋" w:cs="宋体"/>
          <w:sz w:val="28"/>
        </w:rPr>
        <w:t>一个标的只允许一个报价，不接受任何有选择性的报价。</w:t>
      </w:r>
    </w:p>
    <w:p w14:paraId="04A690F2">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sz w:val="28"/>
        </w:rPr>
        <w:t>2</w:t>
      </w:r>
      <w:r>
        <w:rPr>
          <w:rFonts w:hint="eastAsia" w:ascii="仿宋" w:hAnsi="仿宋" w:eastAsia="仿宋" w:cs="宋体"/>
          <w:kern w:val="1"/>
          <w:sz w:val="28"/>
        </w:rPr>
        <w:t>.</w:t>
      </w:r>
      <w:r>
        <w:rPr>
          <w:rFonts w:hint="eastAsia" w:ascii="仿宋" w:hAnsi="仿宋" w:eastAsia="仿宋" w:cs="宋体"/>
          <w:sz w:val="28"/>
        </w:rPr>
        <w:t>报价范围：响应文件报价须包含所有软硬件设备、配套设施、各类辅助材料、包装、仓储、运输、保险、安装、调试、系统集成、保修期内备品备件、专用工具、伴随服务、人员培训，以及验收合格之前发生的所有含税费用。报价还包含支付给员工的工资和国家强制缴纳的各种社会保障资金等。投标人投标时一次包定，采购方不再支付本次招标价格以外的任何费用（采购方要求变更的除外）。</w:t>
      </w:r>
    </w:p>
    <w:p w14:paraId="05134B5D">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3</w:t>
      </w:r>
      <w:r>
        <w:rPr>
          <w:rFonts w:hint="eastAsia" w:ascii="仿宋" w:hAnsi="仿宋" w:eastAsia="仿宋" w:cs="宋体"/>
          <w:kern w:val="1"/>
          <w:sz w:val="28"/>
        </w:rPr>
        <w:t>.</w:t>
      </w:r>
      <w:r>
        <w:rPr>
          <w:rFonts w:hint="eastAsia" w:ascii="仿宋" w:hAnsi="仿宋" w:eastAsia="仿宋" w:cs="宋体"/>
          <w:sz w:val="28"/>
        </w:rPr>
        <w:t>本项目报价均须以人民币为货币单位。</w:t>
      </w:r>
    </w:p>
    <w:p w14:paraId="503EF225">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六、响应文件的递交时间</w:t>
      </w:r>
    </w:p>
    <w:p w14:paraId="19DC5A99">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供应商必须在规定的提交响应文件截止时间前送达至指定地点，采购人将拒绝接收在提交响应文件截止时间后递交的响应文件。</w:t>
      </w:r>
    </w:p>
    <w:p w14:paraId="358C5B4D">
      <w:pPr>
        <w:spacing w:line="480" w:lineRule="exact"/>
        <w:ind w:firstLine="562" w:firstLineChars="200"/>
        <w:contextualSpacing/>
        <w:rPr>
          <w:rFonts w:hint="eastAsia" w:ascii="仿宋" w:hAnsi="仿宋" w:eastAsia="仿宋" w:cs="宋体"/>
          <w:sz w:val="28"/>
        </w:rPr>
      </w:pPr>
      <w:bookmarkStart w:id="7" w:name="_Toc182848971"/>
      <w:r>
        <w:rPr>
          <w:rFonts w:hint="eastAsia" w:ascii="仿宋" w:hAnsi="仿宋" w:eastAsia="仿宋" w:cs="宋体"/>
          <w:b/>
          <w:bCs/>
          <w:sz w:val="28"/>
        </w:rPr>
        <w:t>七、响应文件及</w:t>
      </w:r>
      <w:r>
        <w:rPr>
          <w:rFonts w:hint="eastAsia" w:ascii="仿宋" w:hAnsi="仿宋" w:eastAsia="仿宋" w:cs="宋体"/>
          <w:b/>
          <w:kern w:val="0"/>
          <w:sz w:val="28"/>
        </w:rPr>
        <w:t>投标</w:t>
      </w:r>
      <w:r>
        <w:rPr>
          <w:rFonts w:hint="eastAsia" w:ascii="仿宋" w:hAnsi="仿宋" w:eastAsia="仿宋" w:cs="宋体"/>
          <w:b/>
          <w:bCs/>
          <w:sz w:val="28"/>
        </w:rPr>
        <w:t>费用</w:t>
      </w:r>
    </w:p>
    <w:p w14:paraId="649769E5">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1</w:t>
      </w:r>
      <w:r>
        <w:rPr>
          <w:rFonts w:hint="eastAsia" w:ascii="仿宋" w:hAnsi="仿宋" w:eastAsia="仿宋" w:cs="宋体"/>
          <w:kern w:val="1"/>
          <w:sz w:val="28"/>
        </w:rPr>
        <w:t>.</w:t>
      </w:r>
      <w:r>
        <w:rPr>
          <w:rFonts w:hint="eastAsia" w:ascii="仿宋" w:hAnsi="仿宋" w:eastAsia="仿宋" w:cs="宋体"/>
          <w:sz w:val="28"/>
        </w:rPr>
        <w:t>评标程序顺利进行后，磋商响应文件都将作为档案保存，不论成交与否，均不退回。</w:t>
      </w:r>
    </w:p>
    <w:p w14:paraId="1FC656A0">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2</w:t>
      </w:r>
      <w:r>
        <w:rPr>
          <w:rFonts w:hint="eastAsia" w:ascii="仿宋" w:hAnsi="仿宋" w:eastAsia="仿宋" w:cs="宋体"/>
          <w:kern w:val="1"/>
          <w:sz w:val="28"/>
        </w:rPr>
        <w:t>.</w:t>
      </w:r>
      <w:r>
        <w:rPr>
          <w:rFonts w:hint="eastAsia" w:ascii="仿宋" w:hAnsi="仿宋" w:eastAsia="仿宋" w:cs="宋体"/>
          <w:sz w:val="28"/>
        </w:rPr>
        <w:t>无论评标过程和结果如何，供应商自行承担与本次项目投标有关的全部费用。</w:t>
      </w:r>
    </w:p>
    <w:p w14:paraId="16F60933">
      <w:pPr>
        <w:spacing w:line="480" w:lineRule="exact"/>
        <w:ind w:firstLine="560" w:firstLineChars="200"/>
        <w:contextualSpacing/>
        <w:rPr>
          <w:rFonts w:hint="eastAsia" w:ascii="仿宋" w:hAnsi="仿宋" w:eastAsia="仿宋" w:cs="宋体"/>
          <w:sz w:val="28"/>
        </w:rPr>
      </w:pPr>
      <w:r>
        <w:rPr>
          <w:rFonts w:hint="eastAsia" w:ascii="仿宋" w:hAnsi="仿宋" w:eastAsia="仿宋" w:cs="宋体"/>
          <w:sz w:val="28"/>
        </w:rPr>
        <w:t>3.采购人不收取任何费用。</w:t>
      </w:r>
    </w:p>
    <w:p w14:paraId="77CBB188">
      <w:pPr>
        <w:spacing w:line="480" w:lineRule="exact"/>
        <w:ind w:firstLine="562" w:firstLineChars="200"/>
        <w:contextualSpacing/>
        <w:rPr>
          <w:rFonts w:hint="eastAsia" w:ascii="仿宋" w:hAnsi="仿宋" w:eastAsia="仿宋" w:cs="宋体"/>
          <w:b/>
          <w:sz w:val="28"/>
        </w:rPr>
      </w:pPr>
      <w:r>
        <w:rPr>
          <w:rFonts w:hint="eastAsia" w:ascii="仿宋" w:hAnsi="仿宋" w:eastAsia="仿宋" w:cs="宋体"/>
          <w:b/>
          <w:sz w:val="28"/>
        </w:rPr>
        <w:t>八、未尽事宜</w:t>
      </w:r>
    </w:p>
    <w:p w14:paraId="5C669D99">
      <w:pPr>
        <w:spacing w:line="480" w:lineRule="exact"/>
        <w:ind w:firstLine="560" w:firstLineChars="200"/>
        <w:contextualSpacing/>
        <w:rPr>
          <w:rFonts w:hint="eastAsia" w:ascii="仿宋" w:hAnsi="仿宋" w:eastAsia="仿宋" w:cs="宋体"/>
          <w:b/>
          <w:bCs/>
          <w:sz w:val="28"/>
          <w:lang w:val="zh-CN"/>
        </w:rPr>
      </w:pPr>
      <w:r>
        <w:rPr>
          <w:rFonts w:hint="eastAsia" w:ascii="仿宋" w:hAnsi="仿宋" w:eastAsia="仿宋" w:cs="宋体"/>
          <w:sz w:val="28"/>
        </w:rPr>
        <w:t>按《中华人民共和国政府采购法》《中华人民共和国政府采购法实施条例》及其他有关法律法规的规定执行。</w:t>
      </w:r>
      <w:bookmarkEnd w:id="7"/>
      <w:bookmarkStart w:id="8" w:name="_Toc182849073"/>
      <w:r>
        <w:rPr>
          <w:rFonts w:ascii="仿宋" w:hAnsi="仿宋" w:eastAsia="仿宋" w:cs="宋体"/>
          <w:b/>
          <w:bCs/>
          <w:sz w:val="28"/>
          <w:lang w:val="zh-CN"/>
        </w:rPr>
        <w:br w:type="page"/>
      </w:r>
    </w:p>
    <w:p w14:paraId="67B8E5B3">
      <w:pPr>
        <w:pStyle w:val="2"/>
        <w:spacing w:before="240" w:after="240" w:line="480" w:lineRule="exact"/>
        <w:jc w:val="center"/>
        <w:rPr>
          <w:rFonts w:hint="eastAsia" w:ascii="仿宋" w:hAnsi="仿宋" w:eastAsia="仿宋"/>
          <w:sz w:val="32"/>
          <w:szCs w:val="32"/>
        </w:rPr>
      </w:pPr>
      <w:r>
        <w:rPr>
          <w:rFonts w:hint="eastAsia" w:ascii="仿宋" w:hAnsi="仿宋" w:eastAsia="仿宋"/>
          <w:sz w:val="32"/>
          <w:szCs w:val="32"/>
        </w:rPr>
        <w:t>第三部分 项目需求</w:t>
      </w:r>
    </w:p>
    <w:p w14:paraId="3B50EC2E">
      <w:pPr>
        <w:spacing w:line="360" w:lineRule="auto"/>
        <w:outlineLvl w:val="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（一）技术要求</w:t>
      </w:r>
    </w:p>
    <w:p w14:paraId="2A81669F">
      <w:pPr>
        <w:spacing w:line="360" w:lineRule="auto"/>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技术要求是指对采购标的功能和质量要求，包括性能、材料、结构、外观、安全，或者服务内容和标准等。</w:t>
      </w:r>
    </w:p>
    <w:p w14:paraId="414AA74C">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工程清单：</w:t>
      </w:r>
    </w:p>
    <w:tbl>
      <w:tblPr>
        <w:tblStyle w:val="3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5386"/>
        <w:gridCol w:w="709"/>
        <w:gridCol w:w="709"/>
      </w:tblGrid>
      <w:tr w14:paraId="289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6800D7AA">
            <w:pPr>
              <w:widowControl/>
              <w:jc w:val="center"/>
              <w:rPr>
                <w:rFonts w:hint="eastAsia" w:ascii="仿宋" w:hAnsi="仿宋" w:eastAsia="仿宋" w:cs="宋体"/>
                <w:b/>
                <w:bCs/>
                <w:kern w:val="0"/>
                <w:sz w:val="24"/>
              </w:rPr>
            </w:pPr>
            <w:bookmarkStart w:id="9" w:name="_Hlk120282561"/>
            <w:r>
              <w:rPr>
                <w:rFonts w:hint="eastAsia" w:ascii="仿宋" w:hAnsi="仿宋" w:eastAsia="仿宋" w:cs="宋体"/>
                <w:b/>
                <w:bCs/>
                <w:kern w:val="0"/>
                <w:sz w:val="24"/>
              </w:rPr>
              <w:t>序号</w:t>
            </w:r>
          </w:p>
        </w:tc>
        <w:tc>
          <w:tcPr>
            <w:tcW w:w="1271" w:type="dxa"/>
            <w:noWrap/>
            <w:vAlign w:val="center"/>
          </w:tcPr>
          <w:p w14:paraId="035E726C">
            <w:pPr>
              <w:widowControl/>
              <w:jc w:val="center"/>
              <w:rPr>
                <w:rFonts w:hint="eastAsia" w:ascii="仿宋" w:hAnsi="仿宋" w:eastAsia="仿宋" w:cs="宋体"/>
                <w:b/>
                <w:bCs/>
                <w:kern w:val="0"/>
                <w:sz w:val="24"/>
              </w:rPr>
            </w:pPr>
            <w:r>
              <w:rPr>
                <w:rFonts w:hint="eastAsia" w:ascii="仿宋" w:hAnsi="仿宋" w:eastAsia="仿宋" w:cs="宋体"/>
                <w:b/>
                <w:bCs/>
                <w:kern w:val="0"/>
                <w:sz w:val="24"/>
              </w:rPr>
              <w:t>名称</w:t>
            </w:r>
          </w:p>
        </w:tc>
        <w:tc>
          <w:tcPr>
            <w:tcW w:w="5386" w:type="dxa"/>
            <w:noWrap/>
            <w:vAlign w:val="center"/>
          </w:tcPr>
          <w:p w14:paraId="59584EA8">
            <w:pPr>
              <w:widowControl/>
              <w:jc w:val="center"/>
              <w:rPr>
                <w:rFonts w:hint="eastAsia" w:ascii="仿宋" w:hAnsi="仿宋" w:eastAsia="仿宋" w:cs="宋体"/>
                <w:b/>
                <w:bCs/>
                <w:kern w:val="0"/>
                <w:sz w:val="24"/>
              </w:rPr>
            </w:pPr>
            <w:r>
              <w:rPr>
                <w:rFonts w:hint="eastAsia" w:ascii="仿宋" w:hAnsi="仿宋" w:eastAsia="仿宋" w:cs="宋体"/>
                <w:b/>
                <w:bCs/>
                <w:kern w:val="0"/>
                <w:sz w:val="24"/>
              </w:rPr>
              <w:t>配置参数</w:t>
            </w:r>
          </w:p>
        </w:tc>
        <w:tc>
          <w:tcPr>
            <w:tcW w:w="709" w:type="dxa"/>
            <w:noWrap/>
            <w:vAlign w:val="center"/>
          </w:tcPr>
          <w:p w14:paraId="2BCE706E">
            <w:pPr>
              <w:widowControl/>
              <w:jc w:val="center"/>
              <w:rPr>
                <w:rFonts w:hint="eastAsia" w:ascii="仿宋" w:hAnsi="仿宋" w:eastAsia="仿宋" w:cs="宋体"/>
                <w:b/>
                <w:bCs/>
                <w:kern w:val="0"/>
                <w:sz w:val="24"/>
              </w:rPr>
            </w:pPr>
            <w:r>
              <w:rPr>
                <w:rFonts w:hint="eastAsia" w:ascii="仿宋" w:hAnsi="仿宋" w:eastAsia="仿宋" w:cs="宋体"/>
                <w:b/>
                <w:bCs/>
                <w:kern w:val="0"/>
                <w:sz w:val="24"/>
              </w:rPr>
              <w:t>数量</w:t>
            </w:r>
          </w:p>
        </w:tc>
        <w:tc>
          <w:tcPr>
            <w:tcW w:w="709" w:type="dxa"/>
            <w:noWrap/>
            <w:vAlign w:val="center"/>
          </w:tcPr>
          <w:p w14:paraId="29BBE6EE">
            <w:pPr>
              <w:widowControl/>
              <w:jc w:val="center"/>
              <w:rPr>
                <w:rFonts w:hint="eastAsia" w:ascii="仿宋" w:hAnsi="仿宋" w:eastAsia="仿宋" w:cs="宋体"/>
                <w:b/>
                <w:bCs/>
                <w:kern w:val="0"/>
                <w:sz w:val="24"/>
              </w:rPr>
            </w:pPr>
            <w:r>
              <w:rPr>
                <w:rFonts w:hint="eastAsia" w:ascii="仿宋" w:hAnsi="仿宋" w:eastAsia="仿宋" w:cs="宋体"/>
                <w:b/>
                <w:bCs/>
                <w:kern w:val="0"/>
                <w:sz w:val="24"/>
              </w:rPr>
              <w:t>单位</w:t>
            </w:r>
          </w:p>
        </w:tc>
      </w:tr>
      <w:bookmarkEnd w:id="9"/>
      <w:tr w14:paraId="3A6C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465E08E1">
            <w:pPr>
              <w:widowControl/>
              <w:jc w:val="center"/>
              <w:rPr>
                <w:rFonts w:hint="eastAsia" w:ascii="仿宋" w:hAnsi="仿宋" w:eastAsia="仿宋" w:cs="宋体"/>
                <w:kern w:val="0"/>
                <w:sz w:val="24"/>
              </w:rPr>
            </w:pPr>
            <w:r>
              <w:rPr>
                <w:rFonts w:hint="eastAsia" w:ascii="仿宋" w:hAnsi="仿宋" w:eastAsia="仿宋" w:cs="宋体"/>
                <w:kern w:val="0"/>
                <w:sz w:val="24"/>
              </w:rPr>
              <w:t>1</w:t>
            </w:r>
          </w:p>
        </w:tc>
        <w:tc>
          <w:tcPr>
            <w:tcW w:w="1271" w:type="dxa"/>
            <w:noWrap/>
            <w:vAlign w:val="center"/>
          </w:tcPr>
          <w:p w14:paraId="20876D11">
            <w:pPr>
              <w:widowControl/>
              <w:jc w:val="center"/>
              <w:rPr>
                <w:rFonts w:hint="eastAsia" w:ascii="仿宋" w:hAnsi="仿宋" w:eastAsia="仿宋" w:cs="宋体"/>
                <w:kern w:val="0"/>
                <w:sz w:val="24"/>
              </w:rPr>
            </w:pPr>
            <w:r>
              <w:rPr>
                <w:rFonts w:hint="eastAsia" w:ascii="仿宋" w:hAnsi="仿宋" w:eastAsia="仿宋"/>
                <w:sz w:val="24"/>
              </w:rPr>
              <w:t>零信任</w:t>
            </w:r>
          </w:p>
        </w:tc>
        <w:tc>
          <w:tcPr>
            <w:tcW w:w="5386" w:type="dxa"/>
            <w:vAlign w:val="center"/>
          </w:tcPr>
          <w:p w14:paraId="066FEA0A">
            <w:pPr>
              <w:widowControl/>
              <w:jc w:val="left"/>
              <w:rPr>
                <w:rFonts w:hint="eastAsia" w:ascii="仿宋" w:hAnsi="仿宋" w:eastAsia="仿宋" w:cs="仿宋"/>
                <w:kern w:val="0"/>
                <w:sz w:val="24"/>
              </w:rPr>
            </w:pPr>
            <w:r>
              <w:rPr>
                <w:rFonts w:hint="eastAsia" w:ascii="仿宋" w:hAnsi="仿宋" w:eastAsia="仿宋"/>
                <w:sz w:val="24"/>
              </w:rPr>
              <w:t>IPSEC性能参数：加密最大流量（Mbps）：100，理论并发隧道数（Tunnel）：1000；SSL性能参数：最大理论加密流量（Mbps）：300Mbps，最大理论建议并发用户数：600。</w:t>
            </w:r>
            <w:r>
              <w:rPr>
                <w:rFonts w:hint="eastAsia" w:ascii="仿宋" w:hAnsi="仿宋" w:eastAsia="仿宋"/>
                <w:sz w:val="24"/>
              </w:rPr>
              <w:br w:type="textWrapping"/>
            </w:r>
            <w:r>
              <w:rPr>
                <w:rFonts w:hint="eastAsia" w:ascii="仿宋" w:hAnsi="仿宋" w:eastAsia="仿宋"/>
                <w:sz w:val="24"/>
              </w:rPr>
              <w:t>硬件参数：规格：1U，内存大小：16G，硬盘容量：128G SSD，电源：单电源，接口：6千兆电口+4千兆光口SFP。</w:t>
            </w:r>
            <w:r>
              <w:rPr>
                <w:rFonts w:hint="eastAsia" w:ascii="仿宋" w:hAnsi="仿宋" w:eastAsia="仿宋"/>
                <w:sz w:val="24"/>
              </w:rPr>
              <w:br w:type="textWrapping"/>
            </w:r>
            <w:r>
              <w:rPr>
                <w:rFonts w:hint="eastAsia" w:ascii="仿宋" w:hAnsi="仿宋" w:eastAsia="仿宋"/>
                <w:sz w:val="24"/>
              </w:rPr>
              <w:t>功能描述：底层采用银河麒麟高级服务器系统，搭载信创处理器，设备内置符合中国商用密码标准的加密卡，采用国家密码管理局颁布的SM1、SM2、SM3、SM4密码算法及其协议，支持多种身份认证方式、细粒度访问权限控制等主要功能，保证远程系统接入的用户身份安全、终端/数据安全、传输安全、应用权限安全和审计安全，符合国家商用密码标准，具有快速、易用、全面等优势特点。</w:t>
            </w:r>
            <w:r>
              <w:rPr>
                <w:rFonts w:hint="eastAsia" w:ascii="仿宋" w:hAnsi="仿宋" w:eastAsia="仿宋"/>
                <w:sz w:val="24"/>
              </w:rPr>
              <w:br w:type="textWrapping"/>
            </w:r>
            <w:r>
              <w:rPr>
                <w:rFonts w:hint="eastAsia" w:ascii="仿宋" w:hAnsi="仿宋" w:eastAsia="仿宋"/>
                <w:sz w:val="24"/>
              </w:rPr>
              <w:t>含：50套终端接入授权，三年原厂硬件质保，三年软件版本升级。</w:t>
            </w:r>
          </w:p>
        </w:tc>
        <w:tc>
          <w:tcPr>
            <w:tcW w:w="709" w:type="dxa"/>
            <w:noWrap/>
            <w:vAlign w:val="center"/>
          </w:tcPr>
          <w:p w14:paraId="0E723257">
            <w:pPr>
              <w:widowControl/>
              <w:jc w:val="center"/>
              <w:rPr>
                <w:rFonts w:hint="eastAsia" w:ascii="仿宋" w:hAnsi="仿宋" w:eastAsia="仿宋" w:cs="宋体"/>
                <w:kern w:val="0"/>
                <w:sz w:val="24"/>
              </w:rPr>
            </w:pPr>
            <w:r>
              <w:rPr>
                <w:rFonts w:hint="eastAsia" w:ascii="仿宋" w:hAnsi="仿宋" w:eastAsia="仿宋"/>
                <w:sz w:val="24"/>
              </w:rPr>
              <w:t>1</w:t>
            </w:r>
          </w:p>
        </w:tc>
        <w:tc>
          <w:tcPr>
            <w:tcW w:w="709" w:type="dxa"/>
            <w:vAlign w:val="center"/>
          </w:tcPr>
          <w:p w14:paraId="4E01E9A1">
            <w:pPr>
              <w:widowControl/>
              <w:jc w:val="center"/>
              <w:rPr>
                <w:rFonts w:hint="eastAsia" w:ascii="仿宋" w:hAnsi="仿宋" w:eastAsia="仿宋" w:cs="宋体"/>
                <w:kern w:val="0"/>
                <w:sz w:val="24"/>
              </w:rPr>
            </w:pPr>
            <w:r>
              <w:rPr>
                <w:rFonts w:hint="eastAsia" w:ascii="仿宋" w:hAnsi="仿宋" w:eastAsia="仿宋"/>
                <w:sz w:val="24"/>
              </w:rPr>
              <w:t>台</w:t>
            </w:r>
          </w:p>
        </w:tc>
      </w:tr>
      <w:tr w14:paraId="3C9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73F28DA4">
            <w:pPr>
              <w:widowControl/>
              <w:jc w:val="center"/>
              <w:rPr>
                <w:rFonts w:hint="eastAsia" w:ascii="仿宋" w:hAnsi="仿宋" w:eastAsia="仿宋" w:cs="宋体"/>
                <w:kern w:val="0"/>
                <w:sz w:val="24"/>
              </w:rPr>
            </w:pPr>
            <w:r>
              <w:rPr>
                <w:rFonts w:hint="eastAsia" w:ascii="仿宋" w:hAnsi="仿宋" w:eastAsia="仿宋" w:cs="宋体"/>
                <w:kern w:val="0"/>
                <w:sz w:val="24"/>
              </w:rPr>
              <w:t>2</w:t>
            </w:r>
          </w:p>
        </w:tc>
        <w:tc>
          <w:tcPr>
            <w:tcW w:w="1271" w:type="dxa"/>
            <w:noWrap/>
            <w:vAlign w:val="center"/>
          </w:tcPr>
          <w:p w14:paraId="3B30CDE8">
            <w:pPr>
              <w:widowControl/>
              <w:jc w:val="center"/>
              <w:rPr>
                <w:rFonts w:hint="eastAsia" w:ascii="仿宋" w:hAnsi="仿宋" w:eastAsia="仿宋" w:cs="宋体"/>
                <w:kern w:val="0"/>
                <w:sz w:val="24"/>
              </w:rPr>
            </w:pPr>
            <w:r>
              <w:rPr>
                <w:rFonts w:hint="eastAsia" w:ascii="仿宋" w:hAnsi="仿宋" w:eastAsia="仿宋"/>
                <w:sz w:val="24"/>
              </w:rPr>
              <w:t>卫生专网防病毒系统</w:t>
            </w:r>
          </w:p>
        </w:tc>
        <w:tc>
          <w:tcPr>
            <w:tcW w:w="5386" w:type="dxa"/>
            <w:vAlign w:val="center"/>
          </w:tcPr>
          <w:p w14:paraId="5A580489">
            <w:pPr>
              <w:widowControl/>
              <w:jc w:val="left"/>
              <w:rPr>
                <w:rFonts w:hint="eastAsia" w:ascii="仿宋" w:hAnsi="仿宋" w:eastAsia="仿宋" w:cs="仿宋"/>
                <w:kern w:val="0"/>
                <w:sz w:val="24"/>
              </w:rPr>
            </w:pPr>
            <w:r>
              <w:rPr>
                <w:rFonts w:hint="eastAsia" w:ascii="仿宋" w:hAnsi="仿宋" w:eastAsia="仿宋"/>
                <w:sz w:val="24"/>
              </w:rPr>
              <w:t>以纯软件交付，包含管理控制中心软件及终端客户端软件，其中管理控制中心本地化部署；管理控制中心采用B/S架构，可统一管理客户端软件。具备终端安全可视，终端统一管理，统一威胁处置，统一漏洞修复，威胁响应处置，日志记录与查询等功能。</w:t>
            </w:r>
            <w:r>
              <w:rPr>
                <w:rFonts w:hint="eastAsia" w:ascii="仿宋" w:hAnsi="仿宋" w:eastAsia="仿宋"/>
                <w:sz w:val="24"/>
              </w:rPr>
              <w:br w:type="textWrapping"/>
            </w:r>
            <w:r>
              <w:rPr>
                <w:rFonts w:hint="eastAsia" w:ascii="仿宋" w:hAnsi="仿宋" w:eastAsia="仿宋"/>
                <w:sz w:val="24"/>
              </w:rPr>
              <w:t>支持支持麒麟、统信、Windows、Linux等操作系统。</w:t>
            </w:r>
            <w:r>
              <w:rPr>
                <w:rFonts w:hint="eastAsia" w:ascii="仿宋" w:hAnsi="仿宋" w:eastAsia="仿宋"/>
                <w:sz w:val="24"/>
              </w:rPr>
              <w:br w:type="textWrapping"/>
            </w:r>
            <w:r>
              <w:rPr>
                <w:rFonts w:hint="eastAsia" w:ascii="仿宋" w:hAnsi="仿宋" w:eastAsia="仿宋"/>
                <w:sz w:val="24"/>
              </w:rPr>
              <w:t>含：一套本地管理控制中心，200套WindowsPC的客户端软件授权，三年软件版本升级，三年病毒库升级。</w:t>
            </w:r>
          </w:p>
        </w:tc>
        <w:tc>
          <w:tcPr>
            <w:tcW w:w="709" w:type="dxa"/>
            <w:noWrap/>
            <w:vAlign w:val="center"/>
          </w:tcPr>
          <w:p w14:paraId="7DB2F201">
            <w:pPr>
              <w:widowControl/>
              <w:jc w:val="center"/>
              <w:rPr>
                <w:rFonts w:hint="eastAsia" w:ascii="仿宋" w:hAnsi="仿宋" w:eastAsia="仿宋" w:cs="宋体"/>
                <w:kern w:val="0"/>
                <w:sz w:val="24"/>
              </w:rPr>
            </w:pPr>
            <w:r>
              <w:rPr>
                <w:rFonts w:hint="eastAsia" w:ascii="仿宋" w:hAnsi="仿宋" w:eastAsia="仿宋"/>
                <w:sz w:val="24"/>
              </w:rPr>
              <w:t>1</w:t>
            </w:r>
          </w:p>
        </w:tc>
        <w:tc>
          <w:tcPr>
            <w:tcW w:w="709" w:type="dxa"/>
            <w:vAlign w:val="center"/>
          </w:tcPr>
          <w:p w14:paraId="54FB0254">
            <w:pPr>
              <w:widowControl/>
              <w:jc w:val="center"/>
              <w:rPr>
                <w:rFonts w:hint="eastAsia" w:ascii="仿宋" w:hAnsi="仿宋" w:eastAsia="仿宋" w:cs="宋体"/>
                <w:kern w:val="0"/>
                <w:sz w:val="24"/>
              </w:rPr>
            </w:pPr>
            <w:r>
              <w:rPr>
                <w:rFonts w:hint="eastAsia" w:ascii="仿宋" w:hAnsi="仿宋" w:eastAsia="仿宋"/>
                <w:sz w:val="24"/>
              </w:rPr>
              <w:t>套</w:t>
            </w:r>
          </w:p>
        </w:tc>
      </w:tr>
      <w:tr w14:paraId="1397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431EE45E">
            <w:pPr>
              <w:widowControl/>
              <w:jc w:val="center"/>
              <w:rPr>
                <w:rFonts w:hint="eastAsia" w:ascii="仿宋" w:hAnsi="仿宋" w:eastAsia="仿宋" w:cs="宋体"/>
                <w:kern w:val="0"/>
                <w:sz w:val="24"/>
              </w:rPr>
            </w:pPr>
            <w:r>
              <w:rPr>
                <w:rFonts w:hint="eastAsia" w:ascii="仿宋" w:hAnsi="仿宋" w:eastAsia="仿宋" w:cs="宋体"/>
                <w:kern w:val="0"/>
                <w:sz w:val="24"/>
              </w:rPr>
              <w:t>3</w:t>
            </w:r>
          </w:p>
        </w:tc>
        <w:tc>
          <w:tcPr>
            <w:tcW w:w="1271" w:type="dxa"/>
            <w:noWrap/>
            <w:vAlign w:val="center"/>
          </w:tcPr>
          <w:p w14:paraId="132BB9CD">
            <w:pPr>
              <w:widowControl/>
              <w:jc w:val="center"/>
              <w:rPr>
                <w:rFonts w:hint="eastAsia" w:ascii="仿宋" w:hAnsi="仿宋" w:eastAsia="仿宋"/>
                <w:sz w:val="24"/>
              </w:rPr>
            </w:pPr>
            <w:r>
              <w:rPr>
                <w:rFonts w:hint="eastAsia" w:ascii="仿宋" w:hAnsi="仿宋" w:eastAsia="仿宋"/>
                <w:sz w:val="24"/>
              </w:rPr>
              <w:t>接入交换机</w:t>
            </w:r>
          </w:p>
        </w:tc>
        <w:tc>
          <w:tcPr>
            <w:tcW w:w="5386" w:type="dxa"/>
            <w:vAlign w:val="center"/>
          </w:tcPr>
          <w:p w14:paraId="0F83A42C">
            <w:pPr>
              <w:widowControl/>
              <w:jc w:val="left"/>
              <w:rPr>
                <w:rFonts w:hint="eastAsia" w:ascii="仿宋" w:hAnsi="仿宋" w:eastAsia="仿宋"/>
                <w:sz w:val="24"/>
              </w:rPr>
            </w:pPr>
            <w:r>
              <w:rPr>
                <w:rFonts w:hint="eastAsia" w:ascii="仿宋" w:hAnsi="仿宋" w:eastAsia="仿宋"/>
                <w:sz w:val="24"/>
              </w:rPr>
              <w:t>交换容量：336Gbps，包转发率：108Mpps；24个10/100/1000BASE-T电口，支持4个1G/10G BASE-X SFP+端口。</w:t>
            </w:r>
            <w:r>
              <w:rPr>
                <w:rFonts w:hint="eastAsia" w:ascii="仿宋" w:hAnsi="仿宋" w:eastAsia="仿宋"/>
                <w:sz w:val="24"/>
              </w:rPr>
              <w:br w:type="textWrapping"/>
            </w:r>
            <w:r>
              <w:rPr>
                <w:rFonts w:hint="eastAsia" w:ascii="仿宋" w:hAnsi="仿宋" w:eastAsia="仿宋"/>
                <w:sz w:val="24"/>
              </w:rPr>
              <w:t>含：配备4块同品牌的万兆光模块-SFP+-单模模块-(1310nm,10km,LC)，4对3米LC-LC单模光纤跳线。</w:t>
            </w:r>
            <w:r>
              <w:rPr>
                <w:rFonts w:hint="eastAsia" w:ascii="仿宋" w:hAnsi="仿宋" w:eastAsia="仿宋"/>
                <w:sz w:val="24"/>
              </w:rPr>
              <w:br w:type="textWrapping"/>
            </w:r>
            <w:r>
              <w:rPr>
                <w:rFonts w:hint="eastAsia" w:ascii="仿宋" w:hAnsi="仿宋" w:eastAsia="仿宋"/>
                <w:sz w:val="24"/>
              </w:rPr>
              <w:t>三年硬件质保，三年软件版本升级。</w:t>
            </w:r>
          </w:p>
        </w:tc>
        <w:tc>
          <w:tcPr>
            <w:tcW w:w="709" w:type="dxa"/>
            <w:noWrap/>
            <w:vAlign w:val="center"/>
          </w:tcPr>
          <w:p w14:paraId="483DF663">
            <w:pPr>
              <w:widowControl/>
              <w:jc w:val="center"/>
              <w:rPr>
                <w:rFonts w:hint="eastAsia" w:ascii="仿宋" w:hAnsi="仿宋" w:eastAsia="仿宋"/>
                <w:color w:val="FF0000"/>
                <w:sz w:val="24"/>
              </w:rPr>
            </w:pPr>
            <w:r>
              <w:rPr>
                <w:rFonts w:hint="eastAsia" w:ascii="仿宋" w:hAnsi="仿宋" w:eastAsia="仿宋"/>
                <w:color w:val="FF0000"/>
                <w:sz w:val="24"/>
              </w:rPr>
              <w:t>14</w:t>
            </w:r>
          </w:p>
        </w:tc>
        <w:tc>
          <w:tcPr>
            <w:tcW w:w="709" w:type="dxa"/>
            <w:vAlign w:val="center"/>
          </w:tcPr>
          <w:p w14:paraId="0C221BF8">
            <w:pPr>
              <w:widowControl/>
              <w:jc w:val="center"/>
              <w:rPr>
                <w:rFonts w:hint="eastAsia" w:ascii="仿宋" w:hAnsi="仿宋" w:eastAsia="仿宋"/>
                <w:color w:val="FF0000"/>
                <w:sz w:val="24"/>
              </w:rPr>
            </w:pPr>
            <w:r>
              <w:rPr>
                <w:rFonts w:hint="eastAsia" w:ascii="仿宋" w:hAnsi="仿宋" w:eastAsia="仿宋"/>
                <w:color w:val="FF0000"/>
                <w:sz w:val="24"/>
              </w:rPr>
              <w:t>台</w:t>
            </w:r>
          </w:p>
        </w:tc>
      </w:tr>
      <w:tr w14:paraId="6D14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73E64C47">
            <w:pPr>
              <w:widowControl/>
              <w:jc w:val="center"/>
              <w:rPr>
                <w:rFonts w:hint="eastAsia" w:ascii="仿宋" w:hAnsi="仿宋" w:eastAsia="仿宋" w:cs="宋体"/>
                <w:kern w:val="0"/>
                <w:sz w:val="24"/>
              </w:rPr>
            </w:pPr>
            <w:r>
              <w:rPr>
                <w:rFonts w:hint="eastAsia" w:ascii="仿宋" w:hAnsi="仿宋" w:eastAsia="仿宋" w:cs="宋体"/>
                <w:kern w:val="0"/>
                <w:sz w:val="24"/>
              </w:rPr>
              <w:t>4</w:t>
            </w:r>
          </w:p>
        </w:tc>
        <w:tc>
          <w:tcPr>
            <w:tcW w:w="1271" w:type="dxa"/>
            <w:noWrap/>
            <w:vAlign w:val="center"/>
          </w:tcPr>
          <w:p w14:paraId="6509464A">
            <w:pPr>
              <w:widowControl/>
              <w:jc w:val="center"/>
              <w:rPr>
                <w:rFonts w:hint="eastAsia" w:ascii="仿宋" w:hAnsi="仿宋" w:eastAsia="仿宋"/>
                <w:color w:val="FF0000"/>
                <w:sz w:val="24"/>
              </w:rPr>
            </w:pPr>
            <w:r>
              <w:rPr>
                <w:rFonts w:hint="eastAsia" w:ascii="等线" w:hAnsi="等线" w:eastAsia="等线"/>
                <w:color w:val="FF0000"/>
                <w:sz w:val="22"/>
                <w:szCs w:val="22"/>
              </w:rPr>
              <w:t>千兆光模块</w:t>
            </w:r>
          </w:p>
        </w:tc>
        <w:tc>
          <w:tcPr>
            <w:tcW w:w="5386" w:type="dxa"/>
            <w:vAlign w:val="center"/>
          </w:tcPr>
          <w:p w14:paraId="2FDA6085">
            <w:pPr>
              <w:widowControl/>
              <w:jc w:val="left"/>
              <w:rPr>
                <w:rFonts w:hint="eastAsia" w:ascii="仿宋" w:hAnsi="仿宋" w:eastAsia="仿宋"/>
                <w:color w:val="FF0000"/>
                <w:sz w:val="24"/>
              </w:rPr>
            </w:pPr>
            <w:r>
              <w:rPr>
                <w:rFonts w:hint="eastAsia" w:ascii="等线" w:hAnsi="等线" w:eastAsia="等线"/>
                <w:color w:val="FF0000"/>
                <w:sz w:val="22"/>
                <w:szCs w:val="22"/>
              </w:rPr>
              <w:t>光模块-SFP-GE-单模模块-(1310nm,10km,LC)。</w:t>
            </w:r>
          </w:p>
        </w:tc>
        <w:tc>
          <w:tcPr>
            <w:tcW w:w="709" w:type="dxa"/>
            <w:noWrap/>
            <w:vAlign w:val="center"/>
          </w:tcPr>
          <w:p w14:paraId="67B5ADC6">
            <w:pPr>
              <w:widowControl/>
              <w:jc w:val="center"/>
              <w:rPr>
                <w:rFonts w:hint="eastAsia" w:ascii="仿宋" w:hAnsi="仿宋" w:eastAsia="仿宋"/>
                <w:color w:val="FF0000"/>
                <w:sz w:val="24"/>
              </w:rPr>
            </w:pPr>
            <w:r>
              <w:rPr>
                <w:rFonts w:hint="eastAsia" w:ascii="等线" w:hAnsi="等线" w:eastAsia="等线"/>
                <w:color w:val="FF0000"/>
                <w:sz w:val="22"/>
                <w:szCs w:val="22"/>
              </w:rPr>
              <w:t>24</w:t>
            </w:r>
          </w:p>
        </w:tc>
        <w:tc>
          <w:tcPr>
            <w:tcW w:w="709" w:type="dxa"/>
            <w:vAlign w:val="center"/>
          </w:tcPr>
          <w:p w14:paraId="3FD86E81">
            <w:pPr>
              <w:widowControl/>
              <w:jc w:val="center"/>
              <w:rPr>
                <w:rFonts w:hint="eastAsia" w:ascii="仿宋" w:hAnsi="仿宋" w:eastAsia="仿宋"/>
                <w:color w:val="FF0000"/>
                <w:sz w:val="24"/>
              </w:rPr>
            </w:pPr>
            <w:r>
              <w:rPr>
                <w:rFonts w:hint="eastAsia" w:ascii="等线" w:hAnsi="等线" w:eastAsia="等线"/>
                <w:color w:val="FF0000"/>
                <w:sz w:val="22"/>
                <w:szCs w:val="22"/>
              </w:rPr>
              <w:t>个</w:t>
            </w:r>
          </w:p>
        </w:tc>
      </w:tr>
      <w:tr w14:paraId="64EE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386C4397">
            <w:pPr>
              <w:widowControl/>
              <w:jc w:val="center"/>
              <w:rPr>
                <w:rFonts w:hint="eastAsia" w:ascii="仿宋" w:hAnsi="仿宋" w:eastAsia="仿宋" w:cs="宋体"/>
                <w:kern w:val="0"/>
                <w:sz w:val="24"/>
              </w:rPr>
            </w:pPr>
            <w:r>
              <w:rPr>
                <w:rFonts w:hint="eastAsia" w:ascii="仿宋" w:hAnsi="仿宋" w:eastAsia="仿宋" w:cs="宋体"/>
                <w:kern w:val="0"/>
                <w:sz w:val="24"/>
              </w:rPr>
              <w:t>5</w:t>
            </w:r>
          </w:p>
        </w:tc>
        <w:tc>
          <w:tcPr>
            <w:tcW w:w="1271" w:type="dxa"/>
            <w:noWrap/>
            <w:vAlign w:val="center"/>
          </w:tcPr>
          <w:p w14:paraId="2C69C81B">
            <w:pPr>
              <w:widowControl/>
              <w:jc w:val="center"/>
              <w:rPr>
                <w:rFonts w:hint="eastAsia" w:ascii="仿宋" w:hAnsi="仿宋" w:eastAsia="仿宋"/>
                <w:color w:val="FF0000"/>
                <w:sz w:val="24"/>
              </w:rPr>
            </w:pPr>
            <w:r>
              <w:rPr>
                <w:rFonts w:hint="eastAsia" w:ascii="等线" w:hAnsi="等线" w:eastAsia="等线"/>
                <w:color w:val="FF0000"/>
                <w:sz w:val="22"/>
                <w:szCs w:val="22"/>
              </w:rPr>
              <w:t>光纤跳线</w:t>
            </w:r>
          </w:p>
        </w:tc>
        <w:tc>
          <w:tcPr>
            <w:tcW w:w="5386" w:type="dxa"/>
            <w:vAlign w:val="center"/>
          </w:tcPr>
          <w:p w14:paraId="712E7BE3">
            <w:pPr>
              <w:widowControl/>
              <w:jc w:val="left"/>
              <w:rPr>
                <w:rFonts w:hint="eastAsia" w:ascii="仿宋" w:hAnsi="仿宋" w:eastAsia="仿宋"/>
                <w:color w:val="FF0000"/>
                <w:sz w:val="24"/>
              </w:rPr>
            </w:pPr>
            <w:r>
              <w:rPr>
                <w:rFonts w:hint="eastAsia" w:ascii="等线" w:hAnsi="等线" w:eastAsia="等线"/>
                <w:color w:val="FF0000"/>
                <w:sz w:val="22"/>
                <w:szCs w:val="22"/>
              </w:rPr>
              <w:t>LC-LC，单模光纤跳线，3米。</w:t>
            </w:r>
          </w:p>
        </w:tc>
        <w:tc>
          <w:tcPr>
            <w:tcW w:w="709" w:type="dxa"/>
            <w:noWrap/>
            <w:vAlign w:val="center"/>
          </w:tcPr>
          <w:p w14:paraId="1F53A9A1">
            <w:pPr>
              <w:widowControl/>
              <w:jc w:val="center"/>
              <w:rPr>
                <w:rFonts w:hint="eastAsia" w:ascii="仿宋" w:hAnsi="仿宋" w:eastAsia="仿宋"/>
                <w:color w:val="FF0000"/>
                <w:sz w:val="24"/>
              </w:rPr>
            </w:pPr>
            <w:r>
              <w:rPr>
                <w:rFonts w:hint="eastAsia" w:ascii="等线" w:hAnsi="等线" w:eastAsia="等线"/>
                <w:color w:val="FF0000"/>
                <w:sz w:val="22"/>
                <w:szCs w:val="22"/>
              </w:rPr>
              <w:t>24</w:t>
            </w:r>
          </w:p>
        </w:tc>
        <w:tc>
          <w:tcPr>
            <w:tcW w:w="709" w:type="dxa"/>
            <w:vAlign w:val="center"/>
          </w:tcPr>
          <w:p w14:paraId="679F4A32">
            <w:pPr>
              <w:widowControl/>
              <w:jc w:val="center"/>
              <w:rPr>
                <w:rFonts w:hint="eastAsia" w:ascii="仿宋" w:hAnsi="仿宋" w:eastAsia="仿宋"/>
                <w:color w:val="FF0000"/>
                <w:sz w:val="24"/>
              </w:rPr>
            </w:pPr>
            <w:r>
              <w:rPr>
                <w:rFonts w:hint="eastAsia" w:ascii="等线" w:hAnsi="等线" w:eastAsia="等线"/>
                <w:color w:val="FF0000"/>
                <w:sz w:val="22"/>
                <w:szCs w:val="22"/>
              </w:rPr>
              <w:t>对</w:t>
            </w:r>
          </w:p>
        </w:tc>
      </w:tr>
      <w:tr w14:paraId="2A90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3D70A6F4">
            <w:pPr>
              <w:widowControl/>
              <w:jc w:val="center"/>
              <w:rPr>
                <w:rFonts w:hint="eastAsia" w:ascii="仿宋" w:hAnsi="仿宋" w:eastAsia="仿宋" w:cs="宋体"/>
                <w:kern w:val="0"/>
                <w:sz w:val="24"/>
              </w:rPr>
            </w:pPr>
            <w:r>
              <w:rPr>
                <w:rFonts w:hint="eastAsia" w:ascii="仿宋" w:hAnsi="仿宋" w:eastAsia="仿宋" w:cs="宋体"/>
                <w:kern w:val="0"/>
                <w:sz w:val="24"/>
              </w:rPr>
              <w:t>6</w:t>
            </w:r>
          </w:p>
        </w:tc>
        <w:tc>
          <w:tcPr>
            <w:tcW w:w="1271" w:type="dxa"/>
            <w:noWrap/>
            <w:vAlign w:val="center"/>
          </w:tcPr>
          <w:p w14:paraId="25C1A6F3">
            <w:pPr>
              <w:widowControl/>
              <w:jc w:val="center"/>
              <w:rPr>
                <w:rFonts w:hint="eastAsia" w:ascii="仿宋" w:hAnsi="仿宋" w:eastAsia="仿宋"/>
                <w:sz w:val="24"/>
              </w:rPr>
            </w:pPr>
            <w:r>
              <w:rPr>
                <w:rFonts w:hint="eastAsia" w:ascii="仿宋" w:hAnsi="仿宋" w:eastAsia="仿宋"/>
                <w:sz w:val="24"/>
              </w:rPr>
              <w:t>无线AP</w:t>
            </w:r>
          </w:p>
        </w:tc>
        <w:tc>
          <w:tcPr>
            <w:tcW w:w="5386" w:type="dxa"/>
            <w:vAlign w:val="center"/>
          </w:tcPr>
          <w:p w14:paraId="112E769F">
            <w:pPr>
              <w:widowControl/>
              <w:jc w:val="left"/>
              <w:rPr>
                <w:rFonts w:hint="eastAsia" w:ascii="仿宋" w:hAnsi="仿宋" w:eastAsia="仿宋"/>
                <w:sz w:val="24"/>
              </w:rPr>
            </w:pPr>
            <w:r>
              <w:rPr>
                <w:rFonts w:hint="eastAsia" w:ascii="仿宋" w:hAnsi="仿宋" w:eastAsia="仿宋"/>
                <w:sz w:val="24"/>
              </w:rPr>
              <w:t>内置天线双频四流802.11ax/ac/n无线接入点-FIT。</w:t>
            </w:r>
            <w:r>
              <w:rPr>
                <w:rFonts w:hint="eastAsia" w:ascii="仿宋" w:hAnsi="仿宋" w:eastAsia="仿宋"/>
                <w:sz w:val="24"/>
              </w:rPr>
              <w:br w:type="textWrapping"/>
            </w:r>
            <w:r>
              <w:rPr>
                <w:rFonts w:hint="eastAsia" w:ascii="仿宋" w:hAnsi="仿宋" w:eastAsia="仿宋"/>
                <w:sz w:val="24"/>
              </w:rPr>
              <w:t>含：三年硬件质保，三年软件版本升级。含接入医院现有无线控制器授权。</w:t>
            </w:r>
          </w:p>
        </w:tc>
        <w:tc>
          <w:tcPr>
            <w:tcW w:w="709" w:type="dxa"/>
            <w:noWrap/>
            <w:vAlign w:val="center"/>
          </w:tcPr>
          <w:p w14:paraId="3E896A09">
            <w:pPr>
              <w:widowControl/>
              <w:jc w:val="center"/>
              <w:rPr>
                <w:rFonts w:hint="eastAsia" w:ascii="仿宋" w:hAnsi="仿宋" w:eastAsia="仿宋"/>
                <w:sz w:val="24"/>
              </w:rPr>
            </w:pPr>
            <w:r>
              <w:rPr>
                <w:rFonts w:hint="eastAsia" w:ascii="仿宋" w:hAnsi="仿宋" w:eastAsia="仿宋"/>
                <w:sz w:val="24"/>
              </w:rPr>
              <w:t>32</w:t>
            </w:r>
          </w:p>
        </w:tc>
        <w:tc>
          <w:tcPr>
            <w:tcW w:w="709" w:type="dxa"/>
            <w:vAlign w:val="center"/>
          </w:tcPr>
          <w:p w14:paraId="38B59E8E">
            <w:pPr>
              <w:widowControl/>
              <w:jc w:val="center"/>
              <w:rPr>
                <w:rFonts w:hint="eastAsia" w:ascii="仿宋" w:hAnsi="仿宋" w:eastAsia="仿宋"/>
                <w:sz w:val="24"/>
              </w:rPr>
            </w:pPr>
            <w:r>
              <w:rPr>
                <w:rFonts w:hint="eastAsia" w:ascii="仿宋" w:hAnsi="仿宋" w:eastAsia="仿宋"/>
                <w:sz w:val="24"/>
              </w:rPr>
              <w:t>台</w:t>
            </w:r>
          </w:p>
        </w:tc>
      </w:tr>
      <w:tr w14:paraId="5C4D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064EEAC6">
            <w:pPr>
              <w:widowControl/>
              <w:jc w:val="center"/>
              <w:rPr>
                <w:rFonts w:hint="eastAsia" w:ascii="仿宋" w:hAnsi="仿宋" w:eastAsia="仿宋" w:cs="宋体"/>
                <w:kern w:val="0"/>
                <w:sz w:val="24"/>
              </w:rPr>
            </w:pPr>
            <w:r>
              <w:rPr>
                <w:rFonts w:hint="eastAsia" w:ascii="仿宋" w:hAnsi="仿宋" w:eastAsia="仿宋" w:cs="宋体"/>
                <w:kern w:val="0"/>
                <w:sz w:val="24"/>
              </w:rPr>
              <w:t>7</w:t>
            </w:r>
          </w:p>
        </w:tc>
        <w:tc>
          <w:tcPr>
            <w:tcW w:w="1271" w:type="dxa"/>
            <w:noWrap/>
            <w:vAlign w:val="center"/>
          </w:tcPr>
          <w:p w14:paraId="1C91581E">
            <w:pPr>
              <w:widowControl/>
              <w:jc w:val="center"/>
              <w:rPr>
                <w:rFonts w:hint="eastAsia" w:ascii="仿宋" w:hAnsi="仿宋" w:eastAsia="仿宋"/>
                <w:sz w:val="24"/>
              </w:rPr>
            </w:pPr>
            <w:r>
              <w:rPr>
                <w:rFonts w:hint="eastAsia" w:ascii="仿宋" w:hAnsi="仿宋" w:eastAsia="仿宋"/>
                <w:sz w:val="24"/>
              </w:rPr>
              <w:t>AP接入授权</w:t>
            </w:r>
          </w:p>
        </w:tc>
        <w:tc>
          <w:tcPr>
            <w:tcW w:w="5386" w:type="dxa"/>
            <w:vAlign w:val="center"/>
          </w:tcPr>
          <w:p w14:paraId="0EEE347E">
            <w:pPr>
              <w:widowControl/>
              <w:jc w:val="left"/>
              <w:rPr>
                <w:rFonts w:hint="eastAsia" w:ascii="仿宋" w:hAnsi="仿宋" w:eastAsia="仿宋"/>
                <w:sz w:val="24"/>
              </w:rPr>
            </w:pPr>
            <w:r>
              <w:rPr>
                <w:rFonts w:hint="eastAsia" w:ascii="仿宋" w:hAnsi="仿宋" w:eastAsia="仿宋"/>
                <w:sz w:val="24"/>
              </w:rPr>
              <w:t>增强型无线控制器license授权函-管理32AP-企业网专用-V7V9.</w:t>
            </w:r>
          </w:p>
        </w:tc>
        <w:tc>
          <w:tcPr>
            <w:tcW w:w="709" w:type="dxa"/>
            <w:noWrap/>
            <w:vAlign w:val="center"/>
          </w:tcPr>
          <w:p w14:paraId="63608516">
            <w:pPr>
              <w:widowControl/>
              <w:jc w:val="center"/>
              <w:rPr>
                <w:rFonts w:hint="eastAsia" w:ascii="仿宋" w:hAnsi="仿宋" w:eastAsia="仿宋"/>
                <w:sz w:val="24"/>
              </w:rPr>
            </w:pPr>
            <w:r>
              <w:rPr>
                <w:rFonts w:hint="eastAsia" w:ascii="仿宋" w:hAnsi="仿宋" w:eastAsia="仿宋"/>
                <w:sz w:val="24"/>
              </w:rPr>
              <w:t>1</w:t>
            </w:r>
          </w:p>
        </w:tc>
        <w:tc>
          <w:tcPr>
            <w:tcW w:w="709" w:type="dxa"/>
            <w:vAlign w:val="center"/>
          </w:tcPr>
          <w:p w14:paraId="08DE897E">
            <w:pPr>
              <w:widowControl/>
              <w:jc w:val="center"/>
              <w:rPr>
                <w:rFonts w:hint="eastAsia" w:ascii="仿宋" w:hAnsi="仿宋" w:eastAsia="仿宋"/>
                <w:sz w:val="24"/>
              </w:rPr>
            </w:pPr>
            <w:r>
              <w:rPr>
                <w:rFonts w:hint="eastAsia" w:ascii="仿宋" w:hAnsi="仿宋" w:eastAsia="仿宋"/>
                <w:sz w:val="24"/>
              </w:rPr>
              <w:t>套</w:t>
            </w:r>
          </w:p>
        </w:tc>
      </w:tr>
      <w:tr w14:paraId="449A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1EA319E4">
            <w:pPr>
              <w:widowControl/>
              <w:jc w:val="center"/>
              <w:rPr>
                <w:rFonts w:hint="eastAsia" w:ascii="仿宋" w:hAnsi="仿宋" w:eastAsia="仿宋" w:cs="宋体"/>
                <w:kern w:val="0"/>
                <w:sz w:val="24"/>
              </w:rPr>
            </w:pPr>
            <w:r>
              <w:rPr>
                <w:rFonts w:hint="eastAsia" w:ascii="仿宋" w:hAnsi="仿宋" w:eastAsia="仿宋" w:cs="宋体"/>
                <w:kern w:val="0"/>
                <w:sz w:val="24"/>
              </w:rPr>
              <w:t>8</w:t>
            </w:r>
          </w:p>
        </w:tc>
        <w:tc>
          <w:tcPr>
            <w:tcW w:w="1271" w:type="dxa"/>
            <w:noWrap/>
            <w:vAlign w:val="center"/>
          </w:tcPr>
          <w:p w14:paraId="7224F83F">
            <w:pPr>
              <w:widowControl/>
              <w:jc w:val="center"/>
              <w:rPr>
                <w:rFonts w:hint="eastAsia" w:ascii="仿宋" w:hAnsi="仿宋" w:eastAsia="仿宋"/>
                <w:sz w:val="24"/>
              </w:rPr>
            </w:pPr>
            <w:r>
              <w:rPr>
                <w:rFonts w:hint="eastAsia" w:ascii="仿宋" w:hAnsi="仿宋" w:eastAsia="仿宋"/>
                <w:sz w:val="24"/>
              </w:rPr>
              <w:t>PoE交换机</w:t>
            </w:r>
          </w:p>
        </w:tc>
        <w:tc>
          <w:tcPr>
            <w:tcW w:w="5386" w:type="dxa"/>
            <w:vAlign w:val="center"/>
          </w:tcPr>
          <w:p w14:paraId="0F54807A">
            <w:pPr>
              <w:widowControl/>
              <w:jc w:val="left"/>
              <w:rPr>
                <w:rFonts w:hint="eastAsia" w:ascii="仿宋" w:hAnsi="仿宋" w:eastAsia="仿宋"/>
                <w:sz w:val="24"/>
              </w:rPr>
            </w:pPr>
            <w:r>
              <w:rPr>
                <w:rFonts w:hint="eastAsia" w:ascii="仿宋" w:hAnsi="仿宋" w:eastAsia="仿宋"/>
                <w:sz w:val="24"/>
              </w:rPr>
              <w:t>交换容量：336Gbps，包转发率：108Mpps；24个10/100/1000BASE-T电口,支持4个1000BASE-X SFP端口。</w:t>
            </w:r>
            <w:r>
              <w:rPr>
                <w:rFonts w:hint="eastAsia" w:ascii="仿宋" w:hAnsi="仿宋" w:eastAsia="仿宋"/>
                <w:sz w:val="24"/>
              </w:rPr>
              <w:br w:type="textWrapping"/>
            </w:r>
            <w:r>
              <w:rPr>
                <w:rFonts w:hint="eastAsia" w:ascii="仿宋" w:hAnsi="仿宋" w:eastAsia="仿宋"/>
                <w:sz w:val="24"/>
              </w:rPr>
              <w:t>含：配备4块同品牌的万兆光模块-SFP+-单模模块-(1310nm,10km,LC)，4对3米LC-LC单模光纤跳线。</w:t>
            </w:r>
            <w:r>
              <w:rPr>
                <w:rFonts w:hint="eastAsia" w:ascii="仿宋" w:hAnsi="仿宋" w:eastAsia="仿宋"/>
                <w:sz w:val="24"/>
              </w:rPr>
              <w:br w:type="textWrapping"/>
            </w:r>
            <w:r>
              <w:rPr>
                <w:rFonts w:hint="eastAsia" w:ascii="仿宋" w:hAnsi="仿宋" w:eastAsia="仿宋"/>
                <w:sz w:val="24"/>
              </w:rPr>
              <w:t>三年硬件质保，三年软件版本升级。</w:t>
            </w:r>
          </w:p>
        </w:tc>
        <w:tc>
          <w:tcPr>
            <w:tcW w:w="709" w:type="dxa"/>
            <w:noWrap/>
            <w:vAlign w:val="center"/>
          </w:tcPr>
          <w:p w14:paraId="37D177E7">
            <w:pPr>
              <w:widowControl/>
              <w:jc w:val="center"/>
              <w:rPr>
                <w:rFonts w:hint="eastAsia" w:ascii="仿宋" w:hAnsi="仿宋" w:eastAsia="仿宋"/>
                <w:sz w:val="24"/>
              </w:rPr>
            </w:pPr>
            <w:r>
              <w:rPr>
                <w:rFonts w:hint="eastAsia" w:ascii="仿宋" w:hAnsi="仿宋" w:eastAsia="仿宋"/>
                <w:sz w:val="24"/>
              </w:rPr>
              <w:t>2</w:t>
            </w:r>
          </w:p>
        </w:tc>
        <w:tc>
          <w:tcPr>
            <w:tcW w:w="709" w:type="dxa"/>
            <w:vAlign w:val="center"/>
          </w:tcPr>
          <w:p w14:paraId="79F19981">
            <w:pPr>
              <w:widowControl/>
              <w:jc w:val="center"/>
              <w:rPr>
                <w:rFonts w:hint="eastAsia" w:ascii="仿宋" w:hAnsi="仿宋" w:eastAsia="仿宋"/>
                <w:sz w:val="24"/>
              </w:rPr>
            </w:pPr>
            <w:r>
              <w:rPr>
                <w:rFonts w:hint="eastAsia" w:ascii="仿宋" w:hAnsi="仿宋" w:eastAsia="仿宋"/>
                <w:sz w:val="24"/>
              </w:rPr>
              <w:t>台</w:t>
            </w:r>
          </w:p>
        </w:tc>
      </w:tr>
      <w:tr w14:paraId="5CB1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039FBC1F">
            <w:pPr>
              <w:widowControl/>
              <w:jc w:val="center"/>
              <w:rPr>
                <w:rFonts w:hint="eastAsia" w:ascii="仿宋" w:hAnsi="仿宋" w:eastAsia="仿宋" w:cs="宋体"/>
                <w:kern w:val="0"/>
                <w:sz w:val="24"/>
              </w:rPr>
            </w:pPr>
            <w:r>
              <w:rPr>
                <w:rFonts w:hint="eastAsia" w:ascii="仿宋" w:hAnsi="仿宋" w:eastAsia="仿宋" w:cs="宋体"/>
                <w:kern w:val="0"/>
                <w:sz w:val="24"/>
              </w:rPr>
              <w:t>9</w:t>
            </w:r>
          </w:p>
        </w:tc>
        <w:tc>
          <w:tcPr>
            <w:tcW w:w="1271" w:type="dxa"/>
            <w:noWrap/>
            <w:vAlign w:val="center"/>
          </w:tcPr>
          <w:p w14:paraId="220094EE">
            <w:pPr>
              <w:widowControl/>
              <w:jc w:val="center"/>
              <w:rPr>
                <w:rFonts w:hint="eastAsia" w:ascii="仿宋" w:hAnsi="仿宋" w:eastAsia="仿宋"/>
                <w:sz w:val="24"/>
              </w:rPr>
            </w:pPr>
            <w:r>
              <w:rPr>
                <w:rFonts w:hint="eastAsia" w:ascii="仿宋" w:hAnsi="仿宋" w:eastAsia="仿宋"/>
                <w:sz w:val="24"/>
              </w:rPr>
              <w:t>网线</w:t>
            </w:r>
          </w:p>
        </w:tc>
        <w:tc>
          <w:tcPr>
            <w:tcW w:w="5386" w:type="dxa"/>
            <w:vAlign w:val="center"/>
          </w:tcPr>
          <w:p w14:paraId="0B5E33A0">
            <w:pPr>
              <w:widowControl/>
              <w:jc w:val="left"/>
              <w:rPr>
                <w:rFonts w:hint="eastAsia" w:ascii="仿宋" w:hAnsi="仿宋" w:eastAsia="仿宋"/>
                <w:sz w:val="24"/>
              </w:rPr>
            </w:pPr>
            <w:r>
              <w:rPr>
                <w:rFonts w:hint="eastAsia" w:ascii="仿宋" w:hAnsi="仿宋" w:eastAsia="仿宋"/>
                <w:sz w:val="24"/>
              </w:rPr>
              <w:t>国标六类非屏蔽网络线。</w:t>
            </w:r>
          </w:p>
        </w:tc>
        <w:tc>
          <w:tcPr>
            <w:tcW w:w="709" w:type="dxa"/>
            <w:noWrap/>
            <w:vAlign w:val="center"/>
          </w:tcPr>
          <w:p w14:paraId="37EF2757">
            <w:pPr>
              <w:widowControl/>
              <w:jc w:val="center"/>
              <w:rPr>
                <w:rFonts w:hint="eastAsia" w:ascii="仿宋" w:hAnsi="仿宋" w:eastAsia="仿宋"/>
                <w:sz w:val="24"/>
              </w:rPr>
            </w:pPr>
            <w:r>
              <w:rPr>
                <w:rFonts w:hint="eastAsia" w:ascii="仿宋" w:hAnsi="仿宋" w:eastAsia="仿宋"/>
                <w:sz w:val="24"/>
              </w:rPr>
              <w:t>7</w:t>
            </w:r>
          </w:p>
        </w:tc>
        <w:tc>
          <w:tcPr>
            <w:tcW w:w="709" w:type="dxa"/>
            <w:vAlign w:val="center"/>
          </w:tcPr>
          <w:p w14:paraId="6CC50081">
            <w:pPr>
              <w:widowControl/>
              <w:jc w:val="center"/>
              <w:rPr>
                <w:rFonts w:hint="eastAsia" w:ascii="仿宋" w:hAnsi="仿宋" w:eastAsia="仿宋"/>
                <w:sz w:val="24"/>
              </w:rPr>
            </w:pPr>
            <w:r>
              <w:rPr>
                <w:rFonts w:hint="eastAsia" w:ascii="仿宋" w:hAnsi="仿宋" w:eastAsia="仿宋"/>
                <w:sz w:val="24"/>
              </w:rPr>
              <w:t>箱</w:t>
            </w:r>
          </w:p>
        </w:tc>
      </w:tr>
      <w:tr w14:paraId="072B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1A1C1EB9">
            <w:pPr>
              <w:widowControl/>
              <w:jc w:val="center"/>
              <w:rPr>
                <w:rFonts w:hint="eastAsia" w:ascii="仿宋" w:hAnsi="仿宋" w:eastAsia="仿宋" w:cs="宋体"/>
                <w:kern w:val="0"/>
                <w:sz w:val="24"/>
              </w:rPr>
            </w:pPr>
            <w:r>
              <w:rPr>
                <w:rFonts w:hint="eastAsia" w:ascii="仿宋" w:hAnsi="仿宋" w:eastAsia="仿宋" w:cs="宋体"/>
                <w:kern w:val="0"/>
                <w:sz w:val="24"/>
              </w:rPr>
              <w:t>10</w:t>
            </w:r>
          </w:p>
        </w:tc>
        <w:tc>
          <w:tcPr>
            <w:tcW w:w="1271" w:type="dxa"/>
            <w:noWrap/>
            <w:vAlign w:val="center"/>
          </w:tcPr>
          <w:p w14:paraId="43D34E1D">
            <w:pPr>
              <w:widowControl/>
              <w:jc w:val="center"/>
              <w:rPr>
                <w:rFonts w:hint="eastAsia" w:ascii="仿宋" w:hAnsi="仿宋" w:eastAsia="仿宋"/>
                <w:sz w:val="24"/>
              </w:rPr>
            </w:pPr>
            <w:r>
              <w:rPr>
                <w:rFonts w:hint="eastAsia" w:ascii="仿宋" w:hAnsi="仿宋" w:eastAsia="仿宋"/>
                <w:sz w:val="24"/>
              </w:rPr>
              <w:t>24芯单模光缆</w:t>
            </w:r>
          </w:p>
        </w:tc>
        <w:tc>
          <w:tcPr>
            <w:tcW w:w="5386" w:type="dxa"/>
            <w:vAlign w:val="center"/>
          </w:tcPr>
          <w:p w14:paraId="1C687D23">
            <w:pPr>
              <w:widowControl/>
              <w:jc w:val="left"/>
              <w:rPr>
                <w:rFonts w:hint="eastAsia" w:ascii="仿宋" w:hAnsi="仿宋" w:eastAsia="仿宋"/>
                <w:sz w:val="24"/>
              </w:rPr>
            </w:pPr>
            <w:r>
              <w:rPr>
                <w:rFonts w:hint="eastAsia" w:ascii="仿宋" w:hAnsi="仿宋" w:eastAsia="仿宋"/>
                <w:sz w:val="24"/>
              </w:rPr>
              <w:t>24芯单模松套层绞式铝带铠装室外光缆。</w:t>
            </w:r>
          </w:p>
        </w:tc>
        <w:tc>
          <w:tcPr>
            <w:tcW w:w="709" w:type="dxa"/>
            <w:noWrap/>
            <w:vAlign w:val="center"/>
          </w:tcPr>
          <w:p w14:paraId="6F956FF1">
            <w:pPr>
              <w:widowControl/>
              <w:jc w:val="center"/>
              <w:rPr>
                <w:rFonts w:hint="eastAsia" w:ascii="仿宋" w:hAnsi="仿宋" w:eastAsia="仿宋"/>
                <w:color w:val="FF0000"/>
                <w:sz w:val="24"/>
              </w:rPr>
            </w:pPr>
            <w:r>
              <w:rPr>
                <w:rFonts w:hint="eastAsia" w:ascii="仿宋" w:hAnsi="仿宋" w:eastAsia="仿宋"/>
                <w:sz w:val="24"/>
              </w:rPr>
              <w:t>1360</w:t>
            </w:r>
          </w:p>
        </w:tc>
        <w:tc>
          <w:tcPr>
            <w:tcW w:w="709" w:type="dxa"/>
            <w:vAlign w:val="center"/>
          </w:tcPr>
          <w:p w14:paraId="52F474A6">
            <w:pPr>
              <w:widowControl/>
              <w:jc w:val="center"/>
              <w:rPr>
                <w:rFonts w:hint="eastAsia" w:ascii="仿宋" w:hAnsi="仿宋" w:eastAsia="仿宋"/>
                <w:color w:val="FF0000"/>
                <w:sz w:val="24"/>
              </w:rPr>
            </w:pPr>
            <w:r>
              <w:rPr>
                <w:rFonts w:hint="eastAsia" w:ascii="仿宋" w:hAnsi="仿宋" w:eastAsia="仿宋"/>
                <w:sz w:val="24"/>
              </w:rPr>
              <w:t>米</w:t>
            </w:r>
          </w:p>
        </w:tc>
      </w:tr>
      <w:tr w14:paraId="1DFF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3A4EF398">
            <w:pPr>
              <w:widowControl/>
              <w:jc w:val="center"/>
              <w:rPr>
                <w:rFonts w:hint="eastAsia" w:ascii="仿宋" w:hAnsi="仿宋" w:eastAsia="仿宋" w:cs="宋体"/>
                <w:kern w:val="0"/>
                <w:sz w:val="24"/>
              </w:rPr>
            </w:pPr>
            <w:r>
              <w:rPr>
                <w:rFonts w:hint="eastAsia" w:ascii="仿宋" w:hAnsi="仿宋" w:eastAsia="仿宋" w:cs="宋体"/>
                <w:kern w:val="0"/>
                <w:sz w:val="24"/>
              </w:rPr>
              <w:t>11</w:t>
            </w:r>
          </w:p>
        </w:tc>
        <w:tc>
          <w:tcPr>
            <w:tcW w:w="1271" w:type="dxa"/>
            <w:noWrap/>
            <w:vAlign w:val="center"/>
          </w:tcPr>
          <w:p w14:paraId="01E3EBCF">
            <w:pPr>
              <w:widowControl/>
              <w:jc w:val="center"/>
              <w:rPr>
                <w:rFonts w:hint="eastAsia" w:ascii="仿宋" w:hAnsi="仿宋" w:eastAsia="仿宋" w:cs="宋体"/>
                <w:kern w:val="0"/>
                <w:sz w:val="24"/>
              </w:rPr>
            </w:pPr>
            <w:r>
              <w:rPr>
                <w:rFonts w:hint="eastAsia" w:ascii="仿宋" w:hAnsi="仿宋" w:eastAsia="仿宋"/>
                <w:sz w:val="24"/>
              </w:rPr>
              <w:t>12口光纤配线架</w:t>
            </w:r>
          </w:p>
        </w:tc>
        <w:tc>
          <w:tcPr>
            <w:tcW w:w="5386" w:type="dxa"/>
            <w:vAlign w:val="center"/>
          </w:tcPr>
          <w:p w14:paraId="1FDA12A8">
            <w:pPr>
              <w:widowControl/>
              <w:jc w:val="left"/>
              <w:rPr>
                <w:rFonts w:hint="eastAsia" w:ascii="仿宋" w:hAnsi="仿宋" w:eastAsia="仿宋" w:cs="仿宋"/>
                <w:kern w:val="0"/>
                <w:sz w:val="24"/>
              </w:rPr>
            </w:pPr>
            <w:r>
              <w:rPr>
                <w:rFonts w:hint="eastAsia" w:ascii="仿宋" w:hAnsi="仿宋" w:eastAsia="仿宋"/>
                <w:sz w:val="24"/>
              </w:rPr>
              <w:t>12口光纤配线架（LC满配）。</w:t>
            </w:r>
          </w:p>
        </w:tc>
        <w:tc>
          <w:tcPr>
            <w:tcW w:w="709" w:type="dxa"/>
            <w:noWrap/>
            <w:vAlign w:val="center"/>
          </w:tcPr>
          <w:p w14:paraId="0C0A8231">
            <w:pPr>
              <w:widowControl/>
              <w:jc w:val="center"/>
              <w:rPr>
                <w:rFonts w:hint="eastAsia" w:ascii="仿宋" w:hAnsi="仿宋" w:eastAsia="仿宋" w:cs="宋体"/>
                <w:kern w:val="0"/>
                <w:sz w:val="24"/>
              </w:rPr>
            </w:pPr>
            <w:r>
              <w:rPr>
                <w:rFonts w:hint="eastAsia" w:ascii="仿宋" w:hAnsi="仿宋" w:eastAsia="仿宋"/>
                <w:sz w:val="24"/>
              </w:rPr>
              <w:t>6</w:t>
            </w:r>
          </w:p>
        </w:tc>
        <w:tc>
          <w:tcPr>
            <w:tcW w:w="709" w:type="dxa"/>
            <w:vAlign w:val="center"/>
          </w:tcPr>
          <w:p w14:paraId="0A313D0A">
            <w:pPr>
              <w:widowControl/>
              <w:jc w:val="center"/>
              <w:rPr>
                <w:rFonts w:hint="eastAsia" w:ascii="仿宋" w:hAnsi="仿宋" w:eastAsia="仿宋" w:cs="宋体"/>
                <w:kern w:val="0"/>
                <w:sz w:val="24"/>
              </w:rPr>
            </w:pPr>
            <w:r>
              <w:rPr>
                <w:rFonts w:hint="eastAsia" w:ascii="仿宋" w:hAnsi="仿宋" w:eastAsia="仿宋"/>
                <w:sz w:val="24"/>
              </w:rPr>
              <w:t>只</w:t>
            </w:r>
          </w:p>
        </w:tc>
      </w:tr>
      <w:tr w14:paraId="261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6760DCA5">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271" w:type="dxa"/>
            <w:noWrap/>
            <w:vAlign w:val="center"/>
          </w:tcPr>
          <w:p w14:paraId="09FD97B0">
            <w:pPr>
              <w:widowControl/>
              <w:jc w:val="center"/>
              <w:rPr>
                <w:rFonts w:hint="eastAsia" w:ascii="仿宋" w:hAnsi="仿宋" w:eastAsia="仿宋" w:cs="宋体"/>
                <w:kern w:val="0"/>
                <w:sz w:val="24"/>
              </w:rPr>
            </w:pPr>
            <w:r>
              <w:rPr>
                <w:rFonts w:hint="eastAsia" w:ascii="仿宋" w:hAnsi="仿宋" w:eastAsia="仿宋"/>
                <w:sz w:val="24"/>
              </w:rPr>
              <w:t>24口光纤配线架</w:t>
            </w:r>
          </w:p>
        </w:tc>
        <w:tc>
          <w:tcPr>
            <w:tcW w:w="5386" w:type="dxa"/>
            <w:vAlign w:val="center"/>
          </w:tcPr>
          <w:p w14:paraId="60B0E412">
            <w:pPr>
              <w:widowControl/>
              <w:jc w:val="left"/>
              <w:rPr>
                <w:rFonts w:hint="eastAsia" w:ascii="仿宋" w:hAnsi="仿宋" w:eastAsia="仿宋" w:cs="仿宋"/>
                <w:kern w:val="0"/>
                <w:sz w:val="24"/>
              </w:rPr>
            </w:pPr>
            <w:r>
              <w:rPr>
                <w:rFonts w:hint="eastAsia" w:ascii="仿宋" w:hAnsi="仿宋" w:eastAsia="仿宋"/>
                <w:sz w:val="24"/>
              </w:rPr>
              <w:t>24口光纤配线架（LC满配）。</w:t>
            </w:r>
          </w:p>
        </w:tc>
        <w:tc>
          <w:tcPr>
            <w:tcW w:w="709" w:type="dxa"/>
            <w:noWrap/>
            <w:vAlign w:val="center"/>
          </w:tcPr>
          <w:p w14:paraId="7D2A7C06">
            <w:pPr>
              <w:widowControl/>
              <w:jc w:val="center"/>
              <w:rPr>
                <w:rFonts w:hint="eastAsia" w:ascii="仿宋" w:hAnsi="仿宋" w:eastAsia="仿宋" w:cs="宋体"/>
                <w:kern w:val="0"/>
                <w:sz w:val="24"/>
              </w:rPr>
            </w:pPr>
            <w:r>
              <w:rPr>
                <w:rFonts w:hint="eastAsia" w:ascii="仿宋" w:hAnsi="仿宋" w:eastAsia="仿宋"/>
                <w:sz w:val="24"/>
              </w:rPr>
              <w:t>3</w:t>
            </w:r>
          </w:p>
        </w:tc>
        <w:tc>
          <w:tcPr>
            <w:tcW w:w="709" w:type="dxa"/>
            <w:vAlign w:val="center"/>
          </w:tcPr>
          <w:p w14:paraId="61E4EB30">
            <w:pPr>
              <w:widowControl/>
              <w:jc w:val="center"/>
              <w:rPr>
                <w:rFonts w:hint="eastAsia" w:ascii="仿宋" w:hAnsi="仿宋" w:eastAsia="仿宋" w:cs="宋体"/>
                <w:kern w:val="0"/>
                <w:sz w:val="24"/>
              </w:rPr>
            </w:pPr>
            <w:r>
              <w:rPr>
                <w:rFonts w:hint="eastAsia" w:ascii="仿宋" w:hAnsi="仿宋" w:eastAsia="仿宋"/>
                <w:sz w:val="24"/>
              </w:rPr>
              <w:t>只</w:t>
            </w:r>
          </w:p>
        </w:tc>
      </w:tr>
      <w:tr w14:paraId="40B8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20426030">
            <w:pPr>
              <w:widowControl/>
              <w:jc w:val="center"/>
              <w:rPr>
                <w:rFonts w:hint="eastAsia" w:ascii="仿宋" w:hAnsi="仿宋" w:eastAsia="仿宋" w:cs="宋体"/>
                <w:kern w:val="0"/>
                <w:sz w:val="24"/>
              </w:rPr>
            </w:pPr>
            <w:r>
              <w:rPr>
                <w:rFonts w:hint="eastAsia" w:ascii="仿宋" w:hAnsi="仿宋" w:eastAsia="仿宋" w:cs="宋体"/>
                <w:kern w:val="0"/>
                <w:sz w:val="24"/>
              </w:rPr>
              <w:t>13</w:t>
            </w:r>
          </w:p>
        </w:tc>
        <w:tc>
          <w:tcPr>
            <w:tcW w:w="1271" w:type="dxa"/>
            <w:noWrap/>
            <w:vAlign w:val="center"/>
          </w:tcPr>
          <w:p w14:paraId="2D70DDF1">
            <w:pPr>
              <w:widowControl/>
              <w:jc w:val="center"/>
              <w:rPr>
                <w:rFonts w:hint="eastAsia" w:ascii="仿宋" w:hAnsi="仿宋" w:eastAsia="仿宋" w:cs="宋体"/>
                <w:kern w:val="0"/>
                <w:sz w:val="24"/>
              </w:rPr>
            </w:pPr>
            <w:r>
              <w:rPr>
                <w:rFonts w:hint="eastAsia" w:ascii="仿宋" w:hAnsi="仿宋" w:eastAsia="仿宋"/>
                <w:sz w:val="24"/>
              </w:rPr>
              <w:t>SC25</w:t>
            </w:r>
          </w:p>
        </w:tc>
        <w:tc>
          <w:tcPr>
            <w:tcW w:w="5386" w:type="dxa"/>
            <w:vAlign w:val="center"/>
          </w:tcPr>
          <w:p w14:paraId="5DFF2B7C">
            <w:pPr>
              <w:widowControl/>
              <w:jc w:val="left"/>
              <w:rPr>
                <w:rFonts w:hint="eastAsia" w:ascii="仿宋" w:hAnsi="仿宋" w:eastAsia="仿宋" w:cs="仿宋"/>
                <w:kern w:val="0"/>
                <w:sz w:val="24"/>
              </w:rPr>
            </w:pPr>
            <w:r>
              <w:rPr>
                <w:rFonts w:hint="eastAsia" w:ascii="仿宋" w:hAnsi="仿宋" w:eastAsia="仿宋"/>
                <w:sz w:val="24"/>
              </w:rPr>
              <w:t>SC25、壁厚2.5。</w:t>
            </w:r>
          </w:p>
        </w:tc>
        <w:tc>
          <w:tcPr>
            <w:tcW w:w="709" w:type="dxa"/>
            <w:noWrap/>
            <w:vAlign w:val="center"/>
          </w:tcPr>
          <w:p w14:paraId="21341216">
            <w:pPr>
              <w:widowControl/>
              <w:jc w:val="center"/>
              <w:rPr>
                <w:rFonts w:hint="eastAsia" w:ascii="仿宋" w:hAnsi="仿宋" w:eastAsia="仿宋" w:cs="宋体"/>
                <w:kern w:val="0"/>
                <w:sz w:val="24"/>
              </w:rPr>
            </w:pPr>
            <w:r>
              <w:rPr>
                <w:rFonts w:hint="eastAsia" w:ascii="仿宋" w:hAnsi="仿宋" w:eastAsia="仿宋"/>
                <w:sz w:val="24"/>
              </w:rPr>
              <w:t>40</w:t>
            </w:r>
          </w:p>
        </w:tc>
        <w:tc>
          <w:tcPr>
            <w:tcW w:w="709" w:type="dxa"/>
            <w:vAlign w:val="center"/>
          </w:tcPr>
          <w:p w14:paraId="65A687E4">
            <w:pPr>
              <w:widowControl/>
              <w:jc w:val="center"/>
              <w:rPr>
                <w:rFonts w:hint="eastAsia" w:ascii="仿宋" w:hAnsi="仿宋" w:eastAsia="仿宋" w:cs="宋体"/>
                <w:kern w:val="0"/>
                <w:sz w:val="24"/>
              </w:rPr>
            </w:pPr>
            <w:r>
              <w:rPr>
                <w:rFonts w:hint="eastAsia" w:ascii="仿宋" w:hAnsi="仿宋" w:eastAsia="仿宋"/>
                <w:sz w:val="24"/>
              </w:rPr>
              <w:t>米</w:t>
            </w:r>
          </w:p>
        </w:tc>
      </w:tr>
      <w:tr w14:paraId="6408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75D56463">
            <w:pPr>
              <w:widowControl/>
              <w:jc w:val="center"/>
              <w:rPr>
                <w:rFonts w:hint="eastAsia" w:ascii="仿宋" w:hAnsi="仿宋" w:eastAsia="仿宋" w:cs="宋体"/>
                <w:kern w:val="0"/>
                <w:sz w:val="24"/>
              </w:rPr>
            </w:pPr>
            <w:r>
              <w:rPr>
                <w:rFonts w:hint="eastAsia" w:ascii="仿宋" w:hAnsi="仿宋" w:eastAsia="仿宋" w:cs="宋体"/>
                <w:kern w:val="0"/>
                <w:sz w:val="24"/>
              </w:rPr>
              <w:t>14</w:t>
            </w:r>
          </w:p>
        </w:tc>
        <w:tc>
          <w:tcPr>
            <w:tcW w:w="1271" w:type="dxa"/>
            <w:noWrap/>
            <w:vAlign w:val="center"/>
          </w:tcPr>
          <w:p w14:paraId="167916B0">
            <w:pPr>
              <w:widowControl/>
              <w:jc w:val="center"/>
              <w:rPr>
                <w:rFonts w:hint="eastAsia" w:ascii="仿宋" w:hAnsi="仿宋" w:eastAsia="仿宋" w:cs="宋体"/>
                <w:kern w:val="0"/>
                <w:sz w:val="24"/>
              </w:rPr>
            </w:pPr>
            <w:r>
              <w:rPr>
                <w:rFonts w:hint="eastAsia" w:ascii="仿宋" w:hAnsi="仿宋" w:eastAsia="仿宋"/>
                <w:sz w:val="24"/>
              </w:rPr>
              <w:t>PVC25</w:t>
            </w:r>
          </w:p>
        </w:tc>
        <w:tc>
          <w:tcPr>
            <w:tcW w:w="5386" w:type="dxa"/>
            <w:vAlign w:val="center"/>
          </w:tcPr>
          <w:p w14:paraId="3E6826FE">
            <w:pPr>
              <w:widowControl/>
              <w:jc w:val="left"/>
              <w:rPr>
                <w:rFonts w:hint="eastAsia" w:ascii="仿宋" w:hAnsi="仿宋" w:eastAsia="仿宋" w:cs="仿宋"/>
                <w:kern w:val="0"/>
                <w:sz w:val="24"/>
              </w:rPr>
            </w:pPr>
            <w:r>
              <w:rPr>
                <w:rFonts w:hint="eastAsia" w:ascii="仿宋" w:hAnsi="仿宋" w:eastAsia="仿宋"/>
                <w:sz w:val="24"/>
              </w:rPr>
              <w:t>国标PVC25。</w:t>
            </w:r>
          </w:p>
        </w:tc>
        <w:tc>
          <w:tcPr>
            <w:tcW w:w="709" w:type="dxa"/>
            <w:noWrap/>
            <w:vAlign w:val="center"/>
          </w:tcPr>
          <w:p w14:paraId="3CACBBEF">
            <w:pPr>
              <w:widowControl/>
              <w:jc w:val="center"/>
              <w:rPr>
                <w:rFonts w:hint="eastAsia" w:ascii="仿宋" w:hAnsi="仿宋" w:eastAsia="仿宋" w:cs="宋体"/>
                <w:kern w:val="0"/>
                <w:sz w:val="24"/>
              </w:rPr>
            </w:pPr>
            <w:r>
              <w:rPr>
                <w:rFonts w:hint="eastAsia" w:ascii="仿宋" w:hAnsi="仿宋" w:eastAsia="仿宋"/>
                <w:sz w:val="24"/>
              </w:rPr>
              <w:t>960</w:t>
            </w:r>
          </w:p>
        </w:tc>
        <w:tc>
          <w:tcPr>
            <w:tcW w:w="709" w:type="dxa"/>
            <w:vAlign w:val="center"/>
          </w:tcPr>
          <w:p w14:paraId="49B29B9C">
            <w:pPr>
              <w:widowControl/>
              <w:jc w:val="center"/>
              <w:rPr>
                <w:rFonts w:hint="eastAsia" w:ascii="仿宋" w:hAnsi="仿宋" w:eastAsia="仿宋" w:cs="宋体"/>
                <w:kern w:val="0"/>
                <w:sz w:val="24"/>
              </w:rPr>
            </w:pPr>
            <w:r>
              <w:rPr>
                <w:rFonts w:hint="eastAsia" w:ascii="仿宋" w:hAnsi="仿宋" w:eastAsia="仿宋"/>
                <w:sz w:val="24"/>
              </w:rPr>
              <w:t>米</w:t>
            </w:r>
          </w:p>
        </w:tc>
      </w:tr>
      <w:tr w14:paraId="319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397E7682">
            <w:pPr>
              <w:widowControl/>
              <w:jc w:val="center"/>
              <w:rPr>
                <w:rFonts w:hint="eastAsia" w:ascii="仿宋" w:hAnsi="仿宋" w:eastAsia="仿宋" w:cs="宋体"/>
                <w:kern w:val="0"/>
                <w:sz w:val="24"/>
              </w:rPr>
            </w:pPr>
            <w:r>
              <w:rPr>
                <w:rFonts w:hint="eastAsia" w:ascii="仿宋" w:hAnsi="仿宋" w:eastAsia="仿宋" w:cs="宋体"/>
                <w:kern w:val="0"/>
                <w:sz w:val="24"/>
              </w:rPr>
              <w:t>15</w:t>
            </w:r>
          </w:p>
        </w:tc>
        <w:tc>
          <w:tcPr>
            <w:tcW w:w="1271" w:type="dxa"/>
            <w:noWrap/>
            <w:vAlign w:val="center"/>
          </w:tcPr>
          <w:p w14:paraId="43953131">
            <w:pPr>
              <w:widowControl/>
              <w:jc w:val="center"/>
              <w:rPr>
                <w:rFonts w:hint="eastAsia" w:ascii="仿宋" w:hAnsi="仿宋" w:eastAsia="仿宋" w:cs="宋体"/>
                <w:kern w:val="0"/>
                <w:sz w:val="24"/>
              </w:rPr>
            </w:pPr>
            <w:r>
              <w:rPr>
                <w:rFonts w:hint="eastAsia" w:ascii="仿宋" w:hAnsi="仿宋" w:eastAsia="仿宋"/>
                <w:sz w:val="24"/>
              </w:rPr>
              <w:t>网线（食堂增加点位）</w:t>
            </w:r>
          </w:p>
        </w:tc>
        <w:tc>
          <w:tcPr>
            <w:tcW w:w="5386" w:type="dxa"/>
            <w:vAlign w:val="center"/>
          </w:tcPr>
          <w:p w14:paraId="4D8D0815">
            <w:pPr>
              <w:widowControl/>
              <w:jc w:val="left"/>
              <w:rPr>
                <w:rFonts w:hint="eastAsia" w:ascii="仿宋" w:hAnsi="仿宋" w:eastAsia="仿宋" w:cs="仿宋"/>
                <w:kern w:val="0"/>
                <w:sz w:val="24"/>
              </w:rPr>
            </w:pPr>
            <w:r>
              <w:rPr>
                <w:rFonts w:hint="eastAsia" w:ascii="仿宋" w:hAnsi="仿宋" w:eastAsia="仿宋"/>
                <w:sz w:val="24"/>
              </w:rPr>
              <w:t>六类非屏蔽网络线。</w:t>
            </w:r>
          </w:p>
        </w:tc>
        <w:tc>
          <w:tcPr>
            <w:tcW w:w="709" w:type="dxa"/>
            <w:noWrap/>
            <w:vAlign w:val="center"/>
          </w:tcPr>
          <w:p w14:paraId="367BDAF5">
            <w:pPr>
              <w:widowControl/>
              <w:jc w:val="center"/>
              <w:rPr>
                <w:rFonts w:hint="eastAsia" w:ascii="仿宋" w:hAnsi="仿宋" w:eastAsia="仿宋"/>
                <w:sz w:val="24"/>
              </w:rPr>
            </w:pPr>
            <w:r>
              <w:rPr>
                <w:rFonts w:hint="eastAsia" w:ascii="仿宋" w:hAnsi="仿宋" w:eastAsia="仿宋"/>
                <w:sz w:val="24"/>
              </w:rPr>
              <w:t>1</w:t>
            </w:r>
          </w:p>
        </w:tc>
        <w:tc>
          <w:tcPr>
            <w:tcW w:w="709" w:type="dxa"/>
            <w:vAlign w:val="center"/>
          </w:tcPr>
          <w:p w14:paraId="488BADDD">
            <w:pPr>
              <w:widowControl/>
              <w:jc w:val="center"/>
              <w:rPr>
                <w:rFonts w:hint="eastAsia" w:ascii="仿宋" w:hAnsi="仿宋" w:eastAsia="仿宋"/>
                <w:sz w:val="24"/>
              </w:rPr>
            </w:pPr>
            <w:r>
              <w:rPr>
                <w:rFonts w:hint="eastAsia" w:ascii="仿宋" w:hAnsi="仿宋" w:eastAsia="仿宋"/>
                <w:sz w:val="24"/>
              </w:rPr>
              <w:t>箱</w:t>
            </w:r>
          </w:p>
        </w:tc>
      </w:tr>
      <w:tr w14:paraId="5962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748E2F14">
            <w:pPr>
              <w:widowControl/>
              <w:jc w:val="center"/>
              <w:rPr>
                <w:rFonts w:hint="eastAsia" w:ascii="仿宋" w:hAnsi="仿宋" w:eastAsia="仿宋" w:cs="宋体"/>
                <w:kern w:val="0"/>
                <w:sz w:val="24"/>
              </w:rPr>
            </w:pPr>
            <w:r>
              <w:rPr>
                <w:rFonts w:hint="eastAsia" w:ascii="仿宋" w:hAnsi="仿宋" w:eastAsia="仿宋" w:cs="宋体"/>
                <w:kern w:val="0"/>
                <w:sz w:val="24"/>
              </w:rPr>
              <w:t>16</w:t>
            </w:r>
          </w:p>
        </w:tc>
        <w:tc>
          <w:tcPr>
            <w:tcW w:w="1271" w:type="dxa"/>
            <w:noWrap/>
            <w:vAlign w:val="center"/>
          </w:tcPr>
          <w:p w14:paraId="0DB1110C">
            <w:pPr>
              <w:widowControl/>
              <w:jc w:val="center"/>
              <w:rPr>
                <w:rFonts w:hint="eastAsia" w:ascii="仿宋" w:hAnsi="仿宋" w:eastAsia="仿宋" w:cs="宋体"/>
                <w:kern w:val="0"/>
                <w:sz w:val="24"/>
              </w:rPr>
            </w:pPr>
            <w:r>
              <w:rPr>
                <w:rFonts w:hint="eastAsia" w:ascii="仿宋" w:hAnsi="仿宋" w:eastAsia="仿宋"/>
                <w:sz w:val="24"/>
              </w:rPr>
              <w:t>机柜</w:t>
            </w:r>
          </w:p>
        </w:tc>
        <w:tc>
          <w:tcPr>
            <w:tcW w:w="5386" w:type="dxa"/>
            <w:vAlign w:val="center"/>
          </w:tcPr>
          <w:p w14:paraId="5CE7B9B9">
            <w:pPr>
              <w:widowControl/>
              <w:jc w:val="left"/>
              <w:rPr>
                <w:rFonts w:hint="eastAsia" w:ascii="仿宋" w:hAnsi="仿宋" w:eastAsia="仿宋" w:cs="仿宋"/>
                <w:kern w:val="0"/>
                <w:sz w:val="24"/>
              </w:rPr>
            </w:pPr>
            <w:r>
              <w:rPr>
                <w:rFonts w:hint="eastAsia" w:ascii="仿宋" w:hAnsi="仿宋" w:eastAsia="仿宋"/>
                <w:sz w:val="24"/>
              </w:rPr>
              <w:t xml:space="preserve"> 22U标准机柜，框架，通风顶盖，底框，钢化玻璃前门，平板网孔后门，侧门，轮子四只，稳固支脚四只，风扇两只，托板两块，另配带PDU电源一只，门壁厚不小于1.0mm。</w:t>
            </w:r>
          </w:p>
        </w:tc>
        <w:tc>
          <w:tcPr>
            <w:tcW w:w="709" w:type="dxa"/>
            <w:noWrap/>
            <w:vAlign w:val="center"/>
          </w:tcPr>
          <w:p w14:paraId="40CCC92C">
            <w:pPr>
              <w:widowControl/>
              <w:jc w:val="center"/>
              <w:rPr>
                <w:rFonts w:hint="eastAsia" w:ascii="仿宋" w:hAnsi="仿宋" w:eastAsia="仿宋"/>
                <w:sz w:val="24"/>
              </w:rPr>
            </w:pPr>
            <w:r>
              <w:rPr>
                <w:rFonts w:ascii="仿宋" w:hAnsi="仿宋" w:eastAsia="仿宋"/>
                <w:sz w:val="24"/>
              </w:rPr>
              <w:t>2</w:t>
            </w:r>
          </w:p>
        </w:tc>
        <w:tc>
          <w:tcPr>
            <w:tcW w:w="709" w:type="dxa"/>
            <w:vAlign w:val="center"/>
          </w:tcPr>
          <w:p w14:paraId="0B4E6418">
            <w:pPr>
              <w:widowControl/>
              <w:jc w:val="center"/>
              <w:rPr>
                <w:rFonts w:hint="eastAsia" w:ascii="仿宋" w:hAnsi="仿宋" w:eastAsia="仿宋"/>
                <w:sz w:val="24"/>
              </w:rPr>
            </w:pPr>
            <w:r>
              <w:rPr>
                <w:rFonts w:hint="eastAsia" w:ascii="仿宋" w:hAnsi="仿宋" w:eastAsia="仿宋"/>
                <w:sz w:val="24"/>
              </w:rPr>
              <w:t>个</w:t>
            </w:r>
          </w:p>
        </w:tc>
      </w:tr>
      <w:tr w14:paraId="5385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39D336E0">
            <w:pPr>
              <w:widowControl/>
              <w:jc w:val="center"/>
              <w:rPr>
                <w:rFonts w:hint="eastAsia" w:ascii="仿宋" w:hAnsi="仿宋" w:eastAsia="仿宋" w:cs="宋体"/>
                <w:kern w:val="0"/>
                <w:sz w:val="24"/>
              </w:rPr>
            </w:pPr>
            <w:r>
              <w:rPr>
                <w:rFonts w:hint="eastAsia" w:ascii="仿宋" w:hAnsi="仿宋" w:eastAsia="仿宋" w:cs="宋体"/>
                <w:kern w:val="0"/>
                <w:sz w:val="24"/>
              </w:rPr>
              <w:t>17</w:t>
            </w:r>
          </w:p>
        </w:tc>
        <w:tc>
          <w:tcPr>
            <w:tcW w:w="1271" w:type="dxa"/>
            <w:noWrap/>
            <w:vAlign w:val="center"/>
          </w:tcPr>
          <w:p w14:paraId="76ED1307">
            <w:pPr>
              <w:widowControl/>
              <w:jc w:val="center"/>
              <w:rPr>
                <w:rFonts w:hint="eastAsia" w:ascii="仿宋" w:hAnsi="仿宋" w:eastAsia="仿宋"/>
                <w:sz w:val="24"/>
              </w:rPr>
            </w:pPr>
            <w:r>
              <w:rPr>
                <w:rFonts w:hint="eastAsia" w:ascii="仿宋" w:hAnsi="仿宋" w:eastAsia="仿宋"/>
                <w:sz w:val="24"/>
              </w:rPr>
              <w:t>墙柜</w:t>
            </w:r>
          </w:p>
        </w:tc>
        <w:tc>
          <w:tcPr>
            <w:tcW w:w="5386" w:type="dxa"/>
            <w:vAlign w:val="center"/>
          </w:tcPr>
          <w:p w14:paraId="7FFFE3B5">
            <w:pPr>
              <w:widowControl/>
              <w:jc w:val="left"/>
              <w:rPr>
                <w:rFonts w:hint="eastAsia" w:ascii="仿宋" w:hAnsi="仿宋" w:eastAsia="仿宋"/>
                <w:sz w:val="24"/>
              </w:rPr>
            </w:pPr>
            <w:bookmarkStart w:id="10" w:name="OLE_LINK4"/>
            <w:r>
              <w:rPr>
                <w:rFonts w:hint="eastAsia" w:ascii="仿宋" w:hAnsi="仿宋" w:eastAsia="仿宋"/>
                <w:sz w:val="24"/>
              </w:rPr>
              <w:t>SPCC优质冷扎钢板制作；厚度：方孔条1.5mm,其他1.2mm。表面处理:脱脂、酸洗、磷化、静电喷塑.符合ANSI/EIA RS-310-D、IEC297-2、DIN41491；PART1、DIN41494；PART7、GB/T3047.2-92标准；兼容ETSI标准。尺寸：600mm宽，450 mm 深，635mm高，框架结构，承重达60KG；快开侧门，方便安装和维修;可关闭的上部和下部走线通道；壁挂、落地两种可选安装方式;防护等级：IP20。</w:t>
            </w:r>
            <w:bookmarkEnd w:id="10"/>
          </w:p>
        </w:tc>
        <w:tc>
          <w:tcPr>
            <w:tcW w:w="709" w:type="dxa"/>
            <w:noWrap/>
            <w:vAlign w:val="center"/>
          </w:tcPr>
          <w:p w14:paraId="16CF93D0">
            <w:pPr>
              <w:widowControl/>
              <w:jc w:val="center"/>
              <w:rPr>
                <w:rFonts w:hint="eastAsia" w:ascii="仿宋" w:hAnsi="仿宋" w:eastAsia="仿宋"/>
                <w:sz w:val="24"/>
              </w:rPr>
            </w:pPr>
            <w:r>
              <w:rPr>
                <w:rFonts w:hint="eastAsia" w:ascii="仿宋" w:hAnsi="仿宋" w:eastAsia="仿宋"/>
                <w:sz w:val="24"/>
              </w:rPr>
              <w:t>1</w:t>
            </w:r>
          </w:p>
        </w:tc>
        <w:tc>
          <w:tcPr>
            <w:tcW w:w="709" w:type="dxa"/>
            <w:vAlign w:val="center"/>
          </w:tcPr>
          <w:p w14:paraId="34664C2F">
            <w:pPr>
              <w:widowControl/>
              <w:jc w:val="center"/>
              <w:rPr>
                <w:rFonts w:hint="eastAsia" w:ascii="仿宋" w:hAnsi="仿宋" w:eastAsia="仿宋"/>
                <w:sz w:val="24"/>
              </w:rPr>
            </w:pPr>
            <w:r>
              <w:rPr>
                <w:rFonts w:hint="eastAsia" w:ascii="仿宋" w:hAnsi="仿宋" w:eastAsia="仿宋"/>
                <w:sz w:val="24"/>
              </w:rPr>
              <w:t>个</w:t>
            </w:r>
          </w:p>
        </w:tc>
      </w:tr>
      <w:tr w14:paraId="5FF6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41DAD7C3">
            <w:pPr>
              <w:widowControl/>
              <w:jc w:val="center"/>
              <w:rPr>
                <w:rFonts w:hint="eastAsia"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8</w:t>
            </w:r>
          </w:p>
        </w:tc>
        <w:tc>
          <w:tcPr>
            <w:tcW w:w="1271" w:type="dxa"/>
            <w:noWrap/>
            <w:vAlign w:val="center"/>
          </w:tcPr>
          <w:p w14:paraId="03941A6D">
            <w:pPr>
              <w:widowControl/>
              <w:jc w:val="center"/>
              <w:rPr>
                <w:rFonts w:hint="eastAsia" w:ascii="仿宋" w:hAnsi="仿宋" w:eastAsia="仿宋" w:cs="宋体"/>
                <w:kern w:val="0"/>
                <w:sz w:val="24"/>
              </w:rPr>
            </w:pPr>
            <w:r>
              <w:rPr>
                <w:rFonts w:hint="eastAsia" w:ascii="仿宋" w:hAnsi="仿宋" w:eastAsia="仿宋"/>
                <w:sz w:val="24"/>
              </w:rPr>
              <w:t>光纤熔接</w:t>
            </w:r>
          </w:p>
        </w:tc>
        <w:tc>
          <w:tcPr>
            <w:tcW w:w="5386" w:type="dxa"/>
            <w:vAlign w:val="center"/>
          </w:tcPr>
          <w:p w14:paraId="63C67F1E">
            <w:pPr>
              <w:widowControl/>
              <w:jc w:val="left"/>
              <w:rPr>
                <w:rFonts w:hint="eastAsia" w:ascii="仿宋" w:hAnsi="仿宋" w:eastAsia="仿宋" w:cs="仿宋"/>
                <w:kern w:val="0"/>
                <w:sz w:val="24"/>
              </w:rPr>
            </w:pPr>
            <w:r>
              <w:rPr>
                <w:rFonts w:hint="eastAsia" w:ascii="仿宋" w:hAnsi="仿宋" w:eastAsia="仿宋"/>
                <w:sz w:val="24"/>
              </w:rPr>
              <w:t>光纤熔接。</w:t>
            </w:r>
          </w:p>
        </w:tc>
        <w:tc>
          <w:tcPr>
            <w:tcW w:w="709" w:type="dxa"/>
            <w:noWrap/>
            <w:vAlign w:val="center"/>
          </w:tcPr>
          <w:p w14:paraId="51079297">
            <w:pPr>
              <w:widowControl/>
              <w:jc w:val="center"/>
              <w:rPr>
                <w:rFonts w:hint="eastAsia" w:ascii="仿宋" w:hAnsi="仿宋" w:eastAsia="仿宋"/>
                <w:sz w:val="24"/>
              </w:rPr>
            </w:pPr>
            <w:r>
              <w:rPr>
                <w:rFonts w:hint="eastAsia" w:ascii="仿宋" w:hAnsi="仿宋" w:eastAsia="仿宋"/>
                <w:sz w:val="24"/>
              </w:rPr>
              <w:t>288</w:t>
            </w:r>
          </w:p>
        </w:tc>
        <w:tc>
          <w:tcPr>
            <w:tcW w:w="709" w:type="dxa"/>
            <w:vAlign w:val="center"/>
          </w:tcPr>
          <w:p w14:paraId="2A8F8BE4">
            <w:pPr>
              <w:widowControl/>
              <w:jc w:val="center"/>
              <w:rPr>
                <w:rFonts w:hint="eastAsia" w:ascii="仿宋" w:hAnsi="仿宋" w:eastAsia="仿宋"/>
                <w:sz w:val="24"/>
              </w:rPr>
            </w:pPr>
            <w:r>
              <w:rPr>
                <w:rFonts w:hint="eastAsia" w:ascii="仿宋" w:hAnsi="仿宋" w:eastAsia="仿宋"/>
                <w:sz w:val="24"/>
              </w:rPr>
              <w:t>芯</w:t>
            </w:r>
          </w:p>
        </w:tc>
      </w:tr>
      <w:tr w14:paraId="2289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0AB0DC24">
            <w:pPr>
              <w:widowControl/>
              <w:jc w:val="center"/>
              <w:rPr>
                <w:rFonts w:hint="eastAsia"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9</w:t>
            </w:r>
          </w:p>
        </w:tc>
        <w:tc>
          <w:tcPr>
            <w:tcW w:w="1271" w:type="dxa"/>
            <w:noWrap/>
            <w:vAlign w:val="center"/>
          </w:tcPr>
          <w:p w14:paraId="3DF9F68B">
            <w:pPr>
              <w:widowControl/>
              <w:jc w:val="center"/>
              <w:rPr>
                <w:rFonts w:hint="eastAsia" w:ascii="仿宋" w:hAnsi="仿宋" w:eastAsia="仿宋" w:cs="宋体"/>
                <w:kern w:val="0"/>
                <w:sz w:val="24"/>
              </w:rPr>
            </w:pPr>
            <w:r>
              <w:rPr>
                <w:rFonts w:hint="eastAsia" w:ascii="仿宋" w:hAnsi="仿宋" w:eastAsia="仿宋"/>
                <w:sz w:val="24"/>
              </w:rPr>
              <w:t>开槽破路</w:t>
            </w:r>
          </w:p>
        </w:tc>
        <w:tc>
          <w:tcPr>
            <w:tcW w:w="5386" w:type="dxa"/>
            <w:vAlign w:val="center"/>
          </w:tcPr>
          <w:p w14:paraId="39740571">
            <w:pPr>
              <w:widowControl/>
              <w:jc w:val="left"/>
              <w:rPr>
                <w:rFonts w:hint="eastAsia" w:ascii="仿宋" w:hAnsi="仿宋" w:eastAsia="仿宋" w:cs="仿宋"/>
                <w:kern w:val="0"/>
                <w:sz w:val="24"/>
              </w:rPr>
            </w:pPr>
            <w:r>
              <w:rPr>
                <w:rFonts w:hint="eastAsia" w:ascii="仿宋" w:hAnsi="仿宋" w:eastAsia="仿宋"/>
                <w:sz w:val="24"/>
              </w:rPr>
              <w:t>开槽破路 混凝土开槽回补。</w:t>
            </w:r>
          </w:p>
        </w:tc>
        <w:tc>
          <w:tcPr>
            <w:tcW w:w="709" w:type="dxa"/>
            <w:noWrap/>
            <w:vAlign w:val="center"/>
          </w:tcPr>
          <w:p w14:paraId="33019CD0">
            <w:pPr>
              <w:widowControl/>
              <w:jc w:val="center"/>
              <w:rPr>
                <w:rFonts w:hint="eastAsia" w:ascii="仿宋" w:hAnsi="仿宋" w:eastAsia="仿宋"/>
                <w:sz w:val="24"/>
              </w:rPr>
            </w:pPr>
            <w:r>
              <w:rPr>
                <w:rFonts w:hint="eastAsia" w:ascii="仿宋" w:hAnsi="仿宋" w:eastAsia="仿宋"/>
                <w:sz w:val="24"/>
              </w:rPr>
              <w:t>20</w:t>
            </w:r>
          </w:p>
        </w:tc>
        <w:tc>
          <w:tcPr>
            <w:tcW w:w="709" w:type="dxa"/>
            <w:vAlign w:val="center"/>
          </w:tcPr>
          <w:p w14:paraId="5FE9AC74">
            <w:pPr>
              <w:widowControl/>
              <w:jc w:val="center"/>
              <w:rPr>
                <w:rFonts w:hint="eastAsia" w:ascii="仿宋" w:hAnsi="仿宋" w:eastAsia="仿宋"/>
                <w:sz w:val="24"/>
              </w:rPr>
            </w:pPr>
            <w:r>
              <w:rPr>
                <w:rFonts w:hint="eastAsia" w:ascii="仿宋" w:hAnsi="仿宋" w:eastAsia="仿宋"/>
                <w:sz w:val="24"/>
              </w:rPr>
              <w:t>米</w:t>
            </w:r>
          </w:p>
        </w:tc>
      </w:tr>
      <w:tr w14:paraId="1C96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1CFB94F7">
            <w:pPr>
              <w:widowControl/>
              <w:jc w:val="center"/>
              <w:rPr>
                <w:rFonts w:hint="eastAsia" w:ascii="仿宋" w:hAnsi="仿宋" w:eastAsia="仿宋" w:cs="宋体"/>
                <w:kern w:val="0"/>
                <w:sz w:val="24"/>
              </w:rPr>
            </w:pPr>
            <w:r>
              <w:rPr>
                <w:rFonts w:hint="eastAsia" w:ascii="仿宋" w:hAnsi="仿宋" w:eastAsia="仿宋" w:cs="宋体"/>
                <w:kern w:val="0"/>
                <w:sz w:val="24"/>
              </w:rPr>
              <w:t>20</w:t>
            </w:r>
          </w:p>
        </w:tc>
        <w:tc>
          <w:tcPr>
            <w:tcW w:w="1271" w:type="dxa"/>
            <w:noWrap/>
            <w:vAlign w:val="center"/>
          </w:tcPr>
          <w:p w14:paraId="7A8E7D3A">
            <w:pPr>
              <w:widowControl/>
              <w:jc w:val="center"/>
              <w:rPr>
                <w:rFonts w:hint="eastAsia" w:ascii="仿宋" w:hAnsi="仿宋" w:eastAsia="仿宋" w:cs="宋体"/>
                <w:kern w:val="0"/>
                <w:sz w:val="24"/>
              </w:rPr>
            </w:pPr>
            <w:r>
              <w:rPr>
                <w:rFonts w:hint="eastAsia" w:ascii="仿宋" w:hAnsi="仿宋" w:eastAsia="仿宋"/>
                <w:sz w:val="24"/>
              </w:rPr>
              <w:t>管路施工</w:t>
            </w:r>
          </w:p>
        </w:tc>
        <w:tc>
          <w:tcPr>
            <w:tcW w:w="5386" w:type="dxa"/>
            <w:vAlign w:val="center"/>
          </w:tcPr>
          <w:p w14:paraId="47670E6F">
            <w:pPr>
              <w:widowControl/>
              <w:jc w:val="left"/>
              <w:rPr>
                <w:rFonts w:hint="eastAsia" w:ascii="仿宋" w:hAnsi="仿宋" w:eastAsia="仿宋" w:cs="仿宋"/>
                <w:kern w:val="0"/>
                <w:sz w:val="24"/>
              </w:rPr>
            </w:pPr>
            <w:r>
              <w:rPr>
                <w:rFonts w:hint="eastAsia" w:ascii="仿宋" w:hAnsi="仿宋" w:eastAsia="仿宋"/>
                <w:sz w:val="24"/>
              </w:rPr>
              <w:t>项目中管路施工，包含吊顶内、室外、地面施工，楼内需保证隐蔽施工，施工后需恢复原样。</w:t>
            </w:r>
          </w:p>
        </w:tc>
        <w:tc>
          <w:tcPr>
            <w:tcW w:w="709" w:type="dxa"/>
            <w:noWrap/>
            <w:vAlign w:val="center"/>
          </w:tcPr>
          <w:p w14:paraId="57A1959C">
            <w:pPr>
              <w:widowControl/>
              <w:jc w:val="center"/>
              <w:rPr>
                <w:rFonts w:hint="eastAsia" w:ascii="仿宋" w:hAnsi="仿宋" w:eastAsia="仿宋"/>
                <w:sz w:val="24"/>
              </w:rPr>
            </w:pPr>
            <w:r>
              <w:rPr>
                <w:rFonts w:hint="eastAsia" w:ascii="仿宋" w:hAnsi="仿宋" w:eastAsia="仿宋"/>
                <w:sz w:val="24"/>
              </w:rPr>
              <w:t>1000</w:t>
            </w:r>
          </w:p>
        </w:tc>
        <w:tc>
          <w:tcPr>
            <w:tcW w:w="709" w:type="dxa"/>
            <w:vAlign w:val="center"/>
          </w:tcPr>
          <w:p w14:paraId="6CF560FA">
            <w:pPr>
              <w:widowControl/>
              <w:jc w:val="center"/>
              <w:rPr>
                <w:rFonts w:hint="eastAsia" w:ascii="仿宋" w:hAnsi="仿宋" w:eastAsia="仿宋"/>
                <w:sz w:val="24"/>
              </w:rPr>
            </w:pPr>
            <w:r>
              <w:rPr>
                <w:rFonts w:hint="eastAsia" w:ascii="仿宋" w:hAnsi="仿宋" w:eastAsia="仿宋"/>
                <w:sz w:val="24"/>
              </w:rPr>
              <w:t>米</w:t>
            </w:r>
          </w:p>
        </w:tc>
      </w:tr>
      <w:tr w14:paraId="6DAC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4EDA4FD2">
            <w:pPr>
              <w:widowControl/>
              <w:jc w:val="center"/>
              <w:rPr>
                <w:rFonts w:hint="eastAsia" w:ascii="仿宋" w:hAnsi="仿宋" w:eastAsia="仿宋" w:cs="宋体"/>
                <w:kern w:val="0"/>
                <w:sz w:val="24"/>
              </w:rPr>
            </w:pPr>
            <w:r>
              <w:rPr>
                <w:rFonts w:hint="eastAsia" w:ascii="仿宋" w:hAnsi="仿宋" w:eastAsia="仿宋" w:cs="宋体"/>
                <w:kern w:val="0"/>
                <w:sz w:val="24"/>
              </w:rPr>
              <w:t>21</w:t>
            </w:r>
          </w:p>
        </w:tc>
        <w:tc>
          <w:tcPr>
            <w:tcW w:w="1271" w:type="dxa"/>
            <w:noWrap/>
            <w:vAlign w:val="center"/>
          </w:tcPr>
          <w:p w14:paraId="28351BD5">
            <w:pPr>
              <w:widowControl/>
              <w:jc w:val="center"/>
              <w:rPr>
                <w:rFonts w:hint="eastAsia" w:ascii="仿宋" w:hAnsi="仿宋" w:eastAsia="仿宋" w:cs="宋体"/>
                <w:kern w:val="0"/>
                <w:sz w:val="24"/>
              </w:rPr>
            </w:pPr>
            <w:r>
              <w:rPr>
                <w:rFonts w:hint="eastAsia" w:ascii="仿宋" w:hAnsi="仿宋" w:eastAsia="仿宋"/>
                <w:sz w:val="24"/>
              </w:rPr>
              <w:t>光纤敷设</w:t>
            </w:r>
          </w:p>
        </w:tc>
        <w:tc>
          <w:tcPr>
            <w:tcW w:w="5386" w:type="dxa"/>
            <w:vAlign w:val="center"/>
          </w:tcPr>
          <w:p w14:paraId="18798D7A">
            <w:pPr>
              <w:widowControl/>
              <w:jc w:val="left"/>
              <w:rPr>
                <w:rFonts w:hint="eastAsia" w:ascii="仿宋" w:hAnsi="仿宋" w:eastAsia="仿宋" w:cs="仿宋"/>
                <w:kern w:val="0"/>
                <w:sz w:val="24"/>
              </w:rPr>
            </w:pPr>
            <w:r>
              <w:rPr>
                <w:rFonts w:hint="eastAsia" w:ascii="仿宋" w:hAnsi="仿宋" w:eastAsia="仿宋"/>
                <w:sz w:val="24"/>
              </w:rPr>
              <w:t>光纤敷设全程需套管敷设，楼内需保证隐蔽施工，出户需通过开挖至围墙走线，开挖深度不低于40CM，敷设完后需进行回补，距离约100米。</w:t>
            </w:r>
          </w:p>
        </w:tc>
        <w:tc>
          <w:tcPr>
            <w:tcW w:w="709" w:type="dxa"/>
            <w:noWrap/>
            <w:vAlign w:val="center"/>
          </w:tcPr>
          <w:p w14:paraId="0A3545A9">
            <w:pPr>
              <w:widowControl/>
              <w:jc w:val="center"/>
              <w:rPr>
                <w:rFonts w:hint="eastAsia" w:ascii="仿宋" w:hAnsi="仿宋" w:eastAsia="仿宋"/>
                <w:sz w:val="24"/>
              </w:rPr>
            </w:pPr>
            <w:r>
              <w:rPr>
                <w:rFonts w:hint="eastAsia" w:ascii="仿宋" w:hAnsi="仿宋" w:eastAsia="仿宋"/>
                <w:sz w:val="24"/>
              </w:rPr>
              <w:t>1360</w:t>
            </w:r>
          </w:p>
        </w:tc>
        <w:tc>
          <w:tcPr>
            <w:tcW w:w="709" w:type="dxa"/>
            <w:vAlign w:val="center"/>
          </w:tcPr>
          <w:p w14:paraId="38BE0AAF">
            <w:pPr>
              <w:widowControl/>
              <w:jc w:val="center"/>
              <w:rPr>
                <w:rFonts w:hint="eastAsia" w:ascii="仿宋" w:hAnsi="仿宋" w:eastAsia="仿宋"/>
                <w:sz w:val="24"/>
              </w:rPr>
            </w:pPr>
            <w:r>
              <w:rPr>
                <w:rFonts w:hint="eastAsia" w:ascii="仿宋" w:hAnsi="仿宋" w:eastAsia="仿宋"/>
                <w:sz w:val="24"/>
              </w:rPr>
              <w:t>米</w:t>
            </w:r>
          </w:p>
        </w:tc>
      </w:tr>
      <w:tr w14:paraId="3D3F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14AD2136">
            <w:pPr>
              <w:widowControl/>
              <w:jc w:val="center"/>
              <w:rPr>
                <w:rFonts w:hint="eastAsia"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2</w:t>
            </w:r>
          </w:p>
        </w:tc>
        <w:tc>
          <w:tcPr>
            <w:tcW w:w="1271" w:type="dxa"/>
            <w:noWrap/>
            <w:vAlign w:val="center"/>
          </w:tcPr>
          <w:p w14:paraId="50DFC758">
            <w:pPr>
              <w:widowControl/>
              <w:jc w:val="center"/>
              <w:rPr>
                <w:rFonts w:hint="eastAsia" w:ascii="仿宋" w:hAnsi="仿宋" w:eastAsia="仿宋" w:cs="宋体"/>
                <w:kern w:val="0"/>
                <w:sz w:val="24"/>
              </w:rPr>
            </w:pPr>
            <w:r>
              <w:rPr>
                <w:rFonts w:hint="eastAsia" w:ascii="仿宋" w:hAnsi="仿宋" w:eastAsia="仿宋"/>
                <w:sz w:val="24"/>
              </w:rPr>
              <w:t>线路敷设</w:t>
            </w:r>
          </w:p>
        </w:tc>
        <w:tc>
          <w:tcPr>
            <w:tcW w:w="5386" w:type="dxa"/>
            <w:vAlign w:val="center"/>
          </w:tcPr>
          <w:p w14:paraId="33EF53AF">
            <w:pPr>
              <w:widowControl/>
              <w:jc w:val="left"/>
              <w:rPr>
                <w:rFonts w:hint="eastAsia" w:ascii="仿宋" w:hAnsi="仿宋" w:eastAsia="仿宋" w:cs="仿宋"/>
                <w:kern w:val="0"/>
                <w:sz w:val="24"/>
              </w:rPr>
            </w:pPr>
            <w:r>
              <w:rPr>
                <w:rFonts w:hint="eastAsia" w:ascii="仿宋" w:hAnsi="仿宋" w:eastAsia="仿宋"/>
                <w:sz w:val="24"/>
              </w:rPr>
              <w:t>网络线敷设，需全程套管隐蔽施工。</w:t>
            </w:r>
          </w:p>
        </w:tc>
        <w:tc>
          <w:tcPr>
            <w:tcW w:w="709" w:type="dxa"/>
            <w:noWrap/>
            <w:vAlign w:val="center"/>
          </w:tcPr>
          <w:p w14:paraId="7F6A3CCF">
            <w:pPr>
              <w:widowControl/>
              <w:jc w:val="center"/>
              <w:rPr>
                <w:rFonts w:hint="eastAsia" w:ascii="仿宋" w:hAnsi="仿宋" w:eastAsia="仿宋"/>
                <w:sz w:val="24"/>
              </w:rPr>
            </w:pPr>
            <w:r>
              <w:rPr>
                <w:rFonts w:hint="eastAsia" w:ascii="仿宋" w:hAnsi="仿宋" w:eastAsia="仿宋"/>
                <w:sz w:val="24"/>
              </w:rPr>
              <w:t>2440</w:t>
            </w:r>
          </w:p>
        </w:tc>
        <w:tc>
          <w:tcPr>
            <w:tcW w:w="709" w:type="dxa"/>
            <w:vAlign w:val="center"/>
          </w:tcPr>
          <w:p w14:paraId="29ABC20B">
            <w:pPr>
              <w:widowControl/>
              <w:jc w:val="center"/>
              <w:rPr>
                <w:rFonts w:hint="eastAsia" w:ascii="仿宋" w:hAnsi="仿宋" w:eastAsia="仿宋"/>
                <w:sz w:val="24"/>
              </w:rPr>
            </w:pPr>
            <w:r>
              <w:rPr>
                <w:rFonts w:hint="eastAsia" w:ascii="仿宋" w:hAnsi="仿宋" w:eastAsia="仿宋"/>
                <w:sz w:val="24"/>
              </w:rPr>
              <w:t>米</w:t>
            </w:r>
          </w:p>
        </w:tc>
      </w:tr>
      <w:tr w14:paraId="57C3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57D0F5E6">
            <w:pPr>
              <w:widowControl/>
              <w:jc w:val="center"/>
              <w:rPr>
                <w:rFonts w:hint="eastAsia" w:ascii="仿宋" w:hAnsi="仿宋" w:eastAsia="仿宋" w:cs="宋体"/>
                <w:kern w:val="0"/>
                <w:sz w:val="24"/>
              </w:rPr>
            </w:pPr>
            <w:r>
              <w:rPr>
                <w:rFonts w:hint="eastAsia" w:ascii="仿宋" w:hAnsi="仿宋" w:eastAsia="仿宋" w:cs="宋体"/>
                <w:kern w:val="0"/>
                <w:sz w:val="24"/>
              </w:rPr>
              <w:t>23</w:t>
            </w:r>
          </w:p>
        </w:tc>
        <w:tc>
          <w:tcPr>
            <w:tcW w:w="1271" w:type="dxa"/>
            <w:noWrap/>
            <w:vAlign w:val="center"/>
          </w:tcPr>
          <w:p w14:paraId="067664D4">
            <w:pPr>
              <w:widowControl/>
              <w:jc w:val="center"/>
              <w:rPr>
                <w:rFonts w:hint="eastAsia" w:ascii="仿宋" w:hAnsi="仿宋" w:eastAsia="仿宋" w:cs="宋体"/>
                <w:kern w:val="0"/>
                <w:sz w:val="24"/>
              </w:rPr>
            </w:pPr>
            <w:r>
              <w:rPr>
                <w:rFonts w:hint="eastAsia" w:ascii="仿宋" w:hAnsi="仿宋" w:eastAsia="仿宋"/>
                <w:sz w:val="24"/>
              </w:rPr>
              <w:t>设备安装</w:t>
            </w:r>
          </w:p>
        </w:tc>
        <w:tc>
          <w:tcPr>
            <w:tcW w:w="5386" w:type="dxa"/>
            <w:vAlign w:val="center"/>
          </w:tcPr>
          <w:p w14:paraId="0706DE8E">
            <w:pPr>
              <w:widowControl/>
              <w:jc w:val="left"/>
              <w:rPr>
                <w:rFonts w:hint="eastAsia" w:ascii="仿宋" w:hAnsi="仿宋" w:eastAsia="仿宋" w:cs="仿宋"/>
                <w:kern w:val="0"/>
                <w:sz w:val="24"/>
              </w:rPr>
            </w:pPr>
            <w:r>
              <w:rPr>
                <w:rFonts w:hint="eastAsia" w:ascii="仿宋" w:hAnsi="仿宋" w:eastAsia="仿宋"/>
                <w:sz w:val="24"/>
              </w:rPr>
              <w:t>无线AP设备、交换机、安全设备安装调试。</w:t>
            </w:r>
          </w:p>
        </w:tc>
        <w:tc>
          <w:tcPr>
            <w:tcW w:w="709" w:type="dxa"/>
            <w:noWrap/>
            <w:vAlign w:val="center"/>
          </w:tcPr>
          <w:p w14:paraId="2D949047">
            <w:pPr>
              <w:widowControl/>
              <w:jc w:val="center"/>
              <w:rPr>
                <w:rFonts w:hint="eastAsia" w:ascii="仿宋" w:hAnsi="仿宋" w:eastAsia="仿宋"/>
                <w:sz w:val="24"/>
              </w:rPr>
            </w:pPr>
            <w:r>
              <w:rPr>
                <w:rFonts w:hint="eastAsia" w:ascii="仿宋" w:hAnsi="仿宋" w:eastAsia="仿宋"/>
                <w:sz w:val="24"/>
              </w:rPr>
              <w:t>1</w:t>
            </w:r>
          </w:p>
        </w:tc>
        <w:tc>
          <w:tcPr>
            <w:tcW w:w="709" w:type="dxa"/>
            <w:vAlign w:val="center"/>
          </w:tcPr>
          <w:p w14:paraId="376FD174">
            <w:pPr>
              <w:widowControl/>
              <w:jc w:val="center"/>
              <w:rPr>
                <w:rFonts w:hint="eastAsia" w:ascii="仿宋" w:hAnsi="仿宋" w:eastAsia="仿宋"/>
                <w:sz w:val="24"/>
              </w:rPr>
            </w:pPr>
            <w:r>
              <w:rPr>
                <w:rFonts w:hint="eastAsia" w:ascii="仿宋" w:hAnsi="仿宋" w:eastAsia="仿宋"/>
                <w:sz w:val="24"/>
              </w:rPr>
              <w:t>项</w:t>
            </w:r>
          </w:p>
        </w:tc>
      </w:tr>
      <w:tr w14:paraId="22B4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14:paraId="7552B37D">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271" w:type="dxa"/>
            <w:noWrap/>
            <w:vAlign w:val="center"/>
          </w:tcPr>
          <w:p w14:paraId="00BCCA1C">
            <w:pPr>
              <w:widowControl/>
              <w:jc w:val="center"/>
              <w:rPr>
                <w:rFonts w:hint="eastAsia" w:ascii="仿宋" w:hAnsi="仿宋" w:eastAsia="仿宋" w:cs="宋体"/>
                <w:kern w:val="0"/>
                <w:sz w:val="24"/>
              </w:rPr>
            </w:pPr>
            <w:r>
              <w:rPr>
                <w:rFonts w:hint="eastAsia" w:ascii="仿宋" w:hAnsi="仿宋" w:eastAsia="仿宋"/>
                <w:sz w:val="24"/>
              </w:rPr>
              <w:t>线路及设备整理</w:t>
            </w:r>
          </w:p>
        </w:tc>
        <w:tc>
          <w:tcPr>
            <w:tcW w:w="5386" w:type="dxa"/>
            <w:vAlign w:val="center"/>
          </w:tcPr>
          <w:p w14:paraId="65A245D9">
            <w:pPr>
              <w:widowControl/>
              <w:jc w:val="left"/>
              <w:rPr>
                <w:rFonts w:hint="eastAsia" w:ascii="仿宋" w:hAnsi="仿宋" w:eastAsia="仿宋" w:cs="仿宋"/>
                <w:kern w:val="0"/>
                <w:sz w:val="24"/>
              </w:rPr>
            </w:pPr>
            <w:r>
              <w:rPr>
                <w:rFonts w:hint="eastAsia" w:ascii="仿宋" w:hAnsi="仿宋" w:eastAsia="仿宋"/>
                <w:sz w:val="24"/>
              </w:rPr>
              <w:t>对门诊楼、肺科病房楼、后勤供应楼、精神科病房楼及综合病房楼吊顶内隐蔽汇聚的网线、光纤与交换机设备实施规范化整理。</w:t>
            </w:r>
          </w:p>
        </w:tc>
        <w:tc>
          <w:tcPr>
            <w:tcW w:w="709" w:type="dxa"/>
            <w:noWrap/>
            <w:vAlign w:val="center"/>
          </w:tcPr>
          <w:p w14:paraId="1D5E8015">
            <w:pPr>
              <w:widowControl/>
              <w:jc w:val="center"/>
              <w:rPr>
                <w:rFonts w:hint="eastAsia" w:ascii="仿宋" w:hAnsi="仿宋" w:eastAsia="仿宋"/>
                <w:sz w:val="24"/>
              </w:rPr>
            </w:pPr>
            <w:r>
              <w:rPr>
                <w:rFonts w:hint="eastAsia" w:ascii="仿宋" w:hAnsi="仿宋" w:eastAsia="仿宋"/>
                <w:sz w:val="24"/>
              </w:rPr>
              <w:t>1</w:t>
            </w:r>
          </w:p>
        </w:tc>
        <w:tc>
          <w:tcPr>
            <w:tcW w:w="709" w:type="dxa"/>
            <w:vAlign w:val="center"/>
          </w:tcPr>
          <w:p w14:paraId="4D647A4C">
            <w:pPr>
              <w:widowControl/>
              <w:jc w:val="center"/>
              <w:rPr>
                <w:rFonts w:hint="eastAsia" w:ascii="仿宋" w:hAnsi="仿宋" w:eastAsia="仿宋"/>
                <w:sz w:val="24"/>
              </w:rPr>
            </w:pPr>
            <w:r>
              <w:rPr>
                <w:rFonts w:hint="eastAsia" w:ascii="仿宋" w:hAnsi="仿宋" w:eastAsia="仿宋"/>
                <w:sz w:val="24"/>
              </w:rPr>
              <w:t>项</w:t>
            </w:r>
          </w:p>
        </w:tc>
      </w:tr>
    </w:tbl>
    <w:p w14:paraId="0565AFA4">
      <w:pPr>
        <w:widowControl/>
        <w:spacing w:line="360" w:lineRule="auto"/>
        <w:jc w:val="left"/>
        <w:rPr>
          <w:rFonts w:hint="eastAsia" w:ascii="仿宋" w:hAnsi="仿宋" w:eastAsia="仿宋"/>
          <w:bCs/>
          <w:sz w:val="28"/>
          <w:szCs w:val="28"/>
        </w:rPr>
      </w:pPr>
    </w:p>
    <w:p w14:paraId="290FDAF4">
      <w:pPr>
        <w:widowControl/>
        <w:spacing w:line="360" w:lineRule="auto"/>
        <w:jc w:val="left"/>
        <w:rPr>
          <w:rFonts w:hint="eastAsia" w:ascii="仿宋" w:hAnsi="仿宋" w:eastAsia="仿宋"/>
          <w:bCs/>
          <w:sz w:val="28"/>
          <w:szCs w:val="28"/>
        </w:rPr>
      </w:pPr>
      <w:r>
        <w:rPr>
          <w:rFonts w:hint="eastAsia" w:ascii="仿宋" w:hAnsi="仿宋" w:eastAsia="仿宋"/>
          <w:bCs/>
          <w:sz w:val="28"/>
          <w:szCs w:val="28"/>
        </w:rPr>
        <w:t>附：详细技术要求</w:t>
      </w:r>
    </w:p>
    <w:p w14:paraId="604F9B34">
      <w:pPr>
        <w:widowControl/>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bCs/>
          <w:sz w:val="28"/>
          <w:szCs w:val="28"/>
        </w:rPr>
        <w:t>1、</w:t>
      </w:r>
      <w:r>
        <w:rPr>
          <w:rFonts w:hint="eastAsia" w:ascii="仿宋" w:hAnsi="仿宋" w:eastAsia="仿宋" w:cs="宋体"/>
          <w:kern w:val="0"/>
          <w:sz w:val="28"/>
          <w:szCs w:val="28"/>
        </w:rPr>
        <w:t>零信任</w:t>
      </w:r>
    </w:p>
    <w:tbl>
      <w:tblPr>
        <w:tblStyle w:val="4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7468"/>
      </w:tblGrid>
      <w:tr w14:paraId="6F4B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69020E8D">
            <w:pPr>
              <w:jc w:val="center"/>
              <w:rPr>
                <w:rFonts w:hint="eastAsia" w:ascii="仿宋" w:hAnsi="仿宋" w:eastAsia="仿宋" w:cs="宋体"/>
                <w:color w:val="000000"/>
                <w:sz w:val="24"/>
              </w:rPr>
            </w:pPr>
            <w:r>
              <w:rPr>
                <w:rFonts w:hint="eastAsia" w:ascii="仿宋" w:hAnsi="仿宋" w:eastAsia="仿宋" w:cs="宋体"/>
                <w:color w:val="000000"/>
                <w:sz w:val="24"/>
              </w:rPr>
              <w:t>功能项</w:t>
            </w:r>
          </w:p>
        </w:tc>
        <w:tc>
          <w:tcPr>
            <w:tcW w:w="7468" w:type="dxa"/>
            <w:vAlign w:val="center"/>
          </w:tcPr>
          <w:p w14:paraId="0EF5304F">
            <w:pPr>
              <w:jc w:val="center"/>
              <w:rPr>
                <w:rFonts w:hint="eastAsia" w:ascii="仿宋" w:hAnsi="仿宋" w:eastAsia="仿宋" w:cs="宋体"/>
                <w:color w:val="000000"/>
                <w:sz w:val="24"/>
              </w:rPr>
            </w:pPr>
            <w:r>
              <w:rPr>
                <w:rFonts w:hint="eastAsia" w:ascii="仿宋" w:hAnsi="仿宋" w:eastAsia="仿宋" w:cs="宋体"/>
                <w:color w:val="000000"/>
                <w:sz w:val="24"/>
              </w:rPr>
              <w:t>技术要求</w:t>
            </w:r>
          </w:p>
        </w:tc>
      </w:tr>
      <w:tr w14:paraId="6649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29" w:type="dxa"/>
            <w:vAlign w:val="center"/>
          </w:tcPr>
          <w:p w14:paraId="2D7A3ED8">
            <w:pPr>
              <w:jc w:val="center"/>
              <w:rPr>
                <w:rFonts w:hint="eastAsia" w:ascii="仿宋" w:hAnsi="仿宋" w:eastAsia="仿宋" w:cs="宋体"/>
                <w:color w:val="000000"/>
                <w:sz w:val="24"/>
              </w:rPr>
            </w:pPr>
            <w:r>
              <w:rPr>
                <w:rFonts w:hint="eastAsia" w:ascii="仿宋" w:hAnsi="仿宋" w:eastAsia="仿宋" w:cs="宋体"/>
                <w:color w:val="000000"/>
                <w:sz w:val="24"/>
              </w:rPr>
              <w:t>★性能要求</w:t>
            </w:r>
          </w:p>
        </w:tc>
        <w:tc>
          <w:tcPr>
            <w:tcW w:w="7468" w:type="dxa"/>
          </w:tcPr>
          <w:p w14:paraId="45C9B59E">
            <w:pPr>
              <w:rPr>
                <w:rFonts w:hint="eastAsia" w:ascii="仿宋" w:hAnsi="仿宋" w:eastAsia="仿宋" w:cs="宋体"/>
                <w:color w:val="000000"/>
                <w:sz w:val="24"/>
                <w:lang w:val="zh-TW"/>
              </w:rPr>
            </w:pPr>
            <w:r>
              <w:rPr>
                <w:rFonts w:hint="eastAsia" w:ascii="仿宋" w:hAnsi="仿宋" w:eastAsia="仿宋" w:cs="宋体"/>
                <w:color w:val="000000"/>
                <w:sz w:val="24"/>
                <w:lang w:val="zh-TW"/>
              </w:rPr>
              <w:t>采用国产处理器与操作系统，加密最大流量</w:t>
            </w:r>
            <w:r>
              <w:rPr>
                <w:rFonts w:hint="eastAsia" w:ascii="仿宋" w:hAnsi="仿宋" w:eastAsia="仿宋" w:cs="宋体"/>
                <w:color w:val="000000"/>
                <w:sz w:val="24"/>
              </w:rPr>
              <w:t>≥</w:t>
            </w:r>
            <w:r>
              <w:rPr>
                <w:rFonts w:hint="eastAsia" w:ascii="仿宋" w:hAnsi="仿宋" w:eastAsia="仿宋" w:cs="宋体"/>
                <w:color w:val="000000"/>
                <w:sz w:val="24"/>
                <w:lang w:val="zh-TW"/>
              </w:rPr>
              <w:t>100Mbps，理论并发隧道数</w:t>
            </w:r>
            <w:r>
              <w:rPr>
                <w:rFonts w:hint="eastAsia" w:ascii="仿宋" w:hAnsi="仿宋" w:eastAsia="仿宋" w:cs="宋体"/>
                <w:color w:val="000000"/>
                <w:sz w:val="24"/>
              </w:rPr>
              <w:t>≥</w:t>
            </w:r>
            <w:r>
              <w:rPr>
                <w:rFonts w:hint="eastAsia" w:ascii="仿宋" w:hAnsi="仿宋" w:eastAsia="仿宋" w:cs="宋体"/>
                <w:color w:val="000000"/>
                <w:sz w:val="24"/>
                <w:lang w:val="zh-TW"/>
              </w:rPr>
              <w:t>1000；最大理论加密流量</w:t>
            </w:r>
            <w:r>
              <w:rPr>
                <w:rFonts w:hint="eastAsia" w:ascii="仿宋" w:hAnsi="仿宋" w:eastAsia="仿宋" w:cs="宋体"/>
                <w:color w:val="000000"/>
                <w:sz w:val="24"/>
              </w:rPr>
              <w:t>≥</w:t>
            </w:r>
            <w:r>
              <w:rPr>
                <w:rFonts w:hint="eastAsia" w:ascii="仿宋" w:hAnsi="仿宋" w:eastAsia="仿宋" w:cs="宋体"/>
                <w:color w:val="000000"/>
                <w:sz w:val="24"/>
                <w:lang w:val="zh-TW"/>
              </w:rPr>
              <w:t>300Mbps，最大理论建议并发用户数</w:t>
            </w:r>
            <w:r>
              <w:rPr>
                <w:rFonts w:hint="eastAsia" w:ascii="仿宋" w:hAnsi="仿宋" w:eastAsia="仿宋" w:cs="宋体"/>
                <w:color w:val="000000"/>
                <w:sz w:val="24"/>
              </w:rPr>
              <w:t>≥</w:t>
            </w:r>
            <w:r>
              <w:rPr>
                <w:rFonts w:hint="eastAsia" w:ascii="仿宋" w:hAnsi="仿宋" w:eastAsia="仿宋" w:cs="宋体"/>
                <w:color w:val="000000"/>
                <w:sz w:val="24"/>
                <w:lang w:val="zh-TW"/>
              </w:rPr>
              <w:t>600，本次配置不少于</w:t>
            </w:r>
            <w:r>
              <w:rPr>
                <w:rFonts w:hint="eastAsia" w:ascii="仿宋" w:hAnsi="仿宋" w:eastAsia="仿宋" w:cs="宋体"/>
                <w:color w:val="000000"/>
                <w:sz w:val="24"/>
              </w:rPr>
              <w:t>50</w:t>
            </w:r>
            <w:r>
              <w:rPr>
                <w:rFonts w:hint="eastAsia" w:ascii="仿宋" w:hAnsi="仿宋" w:eastAsia="仿宋" w:cs="宋体"/>
                <w:color w:val="000000"/>
                <w:sz w:val="24"/>
                <w:lang w:val="zh-TW"/>
              </w:rPr>
              <w:t>套</w:t>
            </w:r>
            <w:r>
              <w:rPr>
                <w:rFonts w:hint="eastAsia" w:ascii="仿宋" w:hAnsi="仿宋" w:eastAsia="仿宋" w:cs="宋体"/>
                <w:color w:val="000000"/>
                <w:sz w:val="24"/>
              </w:rPr>
              <w:t>零信任</w:t>
            </w:r>
            <w:r>
              <w:rPr>
                <w:rFonts w:hint="eastAsia" w:ascii="仿宋" w:hAnsi="仿宋" w:eastAsia="仿宋" w:cs="宋体"/>
                <w:color w:val="000000"/>
                <w:sz w:val="24"/>
                <w:lang w:val="zh-TW"/>
              </w:rPr>
              <w:t>接入授权。</w:t>
            </w:r>
          </w:p>
        </w:tc>
      </w:tr>
      <w:tr w14:paraId="1E18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29" w:type="dxa"/>
            <w:vAlign w:val="center"/>
          </w:tcPr>
          <w:p w14:paraId="22C45096">
            <w:pPr>
              <w:jc w:val="center"/>
              <w:rPr>
                <w:rFonts w:hint="eastAsia" w:ascii="仿宋" w:hAnsi="仿宋" w:eastAsia="仿宋" w:cs="宋体"/>
                <w:color w:val="000000"/>
                <w:sz w:val="24"/>
              </w:rPr>
            </w:pPr>
            <w:r>
              <w:rPr>
                <w:rFonts w:hint="eastAsia" w:ascii="仿宋" w:hAnsi="仿宋" w:eastAsia="仿宋" w:cs="宋体"/>
                <w:color w:val="000000"/>
                <w:sz w:val="24"/>
              </w:rPr>
              <w:t>★交付模式</w:t>
            </w:r>
          </w:p>
        </w:tc>
        <w:tc>
          <w:tcPr>
            <w:tcW w:w="7468" w:type="dxa"/>
          </w:tcPr>
          <w:p w14:paraId="6054539F">
            <w:pPr>
              <w:rPr>
                <w:rFonts w:hint="eastAsia" w:ascii="仿宋" w:hAnsi="仿宋" w:eastAsia="仿宋" w:cs="宋体"/>
                <w:color w:val="000000"/>
                <w:sz w:val="24"/>
                <w:lang w:val="zh-TW"/>
              </w:rPr>
            </w:pPr>
            <w:r>
              <w:rPr>
                <w:rFonts w:hint="eastAsia" w:ascii="仿宋" w:hAnsi="仿宋" w:eastAsia="仿宋" w:cs="宋体"/>
                <w:color w:val="000000"/>
                <w:sz w:val="24"/>
                <w:lang w:val="zh-TW"/>
              </w:rPr>
              <w:t>1U，</w:t>
            </w:r>
            <w:r>
              <w:rPr>
                <w:rFonts w:hint="eastAsia" w:ascii="仿宋" w:hAnsi="仿宋" w:eastAsia="仿宋" w:cs="宋体"/>
                <w:color w:val="000000"/>
                <w:sz w:val="24"/>
              </w:rPr>
              <w:t>内存≥</w:t>
            </w:r>
            <w:r>
              <w:rPr>
                <w:rFonts w:hint="eastAsia" w:ascii="仿宋" w:hAnsi="仿宋" w:eastAsia="仿宋" w:cs="宋体"/>
                <w:color w:val="000000"/>
                <w:sz w:val="24"/>
                <w:lang w:val="zh-TW"/>
              </w:rPr>
              <w:t>16G，硬盘</w:t>
            </w:r>
            <w:r>
              <w:rPr>
                <w:rFonts w:hint="eastAsia" w:ascii="仿宋" w:hAnsi="仿宋" w:eastAsia="仿宋" w:cs="宋体"/>
                <w:color w:val="000000"/>
                <w:sz w:val="24"/>
              </w:rPr>
              <w:t>≥</w:t>
            </w:r>
            <w:r>
              <w:rPr>
                <w:rFonts w:hint="eastAsia" w:ascii="仿宋" w:hAnsi="仿宋" w:eastAsia="仿宋" w:cs="宋体"/>
                <w:color w:val="000000"/>
                <w:sz w:val="24"/>
                <w:lang w:val="zh-TW"/>
              </w:rPr>
              <w:t>128G SSD，单电源，接口</w:t>
            </w:r>
            <w:r>
              <w:rPr>
                <w:rFonts w:hint="eastAsia" w:ascii="仿宋" w:hAnsi="仿宋" w:eastAsia="仿宋" w:cs="宋体"/>
                <w:color w:val="000000"/>
                <w:sz w:val="24"/>
              </w:rPr>
              <w:t>≥</w:t>
            </w:r>
            <w:r>
              <w:rPr>
                <w:rFonts w:hint="eastAsia" w:ascii="仿宋" w:hAnsi="仿宋" w:eastAsia="仿宋" w:cs="宋体"/>
                <w:color w:val="000000"/>
                <w:sz w:val="24"/>
                <w:lang w:val="zh-TW"/>
              </w:rPr>
              <w:t>6千兆电口+4千兆光口SFP。</w:t>
            </w:r>
          </w:p>
        </w:tc>
      </w:tr>
      <w:tr w14:paraId="209C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restart"/>
            <w:vAlign w:val="center"/>
          </w:tcPr>
          <w:p w14:paraId="3B3ED6FF">
            <w:pPr>
              <w:jc w:val="center"/>
              <w:rPr>
                <w:rFonts w:hint="eastAsia" w:ascii="仿宋" w:hAnsi="仿宋" w:eastAsia="仿宋" w:cs="宋体"/>
                <w:color w:val="000000"/>
                <w:sz w:val="24"/>
              </w:rPr>
            </w:pPr>
            <w:r>
              <w:rPr>
                <w:rFonts w:hint="eastAsia" w:ascii="仿宋" w:hAnsi="仿宋" w:eastAsia="仿宋" w:cs="宋体"/>
                <w:color w:val="000000"/>
                <w:sz w:val="24"/>
              </w:rPr>
              <w:t>认证管理</w:t>
            </w:r>
          </w:p>
        </w:tc>
        <w:tc>
          <w:tcPr>
            <w:tcW w:w="7468" w:type="dxa"/>
          </w:tcPr>
          <w:p w14:paraId="74CABC0A">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为满足单位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w:t>
            </w:r>
          </w:p>
        </w:tc>
      </w:tr>
      <w:tr w14:paraId="30AB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Merge w:val="continue"/>
            <w:vAlign w:val="center"/>
          </w:tcPr>
          <w:p w14:paraId="3ADCFB8F">
            <w:pPr>
              <w:jc w:val="center"/>
              <w:rPr>
                <w:rFonts w:hint="eastAsia" w:ascii="仿宋" w:hAnsi="仿宋" w:eastAsia="仿宋" w:cs="宋体"/>
                <w:color w:val="000000"/>
                <w:sz w:val="24"/>
              </w:rPr>
            </w:pPr>
          </w:p>
        </w:tc>
        <w:tc>
          <w:tcPr>
            <w:tcW w:w="7468" w:type="dxa"/>
          </w:tcPr>
          <w:p w14:paraId="4AAB821A">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为提高员工使用体验，需进一步简化登录操作，需支持在满足条件的情况下，可配置成即使是关机重启，也能自动拉起客户端并自动登录一键上线（强制注销情况除外），可配置的条件包括但不限于：授信终端、Windows域环境、自定义网络环境等。</w:t>
            </w:r>
          </w:p>
        </w:tc>
      </w:tr>
      <w:tr w14:paraId="2A3A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2B6668F8">
            <w:pPr>
              <w:jc w:val="center"/>
              <w:rPr>
                <w:rFonts w:hint="eastAsia" w:ascii="仿宋" w:hAnsi="仿宋" w:eastAsia="仿宋" w:cs="宋体"/>
                <w:bCs/>
                <w:color w:val="000000"/>
                <w:sz w:val="24"/>
                <w:lang w:bidi="ar"/>
              </w:rPr>
            </w:pPr>
            <w:r>
              <w:rPr>
                <w:rFonts w:hint="eastAsia" w:ascii="仿宋" w:hAnsi="仿宋" w:eastAsia="仿宋" w:cs="宋体"/>
                <w:bCs/>
                <w:color w:val="000000"/>
                <w:sz w:val="24"/>
                <w:lang w:val="zh-TW" w:bidi="ar"/>
              </w:rPr>
              <w:t>本地用户管理</w:t>
            </w:r>
          </w:p>
        </w:tc>
        <w:tc>
          <w:tcPr>
            <w:tcW w:w="7468" w:type="dxa"/>
            <w:vAlign w:val="center"/>
          </w:tcPr>
          <w:p w14:paraId="12D5AC2B">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1、支持通过组织架构、角色等方式进行本地用户管理。</w:t>
            </w:r>
            <w:r>
              <w:rPr>
                <w:rFonts w:hint="eastAsia" w:ascii="仿宋" w:hAnsi="仿宋" w:eastAsia="仿宋" w:cs="宋体"/>
                <w:bCs/>
                <w:color w:val="000000"/>
                <w:sz w:val="24"/>
                <w:lang w:val="zh-TW" w:bidi="ar"/>
              </w:rPr>
              <w:br w:type="textWrapping"/>
            </w:r>
            <w:r>
              <w:rPr>
                <w:rFonts w:hint="eastAsia" w:ascii="仿宋" w:hAnsi="仿宋" w:eastAsia="仿宋" w:cs="宋体"/>
                <w:bCs/>
                <w:color w:val="000000"/>
                <w:sz w:val="24"/>
                <w:lang w:val="zh-TW" w:bidi="ar"/>
              </w:rPr>
              <w:t>2、新增或修改本地用户时，可编辑的用户属性应包括但不限于：用户名、显示名、组织信息、关联角色、手机号码、密码、电子邮箱、用户有效期、帐号是否启用、应用授权等。</w:t>
            </w:r>
          </w:p>
        </w:tc>
      </w:tr>
      <w:tr w14:paraId="68E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24F2BCE3">
            <w:pPr>
              <w:jc w:val="cente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应用打开方式</w:t>
            </w:r>
          </w:p>
        </w:tc>
        <w:tc>
          <w:tcPr>
            <w:tcW w:w="7468" w:type="dxa"/>
            <w:vAlign w:val="center"/>
          </w:tcPr>
          <w:p w14:paraId="0F45194C">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投标时需提供产品功能截图，中标后签订合同前需加盖厂商公章）</w:t>
            </w:r>
          </w:p>
        </w:tc>
      </w:tr>
      <w:tr w14:paraId="4BF2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312074F0">
            <w:pPr>
              <w:jc w:val="center"/>
              <w:rPr>
                <w:rFonts w:hint="eastAsia" w:ascii="仿宋" w:hAnsi="仿宋" w:eastAsia="仿宋" w:cs="宋体"/>
                <w:color w:val="000000"/>
                <w:sz w:val="24"/>
              </w:rPr>
            </w:pPr>
            <w:r>
              <w:rPr>
                <w:rFonts w:hint="eastAsia" w:ascii="仿宋" w:hAnsi="仿宋" w:eastAsia="仿宋" w:cs="宋体"/>
                <w:color w:val="000000"/>
                <w:sz w:val="24"/>
              </w:rPr>
              <w:t>终端接入能力</w:t>
            </w:r>
          </w:p>
        </w:tc>
        <w:tc>
          <w:tcPr>
            <w:tcW w:w="7468" w:type="dxa"/>
          </w:tcPr>
          <w:p w14:paraId="4532E118">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▲为提升在弱网环境下访问体验，应支持优化TCP协议，增强隧道抗丢包、抗抖动特性，实现弱网环境的访问加速。（投标时需提供产品功能截图，中标后签订合同前需加盖厂商公章）</w:t>
            </w:r>
          </w:p>
        </w:tc>
      </w:tr>
      <w:tr w14:paraId="64F1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27CC1375">
            <w:pPr>
              <w:jc w:val="cente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安全特性</w:t>
            </w:r>
          </w:p>
        </w:tc>
        <w:tc>
          <w:tcPr>
            <w:tcW w:w="7468" w:type="dxa"/>
          </w:tcPr>
          <w:p w14:paraId="5B1326CD">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▲1、为了最大程度缩小网络、业务暴露面，零信任平台需提供单包授权能力（SPA），支持UDP+TCP组合的单包授权技术，未授权用户无法连接零信任设备，无法扫描到服务端口，不会出现敲门放大漏洞。</w:t>
            </w:r>
          </w:p>
          <w:p w14:paraId="08C46243">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2、PC端和移动端均支持通过安全码激活客户端为授权客户端，从而可进行SPA敲门和连接，安全码支持共享码、一人一码</w:t>
            </w:r>
            <w:r>
              <w:rPr>
                <w:rFonts w:hint="eastAsia" w:ascii="仿宋" w:hAnsi="仿宋" w:eastAsia="仿宋" w:cs="宋体"/>
                <w:bCs/>
                <w:color w:val="000000"/>
                <w:sz w:val="24"/>
                <w:lang w:bidi="ar"/>
              </w:rPr>
              <w:t>等</w:t>
            </w:r>
            <w:r>
              <w:rPr>
                <w:rFonts w:hint="eastAsia" w:ascii="仿宋" w:hAnsi="仿宋" w:eastAsia="仿宋" w:cs="宋体"/>
                <w:bCs/>
                <w:color w:val="000000"/>
                <w:sz w:val="24"/>
                <w:lang w:val="zh-TW" w:bidi="ar"/>
              </w:rPr>
              <w:t>多种模式，支持短信分发安全码，保障业务的安全性。不同安全码模式均应同时支持PC端和移动端使用。</w:t>
            </w:r>
          </w:p>
          <w:p w14:paraId="70FA6B5F">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3、一人一码模式下，当实际登录用户跟分发SPA安全码绑定的用户不一致时，零信任系统可以阻止用户登录上线并产生安全告警，帮助管理员溯源，进一步提升系统安全性。</w:t>
            </w:r>
          </w:p>
          <w:p w14:paraId="51F5FCD8">
            <w:pPr>
              <w:rPr>
                <w:rFonts w:hint="eastAsia" w:ascii="仿宋" w:hAnsi="仿宋" w:eastAsia="仿宋" w:cs="宋体"/>
                <w:bCs/>
                <w:color w:val="000000"/>
                <w:sz w:val="24"/>
                <w:lang w:val="zh-TW" w:bidi="ar"/>
              </w:rPr>
            </w:pPr>
            <w:r>
              <w:rPr>
                <w:rFonts w:hint="eastAsia" w:ascii="仿宋" w:hAnsi="仿宋" w:eastAsia="仿宋" w:cs="宋体"/>
                <w:bCs/>
                <w:color w:val="000000"/>
                <w:sz w:val="24"/>
                <w:lang w:val="zh-TW" w:bidi="ar"/>
              </w:rPr>
              <w:t>（投标时需1-</w:t>
            </w:r>
            <w:r>
              <w:rPr>
                <w:rFonts w:hint="eastAsia" w:ascii="仿宋" w:hAnsi="仿宋" w:eastAsia="仿宋" w:cs="宋体"/>
                <w:bCs/>
                <w:color w:val="000000"/>
                <w:sz w:val="24"/>
                <w:lang w:bidi="ar"/>
              </w:rPr>
              <w:t>3</w:t>
            </w:r>
            <w:r>
              <w:rPr>
                <w:rFonts w:hint="eastAsia" w:ascii="仿宋" w:hAnsi="仿宋" w:eastAsia="仿宋" w:cs="宋体"/>
                <w:bCs/>
                <w:color w:val="000000"/>
                <w:sz w:val="24"/>
                <w:lang w:val="zh-TW" w:bidi="ar"/>
              </w:rPr>
              <w:t>项提供产品功能截图，中标后签订合同前需加盖厂商公章）</w:t>
            </w:r>
          </w:p>
        </w:tc>
      </w:tr>
      <w:tr w14:paraId="6239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29BFDF7A">
            <w:pPr>
              <w:jc w:val="center"/>
              <w:rPr>
                <w:rFonts w:hint="eastAsia" w:ascii="仿宋" w:hAnsi="仿宋" w:eastAsia="仿宋" w:cs="宋体"/>
                <w:color w:val="000000"/>
                <w:sz w:val="24"/>
              </w:rPr>
            </w:pPr>
            <w:r>
              <w:rPr>
                <w:rFonts w:hint="eastAsia" w:ascii="仿宋" w:hAnsi="仿宋" w:eastAsia="仿宋" w:cs="宋体"/>
                <w:color w:val="000000"/>
                <w:sz w:val="24"/>
              </w:rPr>
              <w:t>资质</w:t>
            </w:r>
          </w:p>
        </w:tc>
        <w:tc>
          <w:tcPr>
            <w:tcW w:w="7468" w:type="dxa"/>
          </w:tcPr>
          <w:p w14:paraId="40ED1487">
            <w:pPr>
              <w:rPr>
                <w:rFonts w:hint="eastAsia" w:ascii="仿宋" w:hAnsi="仿宋" w:eastAsia="仿宋" w:cs="宋体"/>
                <w:strike/>
                <w:color w:val="000000"/>
                <w:sz w:val="24"/>
                <w:lang w:val="zh-TW"/>
              </w:rPr>
            </w:pPr>
            <w:r>
              <w:rPr>
                <w:rFonts w:hint="eastAsia" w:ascii="仿宋" w:hAnsi="仿宋" w:eastAsia="仿宋" w:cs="宋体"/>
                <w:color w:val="000000"/>
                <w:sz w:val="24"/>
                <w:lang w:val="zh-TW"/>
              </w:rPr>
              <w:t>▲为保证零信任产品的架构规范性，应提供中国信通院认证的零信任SDP设备Zero Trust Ready证书。（投标时需提供相关证明材料，中标后签订合同前需加盖厂商公章）</w:t>
            </w:r>
          </w:p>
        </w:tc>
      </w:tr>
      <w:tr w14:paraId="5E08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49FD2B56">
            <w:pPr>
              <w:jc w:val="center"/>
              <w:rPr>
                <w:rFonts w:hint="eastAsia" w:ascii="仿宋" w:hAnsi="仿宋" w:eastAsia="仿宋" w:cs="宋体"/>
                <w:color w:val="000000"/>
                <w:sz w:val="24"/>
              </w:rPr>
            </w:pPr>
            <w:r>
              <w:rPr>
                <w:rFonts w:hint="eastAsia" w:ascii="仿宋" w:hAnsi="仿宋" w:eastAsia="仿宋" w:cs="宋体"/>
                <w:color w:val="000000"/>
                <w:kern w:val="0"/>
                <w:sz w:val="24"/>
                <w:lang w:bidi="ar"/>
              </w:rPr>
              <w:t>★</w:t>
            </w:r>
            <w:r>
              <w:rPr>
                <w:rFonts w:hint="eastAsia" w:ascii="仿宋" w:hAnsi="仿宋" w:eastAsia="仿宋" w:cs="宋体"/>
                <w:color w:val="000000"/>
                <w:sz w:val="24"/>
              </w:rPr>
              <w:t>质保</w:t>
            </w:r>
          </w:p>
        </w:tc>
        <w:tc>
          <w:tcPr>
            <w:tcW w:w="7468" w:type="dxa"/>
          </w:tcPr>
          <w:p w14:paraId="10747064">
            <w:pPr>
              <w:rPr>
                <w:rFonts w:hint="eastAsia" w:ascii="仿宋" w:hAnsi="仿宋" w:eastAsia="仿宋" w:cs="宋体"/>
                <w:color w:val="000000"/>
                <w:sz w:val="24"/>
                <w:lang w:val="zh-TW" w:eastAsia="zh-TW"/>
              </w:rPr>
            </w:pPr>
            <w:r>
              <w:rPr>
                <w:rFonts w:hint="eastAsia" w:ascii="仿宋" w:hAnsi="仿宋" w:eastAsia="仿宋"/>
                <w:sz w:val="24"/>
              </w:rPr>
              <w:t>三年原厂硬件质保，三年软件版本升级，</w:t>
            </w:r>
            <w:r>
              <w:rPr>
                <w:rFonts w:hint="eastAsia" w:ascii="仿宋" w:hAnsi="仿宋" w:eastAsia="仿宋" w:cs="宋体"/>
                <w:color w:val="000000"/>
                <w:sz w:val="24"/>
                <w:lang w:val="zh-TW"/>
              </w:rPr>
              <w:t>中标后签订合同前提供质保承诺函并加盖原厂公章。</w:t>
            </w:r>
          </w:p>
        </w:tc>
      </w:tr>
    </w:tbl>
    <w:p w14:paraId="026172BC">
      <w:pPr>
        <w:widowControl/>
        <w:spacing w:line="360" w:lineRule="auto"/>
        <w:ind w:firstLine="560" w:firstLineChars="200"/>
        <w:jc w:val="left"/>
        <w:rPr>
          <w:rFonts w:hint="eastAsia"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、卫生专网防病毒系统</w:t>
      </w:r>
    </w:p>
    <w:tbl>
      <w:tblPr>
        <w:tblStyle w:val="39"/>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2"/>
      </w:tblGrid>
      <w:tr w14:paraId="1C3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vAlign w:val="center"/>
          </w:tcPr>
          <w:p w14:paraId="6F7B56F5">
            <w:pPr>
              <w:jc w:val="center"/>
              <w:rPr>
                <w:rFonts w:hint="eastAsia" w:ascii="仿宋" w:hAnsi="仿宋" w:eastAsia="仿宋" w:cs="宋体"/>
                <w:color w:val="000000"/>
                <w:sz w:val="24"/>
                <w:lang w:bidi="ar"/>
              </w:rPr>
            </w:pPr>
            <w:r>
              <w:rPr>
                <w:rFonts w:hint="eastAsia" w:ascii="仿宋" w:hAnsi="仿宋" w:eastAsia="仿宋" w:cs="宋体"/>
                <w:color w:val="000000"/>
                <w:sz w:val="24"/>
              </w:rPr>
              <w:t>功能项</w:t>
            </w:r>
          </w:p>
        </w:tc>
        <w:tc>
          <w:tcPr>
            <w:tcW w:w="7442" w:type="dxa"/>
            <w:vAlign w:val="center"/>
          </w:tcPr>
          <w:p w14:paraId="69C3EBD7">
            <w:pPr>
              <w:jc w:val="center"/>
              <w:rPr>
                <w:rFonts w:hint="eastAsia" w:ascii="仿宋" w:hAnsi="仿宋" w:eastAsia="仿宋" w:cs="宋体"/>
                <w:color w:val="000000"/>
                <w:sz w:val="24"/>
                <w:lang w:bidi="ar"/>
              </w:rPr>
            </w:pPr>
            <w:r>
              <w:rPr>
                <w:rFonts w:hint="eastAsia" w:ascii="仿宋" w:hAnsi="仿宋" w:eastAsia="仿宋" w:cs="宋体"/>
                <w:color w:val="000000"/>
                <w:sz w:val="24"/>
              </w:rPr>
              <w:t>技术要求</w:t>
            </w:r>
          </w:p>
        </w:tc>
      </w:tr>
      <w:tr w14:paraId="6E73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Align w:val="center"/>
          </w:tcPr>
          <w:p w14:paraId="3356D853">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★产品形态</w:t>
            </w:r>
          </w:p>
        </w:tc>
        <w:tc>
          <w:tcPr>
            <w:tcW w:w="7442" w:type="dxa"/>
            <w:vAlign w:val="center"/>
          </w:tcPr>
          <w:p w14:paraId="25B5AA9E">
            <w:pPr>
              <w:widowControl/>
              <w:jc w:val="left"/>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产品可以纯软件交付，包含管理控制中心软件及终端客户端软件，其中管理控制中心可云化部署。</w:t>
            </w:r>
          </w:p>
          <w:p w14:paraId="455F274C">
            <w:pPr>
              <w:widowControl/>
              <w:jc w:val="left"/>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本次配置≥200套PC版软件授权。</w:t>
            </w:r>
          </w:p>
        </w:tc>
      </w:tr>
      <w:tr w14:paraId="5D1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55" w:type="dxa"/>
            <w:vAlign w:val="center"/>
          </w:tcPr>
          <w:p w14:paraId="59A0B64C">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一体化管控</w:t>
            </w:r>
          </w:p>
        </w:tc>
        <w:tc>
          <w:tcPr>
            <w:tcW w:w="7442" w:type="dxa"/>
            <w:vAlign w:val="center"/>
          </w:tcPr>
          <w:p w14:paraId="057E65F1">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单一管理控制中心可统一管理分别部署在WindowsPC、Windows服务器、Linux服务器以及国产化服务器的客户端软件。</w:t>
            </w:r>
          </w:p>
        </w:tc>
      </w:tr>
      <w:tr w14:paraId="031E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Align w:val="center"/>
          </w:tcPr>
          <w:p w14:paraId="37DD29DC">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管理可视化</w:t>
            </w:r>
          </w:p>
        </w:tc>
        <w:tc>
          <w:tcPr>
            <w:tcW w:w="7442" w:type="dxa"/>
            <w:vAlign w:val="center"/>
          </w:tcPr>
          <w:p w14:paraId="3A9BB93C">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采用B/S架构的管理控制中心，具备终端安全可视，终端统一管理，统一威胁处置，统一漏洞修复，威胁响应处置，日志记录与查询等功能。</w:t>
            </w:r>
          </w:p>
        </w:tc>
      </w:tr>
      <w:tr w14:paraId="7C98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5" w:type="dxa"/>
            <w:vAlign w:val="center"/>
          </w:tcPr>
          <w:p w14:paraId="3195A95F">
            <w:pPr>
              <w:jc w:val="center"/>
              <w:rPr>
                <w:rFonts w:hint="eastAsia" w:ascii="仿宋" w:hAnsi="仿宋" w:eastAsia="仿宋" w:cs="宋体"/>
                <w:color w:val="000000"/>
                <w:sz w:val="24"/>
              </w:rPr>
            </w:pPr>
            <w:r>
              <w:rPr>
                <w:rFonts w:hint="eastAsia" w:ascii="仿宋" w:hAnsi="仿宋" w:eastAsia="仿宋" w:cs="宋体"/>
                <w:color w:val="000000"/>
                <w:sz w:val="24"/>
              </w:rPr>
              <w:t>多维度威胁展示</w:t>
            </w:r>
          </w:p>
        </w:tc>
        <w:tc>
          <w:tcPr>
            <w:tcW w:w="7442" w:type="dxa"/>
            <w:vAlign w:val="center"/>
          </w:tcPr>
          <w:p w14:paraId="558F7C1A">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提供勒索病毒整体防护体系入口，直观展示最近七天勒索病毒防护效果，包括已处置的恶意文件数量、已拦截可疑行为次数、已阻止的未知进程操作次数、已阻止的暴力破解攻击次数。（投标时需提供产品功能截图，中标后签订合同前需加盖厂商公章）</w:t>
            </w:r>
          </w:p>
        </w:tc>
      </w:tr>
      <w:tr w14:paraId="742B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Merge w:val="restart"/>
            <w:vAlign w:val="center"/>
          </w:tcPr>
          <w:p w14:paraId="0DE673BF">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资产管理</w:t>
            </w:r>
          </w:p>
        </w:tc>
        <w:tc>
          <w:tcPr>
            <w:tcW w:w="7442" w:type="dxa"/>
            <w:vAlign w:val="center"/>
          </w:tcPr>
          <w:p w14:paraId="5CF312F8">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支持全网视角的终端资产统一清点，便于帮助用户快速发现风险面。清点信息包括操作系统、应用软件、监听端口和终端账户，其中操作系统和监听端口支持从资产和终端两个视角进行统计和展示。</w:t>
            </w:r>
          </w:p>
        </w:tc>
      </w:tr>
      <w:tr w14:paraId="52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Merge w:val="continue"/>
            <w:vAlign w:val="center"/>
          </w:tcPr>
          <w:p w14:paraId="4660F674">
            <w:pPr>
              <w:jc w:val="center"/>
              <w:rPr>
                <w:rFonts w:hint="eastAsia" w:ascii="仿宋" w:hAnsi="仿宋" w:eastAsia="仿宋" w:cs="宋体"/>
                <w:color w:val="000000"/>
                <w:sz w:val="24"/>
              </w:rPr>
            </w:pPr>
          </w:p>
        </w:tc>
        <w:tc>
          <w:tcPr>
            <w:tcW w:w="7442" w:type="dxa"/>
          </w:tcPr>
          <w:p w14:paraId="10DB9257">
            <w:pPr>
              <w:widowControl/>
              <w:jc w:val="left"/>
              <w:textAlignment w:val="top"/>
              <w:rPr>
                <w:rFonts w:hint="eastAsia" w:ascii="仿宋" w:hAnsi="仿宋" w:eastAsia="仿宋" w:cs="宋体"/>
                <w:color w:val="000000"/>
                <w:sz w:val="24"/>
              </w:rPr>
            </w:pPr>
            <w:r>
              <w:rPr>
                <w:rFonts w:hint="eastAsia" w:ascii="仿宋" w:hAnsi="仿宋" w:eastAsia="仿宋" w:cs="宋体"/>
                <w:color w:val="000000"/>
                <w:kern w:val="0"/>
                <w:sz w:val="24"/>
                <w:lang w:bidi="ar"/>
              </w:rPr>
              <w:t>▲支持对系统账号信息进行梳理，了解账号权限分布概况以及风险账号分布情况，可按照隐藏账号、可疑root权限账号、长期未使用账号、夜间登录、多IP登录进行账号分类查看，支持统计最近一年未修改密码的账户。（投标时需提供产品功能截图，中标后签订合同前需加盖厂商公章）</w:t>
            </w:r>
          </w:p>
        </w:tc>
      </w:tr>
      <w:tr w14:paraId="5F5B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Align w:val="center"/>
          </w:tcPr>
          <w:p w14:paraId="0C25911B">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终端日志报表</w:t>
            </w:r>
          </w:p>
        </w:tc>
        <w:tc>
          <w:tcPr>
            <w:tcW w:w="7442" w:type="dxa"/>
            <w:vAlign w:val="center"/>
          </w:tcPr>
          <w:p w14:paraId="183C60D3">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支持根据统计周期、终端名称、IP地址，补丁信息和漏洞等级等多维度的入侵检测日志，杀毒扫描日志，合规检测日志，管理员操作日志，运维日志，联动日志等的日志查询和检测。</w:t>
            </w:r>
          </w:p>
        </w:tc>
      </w:tr>
      <w:tr w14:paraId="48B9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5" w:type="dxa"/>
            <w:vAlign w:val="center"/>
          </w:tcPr>
          <w:p w14:paraId="48992DEB">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升级管理</w:t>
            </w:r>
          </w:p>
        </w:tc>
        <w:tc>
          <w:tcPr>
            <w:tcW w:w="7442" w:type="dxa"/>
            <w:vAlign w:val="center"/>
          </w:tcPr>
          <w:p w14:paraId="37837201">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▲支持客户端的错峰升级，可根据实际情况控制客户端同时升级的最大数量，避免大量终端程序同时更新造成网络拥堵或I/O风暴。（投标时需提供产品功能截图，中标后签订合同前需加盖厂商公章）</w:t>
            </w:r>
          </w:p>
        </w:tc>
      </w:tr>
      <w:tr w14:paraId="7571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Align w:val="center"/>
          </w:tcPr>
          <w:p w14:paraId="0A51D3E8">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管理员管理</w:t>
            </w:r>
          </w:p>
        </w:tc>
        <w:tc>
          <w:tcPr>
            <w:tcW w:w="7442" w:type="dxa"/>
            <w:vAlign w:val="center"/>
          </w:tcPr>
          <w:p w14:paraId="003B13BF">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支持配置不同的权限角色，支持超级管理员、普通管理员（管理）、审计管理员（查看）三种权限，并配置可管辖的终端范围，支持管理员账号限制IP登录；支持管理员账号采用双因素认证。</w:t>
            </w:r>
          </w:p>
        </w:tc>
      </w:tr>
      <w:tr w14:paraId="3704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vAlign w:val="center"/>
          </w:tcPr>
          <w:p w14:paraId="14441F45">
            <w:pPr>
              <w:jc w:val="center"/>
              <w:rPr>
                <w:rFonts w:hint="eastAsia" w:ascii="仿宋" w:hAnsi="仿宋" w:eastAsia="仿宋" w:cs="宋体"/>
                <w:color w:val="000000"/>
                <w:sz w:val="24"/>
              </w:rPr>
            </w:pPr>
            <w:r>
              <w:rPr>
                <w:rFonts w:hint="eastAsia" w:ascii="仿宋" w:hAnsi="仿宋" w:eastAsia="仿宋" w:cs="宋体"/>
                <w:color w:val="000000"/>
                <w:sz w:val="24"/>
              </w:rPr>
              <w:t>安全检测</w:t>
            </w:r>
          </w:p>
        </w:tc>
        <w:tc>
          <w:tcPr>
            <w:tcW w:w="7442" w:type="dxa"/>
            <w:vAlign w:val="center"/>
          </w:tcPr>
          <w:p w14:paraId="147065F9">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具备针对最新未知的文件，使用IOC特征（文件hash、dns、url、ip等）的技术，进行云端查询。云端的安全中心，使用大数据分析平台，基于多维威胁情报、云端沙箱技术、多引擎扩展的检测技术等，秒级响应未知文件的检测结果，构架公有云云查体系。</w:t>
            </w:r>
          </w:p>
        </w:tc>
      </w:tr>
      <w:tr w14:paraId="6EE8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Merge w:val="restart"/>
            <w:vAlign w:val="center"/>
          </w:tcPr>
          <w:p w14:paraId="4AA0E65E">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终端自保护</w:t>
            </w:r>
          </w:p>
        </w:tc>
        <w:tc>
          <w:tcPr>
            <w:tcW w:w="7442" w:type="dxa"/>
            <w:vAlign w:val="center"/>
          </w:tcPr>
          <w:p w14:paraId="19B2796B">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支持agent安装目录的文件保护，可以保护agent目录和文件实时监控驱动文件，可以保护agent的服务/进程/文件不被恶意删除，以免影响正常功能，导致用户的终端受到病毒入侵。</w:t>
            </w:r>
          </w:p>
        </w:tc>
      </w:tr>
      <w:tr w14:paraId="4D8A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5" w:type="dxa"/>
            <w:vMerge w:val="continue"/>
            <w:vAlign w:val="center"/>
          </w:tcPr>
          <w:p w14:paraId="73F9062F">
            <w:pPr>
              <w:jc w:val="center"/>
              <w:rPr>
                <w:rFonts w:hint="eastAsia" w:ascii="仿宋" w:hAnsi="仿宋" w:eastAsia="仿宋" w:cs="宋体"/>
                <w:color w:val="000000"/>
                <w:sz w:val="24"/>
              </w:rPr>
            </w:pPr>
          </w:p>
        </w:tc>
        <w:tc>
          <w:tcPr>
            <w:tcW w:w="7442" w:type="dxa"/>
            <w:vAlign w:val="center"/>
          </w:tcPr>
          <w:p w14:paraId="336F3D2D">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▲支持禁止黑客工具启动，包含：xuetr、ProcessHacker、PCHunter、Mimikatz等工具的自启动，可以防止黑客攻击。（投标时需提供产品功能截图，中标后签订合同前需加盖厂商公章）</w:t>
            </w:r>
          </w:p>
        </w:tc>
      </w:tr>
      <w:tr w14:paraId="2E85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Align w:val="center"/>
          </w:tcPr>
          <w:p w14:paraId="5ABB52CE">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文件实时监控</w:t>
            </w:r>
          </w:p>
        </w:tc>
        <w:tc>
          <w:tcPr>
            <w:tcW w:w="7442" w:type="dxa"/>
            <w:vAlign w:val="center"/>
          </w:tcPr>
          <w:p w14:paraId="5F64866B">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可实时监控文件的状态，在文件读、写、执行或者进入主机时主动进行扫描，支持根据用户性能偏好设置高、中、低3种防护级别。</w:t>
            </w:r>
          </w:p>
        </w:tc>
      </w:tr>
      <w:tr w14:paraId="2180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55" w:type="dxa"/>
            <w:vMerge w:val="restart"/>
            <w:vAlign w:val="center"/>
          </w:tcPr>
          <w:p w14:paraId="5A0C8E3D">
            <w:pPr>
              <w:jc w:val="center"/>
              <w:rPr>
                <w:rFonts w:hint="eastAsia" w:ascii="仿宋" w:hAnsi="仿宋" w:eastAsia="仿宋" w:cs="宋体"/>
                <w:color w:val="000000"/>
                <w:sz w:val="24"/>
              </w:rPr>
            </w:pPr>
            <w:r>
              <w:rPr>
                <w:rFonts w:hint="eastAsia" w:ascii="仿宋" w:hAnsi="仿宋" w:eastAsia="仿宋" w:cs="宋体"/>
                <w:color w:val="000000"/>
                <w:sz w:val="24"/>
              </w:rPr>
              <w:t>安全防护</w:t>
            </w:r>
          </w:p>
        </w:tc>
        <w:tc>
          <w:tcPr>
            <w:tcW w:w="7442" w:type="dxa"/>
            <w:vAlign w:val="center"/>
          </w:tcPr>
          <w:p w14:paraId="2EB99B1E">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支持监控诱饵文件，诱饵文件可被实时监控，当勒索病毒对该文件进行修改或加密操作时进行拦截。</w:t>
            </w:r>
          </w:p>
        </w:tc>
      </w:tr>
      <w:tr w14:paraId="6612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Merge w:val="continue"/>
            <w:vAlign w:val="center"/>
          </w:tcPr>
          <w:p w14:paraId="5FEF0C7C">
            <w:pPr>
              <w:jc w:val="center"/>
              <w:rPr>
                <w:rFonts w:hint="eastAsia" w:ascii="仿宋" w:hAnsi="仿宋" w:eastAsia="仿宋" w:cs="宋体"/>
                <w:color w:val="000000"/>
                <w:sz w:val="24"/>
              </w:rPr>
            </w:pPr>
          </w:p>
        </w:tc>
        <w:tc>
          <w:tcPr>
            <w:tcW w:w="7442" w:type="dxa"/>
            <w:vAlign w:val="center"/>
          </w:tcPr>
          <w:p w14:paraId="70BEE2DC">
            <w:pPr>
              <w:widowControl/>
              <w:jc w:val="left"/>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支持基于异常行为AI的实时监测，实现文件动态备份，发生勒索事件时，支持自动删除原始文件夹中被加密的文件夹并隔离文件；支持文件恢复密码保护，用户下发文件恢复操作时需要经过认证校验，确保文件恢复操作的合法性。（投标时需提供产品功能截图，中标后签订合同前需加盖厂商公章）</w:t>
            </w:r>
          </w:p>
        </w:tc>
      </w:tr>
      <w:tr w14:paraId="2B3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55" w:type="dxa"/>
            <w:vMerge w:val="restart"/>
            <w:vAlign w:val="center"/>
          </w:tcPr>
          <w:p w14:paraId="5DCCCD44">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威胁处置</w:t>
            </w:r>
          </w:p>
        </w:tc>
        <w:tc>
          <w:tcPr>
            <w:tcW w:w="7442" w:type="dxa"/>
            <w:vAlign w:val="center"/>
          </w:tcPr>
          <w:p w14:paraId="14EB8AAA">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构建全网文件信誉库，当一台终端发现某一病毒文件，全网可进行感知并进行针对性查杀，支持处置病毒时选择是否在其它终端上同步处置。</w:t>
            </w:r>
          </w:p>
        </w:tc>
      </w:tr>
      <w:tr w14:paraId="2B17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Merge w:val="continue"/>
            <w:vAlign w:val="center"/>
          </w:tcPr>
          <w:p w14:paraId="6AB2BF9F">
            <w:pPr>
              <w:jc w:val="center"/>
              <w:rPr>
                <w:rFonts w:hint="eastAsia" w:ascii="仿宋" w:hAnsi="仿宋" w:eastAsia="仿宋" w:cs="宋体"/>
                <w:color w:val="000000"/>
                <w:sz w:val="24"/>
              </w:rPr>
            </w:pPr>
          </w:p>
        </w:tc>
        <w:tc>
          <w:tcPr>
            <w:tcW w:w="7442" w:type="dxa"/>
            <w:vAlign w:val="center"/>
          </w:tcPr>
          <w:p w14:paraId="666E2893">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▲具备强力专杀云端下发通道，支持在管理端批量下发强力专杀工具到内网各终端快速响应终端威胁。（投标时需提供产品功能截图，中标后签订合同前需加盖厂商公章）</w:t>
            </w:r>
          </w:p>
        </w:tc>
      </w:tr>
      <w:tr w14:paraId="222B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Align w:val="center"/>
          </w:tcPr>
          <w:p w14:paraId="416BA4CD">
            <w:pPr>
              <w:widowControl/>
              <w:jc w:val="center"/>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屏幕水印</w:t>
            </w:r>
          </w:p>
        </w:tc>
        <w:tc>
          <w:tcPr>
            <w:tcW w:w="7442" w:type="dxa"/>
            <w:vAlign w:val="center"/>
          </w:tcPr>
          <w:p w14:paraId="599E1F7E">
            <w:pPr>
              <w:widowControl/>
              <w:jc w:val="left"/>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支持windows系统屏幕水印功能，灵活定义屏幕水印内容，可设置不透明度、生效范围和生效时间段等，如有敏感信息泄露可以通过水印信息辅助做溯源。</w:t>
            </w:r>
          </w:p>
        </w:tc>
      </w:tr>
      <w:tr w14:paraId="02AF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Merge w:val="restart"/>
            <w:vAlign w:val="center"/>
          </w:tcPr>
          <w:p w14:paraId="67F20DA2">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windows智御</w:t>
            </w:r>
          </w:p>
        </w:tc>
        <w:tc>
          <w:tcPr>
            <w:tcW w:w="7442" w:type="dxa"/>
            <w:vAlign w:val="center"/>
          </w:tcPr>
          <w:p w14:paraId="4C01F8B6">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▲支持对Windows停更的系统提供专项防护，包括0day漏洞防护、文件防护、暴破入侵防护、系统脆弱点识别和风险端口封堵等多项核心功能。（投标时需提供产品功能截图，中标后签订合同前需加盖厂商公章）</w:t>
            </w:r>
          </w:p>
        </w:tc>
      </w:tr>
      <w:tr w14:paraId="4B29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Merge w:val="continue"/>
            <w:vAlign w:val="center"/>
          </w:tcPr>
          <w:p w14:paraId="16EE6495">
            <w:pPr>
              <w:jc w:val="center"/>
              <w:rPr>
                <w:rFonts w:hint="eastAsia" w:ascii="仿宋" w:hAnsi="仿宋" w:eastAsia="仿宋" w:cs="宋体"/>
                <w:color w:val="000000"/>
                <w:sz w:val="24"/>
              </w:rPr>
            </w:pPr>
          </w:p>
        </w:tc>
        <w:tc>
          <w:tcPr>
            <w:tcW w:w="7442" w:type="dxa"/>
            <w:vAlign w:val="center"/>
          </w:tcPr>
          <w:p w14:paraId="52957801">
            <w:pPr>
              <w:widowControl/>
              <w:jc w:val="left"/>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支持对已停止更新的Windows系统的全网一键清点，管理员可快速筛选出全网已停止更新的Windows系统的数量和具体的终端。</w:t>
            </w:r>
          </w:p>
        </w:tc>
      </w:tr>
      <w:tr w14:paraId="31A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Merge w:val="restart"/>
            <w:vAlign w:val="center"/>
          </w:tcPr>
          <w:p w14:paraId="1711256F">
            <w:pPr>
              <w:jc w:val="center"/>
              <w:rPr>
                <w:rFonts w:hint="eastAsia" w:ascii="仿宋" w:hAnsi="仿宋" w:eastAsia="仿宋" w:cs="宋体"/>
                <w:color w:val="000000"/>
                <w:sz w:val="24"/>
              </w:rPr>
            </w:pPr>
            <w:r>
              <w:rPr>
                <w:rFonts w:hint="eastAsia" w:ascii="仿宋" w:hAnsi="仿宋" w:eastAsia="仿宋" w:cs="宋体"/>
                <w:color w:val="000000"/>
                <w:sz w:val="24"/>
              </w:rPr>
              <w:t>资质要求</w:t>
            </w:r>
          </w:p>
        </w:tc>
        <w:tc>
          <w:tcPr>
            <w:tcW w:w="7442" w:type="dxa"/>
          </w:tcPr>
          <w:p w14:paraId="07D5D6EA">
            <w:pPr>
              <w:rPr>
                <w:rFonts w:hint="eastAsia" w:ascii="仿宋" w:hAnsi="仿宋" w:eastAsia="仿宋" w:cs="宋体"/>
                <w:color w:val="000000"/>
                <w:sz w:val="24"/>
                <w:lang w:val="zh-TW"/>
              </w:rPr>
            </w:pPr>
            <w:r>
              <w:rPr>
                <w:rFonts w:hint="eastAsia" w:ascii="仿宋" w:hAnsi="仿宋" w:eastAsia="仿宋" w:cs="宋体"/>
                <w:color w:val="000000"/>
                <w:sz w:val="24"/>
                <w:lang w:val="zh-TW"/>
              </w:rPr>
              <w:t>▲为保障产品成熟度，要求所投产品的生产厂商具备中国网络安全审查技术与认证中心的信息安全软件开发服务一级资质。（投标时需提供相关证明材料，中标后签订合同前需加盖厂商公章）。</w:t>
            </w:r>
          </w:p>
        </w:tc>
      </w:tr>
      <w:tr w14:paraId="120C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Merge w:val="continue"/>
            <w:vAlign w:val="center"/>
          </w:tcPr>
          <w:p w14:paraId="4188EB53">
            <w:pPr>
              <w:rPr>
                <w:rFonts w:hint="eastAsia" w:ascii="仿宋" w:hAnsi="仿宋" w:eastAsia="仿宋" w:cs="宋体"/>
                <w:color w:val="000000"/>
                <w:sz w:val="24"/>
              </w:rPr>
            </w:pPr>
          </w:p>
        </w:tc>
        <w:tc>
          <w:tcPr>
            <w:tcW w:w="7442" w:type="dxa"/>
          </w:tcPr>
          <w:p w14:paraId="3CB8A133">
            <w:pPr>
              <w:rPr>
                <w:rFonts w:hint="eastAsia" w:ascii="仿宋" w:hAnsi="仿宋" w:eastAsia="仿宋" w:cs="宋体"/>
                <w:color w:val="000000"/>
                <w:sz w:val="24"/>
                <w:lang w:val="zh-TW"/>
              </w:rPr>
            </w:pPr>
            <w:r>
              <w:rPr>
                <w:rFonts w:hint="eastAsia" w:ascii="仿宋" w:hAnsi="仿宋" w:eastAsia="仿宋" w:cs="宋体"/>
                <w:color w:val="000000"/>
                <w:sz w:val="24"/>
                <w:lang w:val="zh-TW"/>
              </w:rPr>
              <w:t>▲为保障产品安全效果，要求所投产品厂商同时为国家信息安全漏洞共享平台(CNVD)技术组成员和用户组成员。（投标时需提供相关证明材料，中标后签订合同前需加盖厂商公章）</w:t>
            </w:r>
          </w:p>
        </w:tc>
      </w:tr>
      <w:tr w14:paraId="3C7C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5" w:type="dxa"/>
            <w:vAlign w:val="center"/>
          </w:tcPr>
          <w:p w14:paraId="167BBDAD">
            <w:pPr>
              <w:jc w:val="center"/>
              <w:rPr>
                <w:rFonts w:hint="eastAsia" w:ascii="仿宋" w:hAnsi="仿宋" w:eastAsia="仿宋" w:cs="宋体"/>
                <w:color w:val="000000"/>
                <w:sz w:val="24"/>
              </w:rPr>
            </w:pPr>
            <w:r>
              <w:rPr>
                <w:rFonts w:hint="eastAsia" w:ascii="仿宋" w:hAnsi="仿宋" w:eastAsia="仿宋" w:cs="宋体"/>
                <w:color w:val="000000"/>
                <w:kern w:val="0"/>
                <w:sz w:val="24"/>
                <w:lang w:bidi="ar"/>
              </w:rPr>
              <w:t>★</w:t>
            </w:r>
            <w:r>
              <w:rPr>
                <w:rFonts w:hint="eastAsia" w:ascii="仿宋" w:hAnsi="仿宋" w:eastAsia="仿宋" w:cs="宋体"/>
                <w:color w:val="000000"/>
                <w:sz w:val="24"/>
              </w:rPr>
              <w:t>质保</w:t>
            </w:r>
          </w:p>
        </w:tc>
        <w:tc>
          <w:tcPr>
            <w:tcW w:w="7442" w:type="dxa"/>
          </w:tcPr>
          <w:p w14:paraId="2428637A">
            <w:pPr>
              <w:rPr>
                <w:rFonts w:hint="eastAsia" w:ascii="仿宋" w:hAnsi="仿宋" w:eastAsia="仿宋" w:cs="宋体"/>
                <w:color w:val="000000"/>
                <w:sz w:val="24"/>
                <w:lang w:val="zh-TW"/>
              </w:rPr>
            </w:pPr>
            <w:r>
              <w:rPr>
                <w:rFonts w:hint="eastAsia" w:ascii="仿宋" w:hAnsi="仿宋" w:eastAsia="仿宋"/>
                <w:sz w:val="24"/>
              </w:rPr>
              <w:t>三年原厂质保，三年软件版本升级，三年病毒库升级，</w:t>
            </w:r>
            <w:r>
              <w:rPr>
                <w:rFonts w:hint="eastAsia" w:ascii="仿宋" w:hAnsi="仿宋" w:eastAsia="仿宋" w:cs="宋体"/>
                <w:color w:val="000000"/>
                <w:sz w:val="24"/>
                <w:lang w:val="zh-TW"/>
              </w:rPr>
              <w:t>中标后签订合同前提供质保承诺函并加盖原厂公章。</w:t>
            </w:r>
          </w:p>
        </w:tc>
      </w:tr>
    </w:tbl>
    <w:p w14:paraId="2183C1E3">
      <w:pPr>
        <w:pStyle w:val="34"/>
        <w:spacing w:before="0" w:beforeAutospacing="0" w:after="0" w:afterAutospacing="0" w:line="360" w:lineRule="auto"/>
        <w:ind w:firstLine="560" w:firstLineChars="200"/>
        <w:jc w:val="both"/>
        <w:rPr>
          <w:rFonts w:hint="eastAsia" w:ascii="仿宋" w:hAnsi="仿宋" w:eastAsia="仿宋"/>
          <w:color w:val="000000" w:themeColor="text1"/>
          <w:kern w:val="2"/>
          <w:sz w:val="28"/>
          <w:szCs w:val="28"/>
        </w:rPr>
      </w:pPr>
      <w:r>
        <w:rPr>
          <w:rFonts w:hint="eastAsia" w:ascii="仿宋" w:hAnsi="仿宋" w:eastAsia="仿宋"/>
          <w:color w:val="000000" w:themeColor="text1"/>
          <w:kern w:val="2"/>
          <w:sz w:val="28"/>
          <w:szCs w:val="28"/>
        </w:rPr>
        <w:t>备注：</w:t>
      </w:r>
    </w:p>
    <w:p w14:paraId="56B1D8FC">
      <w:pPr>
        <w:widowControl/>
        <w:spacing w:line="360" w:lineRule="auto"/>
        <w:ind w:firstLine="560" w:firstLineChars="200"/>
        <w:jc w:val="left"/>
        <w:rPr>
          <w:rFonts w:hint="eastAsia" w:ascii="仿宋" w:hAnsi="仿宋" w:eastAsia="仿宋"/>
          <w:bCs/>
          <w:sz w:val="28"/>
          <w:szCs w:val="28"/>
        </w:rPr>
      </w:pPr>
      <w:r>
        <w:rPr>
          <w:rFonts w:hint="eastAsia" w:ascii="仿宋" w:hAnsi="仿宋" w:eastAsia="仿宋"/>
          <w:bCs/>
          <w:sz w:val="28"/>
          <w:szCs w:val="28"/>
        </w:rPr>
        <w:t>1、采购文件中要求提供的技术参数响应表、佐证材料的必须提供，否则视作负偏离。</w:t>
      </w:r>
      <w:r>
        <w:rPr>
          <w:rFonts w:hint="eastAsia" w:ascii="仿宋" w:hAnsi="仿宋" w:eastAsia="仿宋"/>
          <w:bCs/>
          <w:color w:val="000000" w:themeColor="text1"/>
          <w:sz w:val="28"/>
          <w:szCs w:val="28"/>
        </w:rPr>
        <w:t>中标后签订合同前，中标候选人必须提供以下资料：①投标文件中所投产品加盖原厂公章的技术参数响应表原件，并逐条一一应答；②招标参数中要求提供截图证明和相关认证证书等资料的，原厂商和中标候选人一起盖章后提交采购人确认。</w:t>
      </w:r>
    </w:p>
    <w:p w14:paraId="7FDE2C3C">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2</w:t>
      </w:r>
      <w:r>
        <w:rPr>
          <w:rFonts w:hint="eastAsia" w:ascii="仿宋" w:hAnsi="仿宋" w:eastAsia="仿宋"/>
          <w:bCs/>
          <w:color w:val="000000" w:themeColor="text1"/>
          <w:sz w:val="28"/>
          <w:szCs w:val="28"/>
        </w:rPr>
        <w:t>、中标候选人需在成交后</w:t>
      </w:r>
      <w:r>
        <w:rPr>
          <w:rFonts w:ascii="仿宋" w:hAnsi="仿宋" w:eastAsia="仿宋"/>
          <w:bCs/>
          <w:color w:val="000000" w:themeColor="text1"/>
          <w:sz w:val="28"/>
          <w:szCs w:val="28"/>
        </w:rPr>
        <w:t>7</w:t>
      </w:r>
      <w:r>
        <w:rPr>
          <w:rFonts w:hint="eastAsia" w:ascii="仿宋" w:hAnsi="仿宋" w:eastAsia="仿宋"/>
          <w:bCs/>
          <w:color w:val="000000" w:themeColor="text1"/>
          <w:sz w:val="28"/>
          <w:szCs w:val="28"/>
        </w:rPr>
        <w:t>个工作日内提供测试设备，对主要性能与必要功能进行测试，符合招标文件要求方可签订合同。</w:t>
      </w:r>
    </w:p>
    <w:p w14:paraId="09540132">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3</w:t>
      </w:r>
      <w:r>
        <w:rPr>
          <w:rFonts w:hint="eastAsia" w:ascii="仿宋" w:hAnsi="仿宋" w:eastAsia="仿宋"/>
          <w:bCs/>
          <w:color w:val="000000" w:themeColor="text1"/>
          <w:sz w:val="28"/>
          <w:szCs w:val="28"/>
        </w:rPr>
        <w:t>、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76BE9754">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4</w:t>
      </w:r>
      <w:r>
        <w:rPr>
          <w:rFonts w:hint="eastAsia" w:ascii="仿宋" w:hAnsi="仿宋" w:eastAsia="仿宋"/>
          <w:bCs/>
          <w:color w:val="000000" w:themeColor="text1"/>
          <w:sz w:val="28"/>
          <w:szCs w:val="28"/>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08C06C40">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5</w:t>
      </w:r>
      <w:r>
        <w:rPr>
          <w:rFonts w:hint="eastAsia" w:ascii="仿宋" w:hAnsi="仿宋" w:eastAsia="仿宋"/>
          <w:bCs/>
          <w:color w:val="000000" w:themeColor="text1"/>
          <w:sz w:val="28"/>
          <w:szCs w:val="28"/>
        </w:rPr>
        <w:t>、采购人要严格执行绿色采购需求标准，参照《商品包装政府采购需求标准（试行）》《快递包装政府采购需求标准（试行）》（财办库〔2020〕123号）、《绿色数据中心政府采购需求标准（试行）》（财库〔2023〕7号）。</w:t>
      </w:r>
    </w:p>
    <w:p w14:paraId="59059B1B">
      <w:pPr>
        <w:spacing w:line="360" w:lineRule="auto"/>
        <w:outlineLvl w:val="0"/>
        <w:rPr>
          <w:rFonts w:hint="eastAsia" w:ascii="仿宋" w:hAnsi="仿宋" w:eastAsia="仿宋" w:cs="仿宋"/>
          <w:b/>
          <w:bCs/>
          <w:color w:val="000000" w:themeColor="text1"/>
          <w:sz w:val="28"/>
          <w:szCs w:val="28"/>
        </w:rPr>
      </w:pPr>
      <w:bookmarkStart w:id="11" w:name="OLE_LINK3"/>
      <w:bookmarkStart w:id="12" w:name="_Toc13011"/>
      <w:bookmarkStart w:id="13" w:name="_Toc8509"/>
      <w:bookmarkStart w:id="14" w:name="_Toc11201"/>
      <w:bookmarkStart w:id="15" w:name="_Toc25207"/>
      <w:bookmarkStart w:id="16" w:name="_Toc12273"/>
      <w:r>
        <w:rPr>
          <w:rFonts w:hint="eastAsia" w:ascii="仿宋" w:hAnsi="仿宋" w:eastAsia="仿宋" w:cs="仿宋"/>
          <w:b/>
          <w:bCs/>
          <w:color w:val="000000" w:themeColor="text1"/>
          <w:sz w:val="28"/>
          <w:szCs w:val="28"/>
        </w:rPr>
        <w:t>（二）</w:t>
      </w:r>
      <w:bookmarkEnd w:id="11"/>
      <w:r>
        <w:rPr>
          <w:rFonts w:hint="eastAsia" w:ascii="仿宋" w:hAnsi="仿宋" w:eastAsia="仿宋" w:cs="仿宋"/>
          <w:b/>
          <w:bCs/>
          <w:color w:val="000000" w:themeColor="text1"/>
          <w:sz w:val="28"/>
          <w:szCs w:val="28"/>
        </w:rPr>
        <w:t>商务要求</w:t>
      </w:r>
      <w:bookmarkEnd w:id="12"/>
      <w:bookmarkEnd w:id="13"/>
      <w:bookmarkEnd w:id="14"/>
      <w:bookmarkEnd w:id="15"/>
      <w:bookmarkEnd w:id="16"/>
    </w:p>
    <w:p w14:paraId="471C3C11">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一、</w:t>
      </w:r>
      <w:r>
        <w:rPr>
          <w:rFonts w:hint="eastAsia" w:ascii="仿宋" w:hAnsi="仿宋" w:eastAsia="仿宋" w:cs="仿宋"/>
          <w:color w:val="000000" w:themeColor="text1"/>
          <w:sz w:val="28"/>
          <w:szCs w:val="28"/>
        </w:rPr>
        <w:t>采购标的需实现的功能或者目标，以及为落实政府采购政策需满足的要求；</w:t>
      </w:r>
    </w:p>
    <w:p w14:paraId="2139292D">
      <w:pPr>
        <w:spacing w:line="360" w:lineRule="auto"/>
        <w:ind w:firstLine="562" w:firstLineChars="200"/>
        <w:rPr>
          <w:rFonts w:hint="eastAsia" w:ascii="仿宋" w:hAnsi="仿宋" w:eastAsia="仿宋"/>
          <w:b/>
          <w:bCs/>
          <w:color w:val="000000" w:themeColor="text1"/>
          <w:sz w:val="28"/>
          <w:szCs w:val="28"/>
        </w:rPr>
      </w:pPr>
      <w:r>
        <w:rPr>
          <w:rFonts w:hint="eastAsia" w:ascii="仿宋" w:hAnsi="仿宋" w:eastAsia="仿宋"/>
          <w:b/>
          <w:bCs/>
          <w:color w:val="000000" w:themeColor="text1"/>
          <w:sz w:val="28"/>
          <w:szCs w:val="28"/>
        </w:rPr>
        <w:t>1、院内光钎线路升级改造</w:t>
      </w:r>
    </w:p>
    <w:p w14:paraId="28ED6463">
      <w:pPr>
        <w:spacing w:line="360" w:lineRule="auto"/>
        <w:ind w:firstLine="560" w:firstLineChars="200"/>
        <w:rPr>
          <w:rFonts w:hint="eastAsia" w:ascii="仿宋" w:hAnsi="仿宋" w:eastAsia="仿宋" w:cs="MS Gothic"/>
          <w:color w:val="000000" w:themeColor="text1"/>
          <w:sz w:val="28"/>
          <w:szCs w:val="28"/>
        </w:rPr>
      </w:pPr>
      <w:r>
        <w:rPr>
          <w:rFonts w:ascii="仿宋" w:hAnsi="仿宋" w:eastAsia="仿宋"/>
          <w:color w:val="000000" w:themeColor="text1"/>
          <w:sz w:val="28"/>
          <w:szCs w:val="28"/>
        </w:rPr>
        <w:t>医院当前中心机房位于门诊楼三楼，肺科病房楼、后勤供应楼、精神科病房楼、综合病房楼均通过一根四芯单模光缆汇聚至中心机房。而医院网络涵盖卫生专网、外网</w:t>
      </w:r>
      <w:r>
        <w:rPr>
          <w:rFonts w:hint="eastAsia" w:ascii="仿宋" w:hAnsi="仿宋" w:eastAsia="仿宋"/>
          <w:color w:val="000000" w:themeColor="text1"/>
          <w:sz w:val="28"/>
          <w:szCs w:val="28"/>
        </w:rPr>
        <w:t>、</w:t>
      </w:r>
      <w:r>
        <w:rPr>
          <w:rFonts w:ascii="仿宋" w:hAnsi="仿宋" w:eastAsia="仿宋"/>
          <w:color w:val="000000" w:themeColor="text1"/>
          <w:sz w:val="28"/>
          <w:szCs w:val="28"/>
        </w:rPr>
        <w:t>监控网</w:t>
      </w:r>
      <w:r>
        <w:rPr>
          <w:rFonts w:ascii="仿宋" w:hAnsi="仿宋" w:eastAsia="仿宋"/>
          <w:color w:val="FF0000"/>
          <w:sz w:val="28"/>
          <w:szCs w:val="28"/>
        </w:rPr>
        <w:t>和</w:t>
      </w:r>
      <w:r>
        <w:rPr>
          <w:rFonts w:hint="eastAsia" w:ascii="仿宋" w:hAnsi="仿宋" w:eastAsia="仿宋"/>
          <w:color w:val="FF0000"/>
          <w:sz w:val="28"/>
          <w:szCs w:val="28"/>
        </w:rPr>
        <w:t>有线电话线路</w:t>
      </w:r>
      <w:r>
        <w:rPr>
          <w:rFonts w:ascii="仿宋" w:hAnsi="仿宋" w:eastAsia="仿宋"/>
          <w:color w:val="000000" w:themeColor="text1"/>
          <w:sz w:val="28"/>
          <w:szCs w:val="28"/>
        </w:rPr>
        <w:t>，现有楼宇间四芯光缆已无法承载业务需求，</w:t>
      </w:r>
      <w:r>
        <w:rPr>
          <w:rFonts w:hint="eastAsia" w:ascii="仿宋" w:hAnsi="仿宋" w:eastAsia="仿宋"/>
          <w:color w:val="000000" w:themeColor="text1"/>
          <w:sz w:val="28"/>
          <w:szCs w:val="28"/>
        </w:rPr>
        <w:t>且</w:t>
      </w:r>
      <w:r>
        <w:rPr>
          <w:rFonts w:ascii="仿宋" w:hAnsi="仿宋" w:eastAsia="仿宋"/>
          <w:color w:val="000000" w:themeColor="text1"/>
          <w:sz w:val="28"/>
          <w:szCs w:val="28"/>
        </w:rPr>
        <w:t>存在带宽瓶颈。</w:t>
      </w:r>
      <w:r>
        <w:rPr>
          <w:rFonts w:hint="eastAsia" w:ascii="MS Gothic" w:hAnsi="MS Gothic" w:eastAsia="MS Gothic" w:cs="MS Gothic"/>
          <w:color w:val="000000" w:themeColor="text1"/>
          <w:sz w:val="28"/>
          <w:szCs w:val="28"/>
        </w:rPr>
        <w:t>​</w:t>
      </w:r>
    </w:p>
    <w:p w14:paraId="3630F6EB">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新综合大楼计划于八月份投入使用，其配备专业机房和设备。从长远规划和资源整合角度出发，亟需将新综合大楼作为中心机房，统一汇聚各大楼光纤主干，以构建更高效的网络架构。</w:t>
      </w:r>
      <w:r>
        <w:rPr>
          <w:rFonts w:hint="eastAsia" w:ascii="MS Gothic" w:hAnsi="MS Gothic" w:eastAsia="MS Gothic" w:cs="MS Gothic"/>
          <w:color w:val="000000" w:themeColor="text1"/>
          <w:sz w:val="28"/>
          <w:szCs w:val="28"/>
        </w:rPr>
        <w:t>​</w:t>
      </w:r>
    </w:p>
    <w:p w14:paraId="0F7D5DC1">
      <w:pPr>
        <w:spacing w:line="360" w:lineRule="auto"/>
        <w:ind w:firstLine="560" w:firstLineChars="200"/>
        <w:rPr>
          <w:rFonts w:hint="eastAsia" w:ascii="仿宋" w:hAnsi="仿宋" w:eastAsia="仿宋" w:cs="MS Gothic"/>
          <w:color w:val="000000" w:themeColor="text1"/>
          <w:sz w:val="28"/>
          <w:szCs w:val="28"/>
        </w:rPr>
      </w:pPr>
      <w:r>
        <w:rPr>
          <w:rFonts w:hint="eastAsia" w:ascii="仿宋" w:hAnsi="仿宋" w:eastAsia="仿宋"/>
          <w:color w:val="000000" w:themeColor="text1"/>
          <w:sz w:val="28"/>
          <w:szCs w:val="28"/>
        </w:rPr>
        <w:t>项目计划</w:t>
      </w:r>
      <w:r>
        <w:rPr>
          <w:rFonts w:ascii="仿宋" w:hAnsi="仿宋" w:eastAsia="仿宋"/>
          <w:color w:val="000000" w:themeColor="text1"/>
          <w:sz w:val="28"/>
          <w:szCs w:val="28"/>
        </w:rPr>
        <w:t>将各大楼光缆统一汇聚至新大楼机房（作为医院新中心机房），在新大楼中心机房与门诊楼、肺科病房楼、后勤供应楼、精神科病房楼和综合病房楼之间，敷设24芯单模光缆，提升光纤链路承载能力和可靠性。</w:t>
      </w:r>
      <w:r>
        <w:rPr>
          <w:rFonts w:hint="eastAsia" w:ascii="MS Gothic" w:hAnsi="MS Gothic" w:eastAsia="MS Gothic" w:cs="MS Gothic"/>
          <w:color w:val="000000" w:themeColor="text1"/>
          <w:sz w:val="28"/>
          <w:szCs w:val="28"/>
        </w:rPr>
        <w:t>​</w:t>
      </w:r>
    </w:p>
    <w:p w14:paraId="57827A6C">
      <w:pPr>
        <w:spacing w:line="360" w:lineRule="auto"/>
        <w:ind w:firstLine="560" w:firstLineChars="200"/>
        <w:rPr>
          <w:rFonts w:hint="eastAsia" w:ascii="仿宋" w:hAnsi="仿宋" w:eastAsia="仿宋" w:cs="MS Gothic"/>
          <w:color w:val="000000" w:themeColor="text1"/>
          <w:sz w:val="28"/>
          <w:szCs w:val="28"/>
        </w:rPr>
      </w:pPr>
      <w:r>
        <w:rPr>
          <w:rFonts w:hint="eastAsia" w:ascii="仿宋" w:hAnsi="仿宋" w:eastAsia="仿宋" w:cs="MS Gothic"/>
          <w:color w:val="000000" w:themeColor="text1"/>
          <w:sz w:val="28"/>
          <w:szCs w:val="28"/>
        </w:rPr>
        <w:t>本次项目的中标供应商需根据项目清单中提供的设备和材料，完成光纤敷设、光纤熔接以及开槽、破路及混凝土开槽回补，光纤敷设全程需套管敷设，楼内需保证隐蔽施工，出户需通过开挖至围墙走线，开挖深度不低于40CM，敷设完后需进行回补，距离约100米。项目中管路施工，包含吊顶内、室外、地面施工，楼内需保证隐蔽施工，施工后需恢复原样，项目实施过程中所需的所有辅材及人工均由中标供应商负责提供和承担。</w:t>
      </w:r>
    </w:p>
    <w:p w14:paraId="439F5BBF">
      <w:pPr>
        <w:spacing w:line="360" w:lineRule="auto"/>
        <w:ind w:firstLine="562" w:firstLineChars="200"/>
        <w:rPr>
          <w:rFonts w:hint="eastAsia" w:ascii="仿宋" w:hAnsi="仿宋" w:eastAsia="仿宋"/>
          <w:b/>
          <w:bCs/>
          <w:color w:val="000000" w:themeColor="text1"/>
          <w:sz w:val="28"/>
          <w:szCs w:val="28"/>
        </w:rPr>
      </w:pPr>
      <w:r>
        <w:rPr>
          <w:rFonts w:ascii="仿宋" w:hAnsi="仿宋" w:eastAsia="仿宋"/>
          <w:b/>
          <w:bCs/>
          <w:color w:val="000000" w:themeColor="text1"/>
          <w:sz w:val="28"/>
          <w:szCs w:val="28"/>
        </w:rPr>
        <w:t>2</w:t>
      </w:r>
      <w:r>
        <w:rPr>
          <w:rFonts w:hint="eastAsia" w:ascii="仿宋" w:hAnsi="仿宋" w:eastAsia="仿宋"/>
          <w:b/>
          <w:bCs/>
          <w:color w:val="000000" w:themeColor="text1"/>
          <w:sz w:val="28"/>
          <w:szCs w:val="28"/>
        </w:rPr>
        <w:t>、职工食堂网络设施完善</w:t>
      </w:r>
    </w:p>
    <w:p w14:paraId="538F9869">
      <w:pPr>
        <w:spacing w:line="360" w:lineRule="auto"/>
        <w:ind w:firstLine="560" w:firstLineChars="200"/>
        <w:rPr>
          <w:rFonts w:hint="eastAsia" w:ascii="仿宋" w:hAnsi="仿宋" w:eastAsia="仿宋" w:cs="MS Gothic"/>
          <w:color w:val="000000" w:themeColor="text1"/>
          <w:sz w:val="28"/>
          <w:szCs w:val="28"/>
        </w:rPr>
      </w:pPr>
      <w:r>
        <w:rPr>
          <w:rFonts w:ascii="仿宋" w:hAnsi="仿宋" w:eastAsia="仿宋"/>
          <w:color w:val="000000" w:themeColor="text1"/>
          <w:sz w:val="28"/>
          <w:szCs w:val="28"/>
        </w:rPr>
        <w:t>职工食堂售饭系统目前单机运行，为实现智能化管理和数据共享，计划后期调整为网络版，但当前缺少必要的网络基础设施支撑。</w:t>
      </w:r>
      <w:r>
        <w:rPr>
          <w:rFonts w:hint="eastAsia" w:ascii="MS Gothic" w:hAnsi="MS Gothic" w:eastAsia="MS Gothic" w:cs="MS Gothic"/>
          <w:color w:val="000000" w:themeColor="text1"/>
          <w:sz w:val="28"/>
          <w:szCs w:val="28"/>
        </w:rPr>
        <w:t>​</w:t>
      </w:r>
    </w:p>
    <w:p w14:paraId="46D6CECF">
      <w:pPr>
        <w:spacing w:line="360" w:lineRule="auto"/>
        <w:ind w:firstLine="560" w:firstLineChars="200"/>
        <w:rPr>
          <w:rFonts w:hint="eastAsia" w:ascii="仿宋" w:hAnsi="仿宋" w:eastAsia="仿宋" w:cs="MS Gothic"/>
          <w:color w:val="000000" w:themeColor="text1"/>
          <w:sz w:val="28"/>
          <w:szCs w:val="28"/>
        </w:rPr>
      </w:pPr>
      <w:r>
        <w:rPr>
          <w:rFonts w:ascii="仿宋" w:hAnsi="仿宋" w:eastAsia="仿宋"/>
          <w:color w:val="000000" w:themeColor="text1"/>
          <w:sz w:val="28"/>
          <w:szCs w:val="28"/>
        </w:rPr>
        <w:t>为职工食堂新增四</w:t>
      </w:r>
      <w:r>
        <w:rPr>
          <w:rFonts w:hint="eastAsia" w:ascii="仿宋" w:hAnsi="仿宋" w:eastAsia="仿宋"/>
          <w:color w:val="000000" w:themeColor="text1"/>
          <w:sz w:val="28"/>
          <w:szCs w:val="28"/>
        </w:rPr>
        <w:t>根</w:t>
      </w:r>
      <w:r>
        <w:rPr>
          <w:rFonts w:ascii="仿宋" w:hAnsi="仿宋" w:eastAsia="仿宋"/>
          <w:color w:val="000000" w:themeColor="text1"/>
          <w:sz w:val="28"/>
          <w:szCs w:val="28"/>
        </w:rPr>
        <w:t>有线网络线路，接入医院设备网，实现食堂售饭系统与医院信息中心的数据互联互通，</w:t>
      </w:r>
      <w:r>
        <w:rPr>
          <w:rFonts w:hint="eastAsia" w:ascii="仿宋" w:hAnsi="仿宋" w:eastAsia="仿宋"/>
          <w:color w:val="000000" w:themeColor="text1"/>
          <w:sz w:val="28"/>
          <w:szCs w:val="28"/>
        </w:rPr>
        <w:t>为</w:t>
      </w:r>
      <w:r>
        <w:rPr>
          <w:rFonts w:ascii="仿宋" w:hAnsi="仿宋" w:eastAsia="仿宋"/>
          <w:color w:val="000000" w:themeColor="text1"/>
          <w:sz w:val="28"/>
          <w:szCs w:val="28"/>
        </w:rPr>
        <w:t>售饭系统向网络版升级</w:t>
      </w:r>
      <w:r>
        <w:rPr>
          <w:rFonts w:hint="eastAsia" w:ascii="仿宋" w:hAnsi="仿宋" w:eastAsia="仿宋"/>
          <w:color w:val="000000" w:themeColor="text1"/>
          <w:sz w:val="28"/>
          <w:szCs w:val="28"/>
        </w:rPr>
        <w:t>作准备</w:t>
      </w:r>
      <w:r>
        <w:rPr>
          <w:rFonts w:ascii="仿宋" w:hAnsi="仿宋" w:eastAsia="仿宋"/>
          <w:color w:val="000000" w:themeColor="text1"/>
          <w:sz w:val="28"/>
          <w:szCs w:val="28"/>
        </w:rPr>
        <w:t>，提升食堂运营管理效率。</w:t>
      </w:r>
      <w:r>
        <w:rPr>
          <w:rFonts w:hint="eastAsia" w:ascii="MS Gothic" w:hAnsi="MS Gothic" w:eastAsia="MS Gothic" w:cs="MS Gothic"/>
          <w:color w:val="000000" w:themeColor="text1"/>
          <w:sz w:val="28"/>
          <w:szCs w:val="28"/>
        </w:rPr>
        <w:t>​</w:t>
      </w:r>
    </w:p>
    <w:p w14:paraId="39C8ACCC">
      <w:pPr>
        <w:spacing w:line="360" w:lineRule="auto"/>
        <w:ind w:firstLine="560" w:firstLineChars="200"/>
        <w:rPr>
          <w:rFonts w:hint="eastAsia" w:ascii="仿宋" w:hAnsi="仿宋" w:eastAsia="仿宋" w:cs="MS Gothic"/>
          <w:color w:val="000000" w:themeColor="text1"/>
          <w:sz w:val="28"/>
          <w:szCs w:val="28"/>
        </w:rPr>
      </w:pPr>
      <w:r>
        <w:rPr>
          <w:rFonts w:hint="eastAsia" w:ascii="仿宋" w:hAnsi="仿宋" w:eastAsia="仿宋" w:cs="MS Gothic"/>
          <w:color w:val="000000" w:themeColor="text1"/>
          <w:sz w:val="28"/>
          <w:szCs w:val="28"/>
        </w:rPr>
        <w:t>本次项目的中标供应商需根据项目清单中提供的设备和线材，完成食堂区域线路的敷设工作，网络线敷设需全程套管隐蔽施工，项目实施过程中所需的相关辅材及人工均由中标供应商负责提供。</w:t>
      </w:r>
    </w:p>
    <w:p w14:paraId="6299E087">
      <w:pPr>
        <w:spacing w:line="360" w:lineRule="auto"/>
        <w:ind w:firstLine="562" w:firstLineChars="200"/>
        <w:rPr>
          <w:rFonts w:hint="eastAsia" w:ascii="仿宋" w:hAnsi="仿宋" w:eastAsia="仿宋"/>
          <w:color w:val="000000" w:themeColor="text1"/>
          <w:sz w:val="28"/>
          <w:szCs w:val="28"/>
        </w:rPr>
      </w:pPr>
      <w:r>
        <w:rPr>
          <w:rFonts w:ascii="仿宋" w:hAnsi="仿宋" w:eastAsia="仿宋"/>
          <w:b/>
          <w:bCs/>
          <w:color w:val="000000" w:themeColor="text1"/>
          <w:sz w:val="28"/>
          <w:szCs w:val="28"/>
        </w:rPr>
        <w:t>3</w:t>
      </w:r>
      <w:r>
        <w:rPr>
          <w:rFonts w:hint="eastAsia" w:ascii="仿宋" w:hAnsi="仿宋" w:eastAsia="仿宋"/>
          <w:b/>
          <w:bCs/>
          <w:color w:val="000000" w:themeColor="text1"/>
          <w:sz w:val="28"/>
          <w:szCs w:val="28"/>
        </w:rPr>
        <w:t>、无线网络全覆盖拓展</w:t>
      </w:r>
    </w:p>
    <w:p w14:paraId="444793C1">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新大楼已规划部署无线控制器和无线AP等无线网络设备，但精神科病房楼、综合病房楼目前缺乏无线设施，难以满足医护人员</w:t>
      </w:r>
      <w:r>
        <w:rPr>
          <w:rFonts w:hint="eastAsia" w:ascii="仿宋" w:hAnsi="仿宋" w:eastAsia="仿宋"/>
          <w:color w:val="000000" w:themeColor="text1"/>
          <w:sz w:val="28"/>
          <w:szCs w:val="28"/>
        </w:rPr>
        <w:t>移动</w:t>
      </w:r>
      <w:r>
        <w:rPr>
          <w:rFonts w:ascii="仿宋" w:hAnsi="仿宋" w:eastAsia="仿宋"/>
          <w:color w:val="000000" w:themeColor="text1"/>
          <w:sz w:val="28"/>
          <w:szCs w:val="28"/>
        </w:rPr>
        <w:t>查房及</w:t>
      </w:r>
      <w:r>
        <w:rPr>
          <w:rFonts w:hint="eastAsia" w:ascii="仿宋" w:hAnsi="仿宋" w:eastAsia="仿宋"/>
          <w:color w:val="000000" w:themeColor="text1"/>
          <w:sz w:val="28"/>
          <w:szCs w:val="28"/>
        </w:rPr>
        <w:t>P</w:t>
      </w:r>
      <w:r>
        <w:rPr>
          <w:rFonts w:ascii="仿宋" w:hAnsi="仿宋" w:eastAsia="仿宋"/>
          <w:color w:val="000000" w:themeColor="text1"/>
          <w:sz w:val="28"/>
          <w:szCs w:val="28"/>
        </w:rPr>
        <w:t>DA扫码等多样化场景需求。</w:t>
      </w:r>
      <w:r>
        <w:rPr>
          <w:rFonts w:hint="eastAsia" w:ascii="MS Gothic" w:hAnsi="MS Gothic" w:eastAsia="MS Gothic" w:cs="MS Gothic"/>
          <w:color w:val="000000" w:themeColor="text1"/>
          <w:sz w:val="28"/>
          <w:szCs w:val="28"/>
        </w:rPr>
        <w:t>​</w:t>
      </w:r>
    </w:p>
    <w:p w14:paraId="08FC1E7F">
      <w:pPr>
        <w:spacing w:line="360" w:lineRule="auto"/>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针对精神科病房楼、综合病房楼，这两栋楼各四层，项目规划每层部署</w:t>
      </w:r>
      <w:r>
        <w:rPr>
          <w:rFonts w:ascii="仿宋" w:hAnsi="仿宋" w:eastAsia="仿宋"/>
          <w:color w:val="000000" w:themeColor="text1"/>
          <w:sz w:val="28"/>
          <w:szCs w:val="28"/>
        </w:rPr>
        <w:t>4个AP，每栋楼共部署16</w:t>
      </w:r>
      <w:r>
        <w:rPr>
          <w:rFonts w:hint="eastAsia" w:ascii="仿宋" w:hAnsi="仿宋" w:eastAsia="仿宋"/>
          <w:color w:val="000000" w:themeColor="text1"/>
          <w:sz w:val="28"/>
          <w:szCs w:val="28"/>
        </w:rPr>
        <w:t>台</w:t>
      </w:r>
      <w:r>
        <w:rPr>
          <w:rFonts w:ascii="仿宋" w:hAnsi="仿宋" w:eastAsia="仿宋"/>
          <w:color w:val="000000" w:themeColor="text1"/>
          <w:sz w:val="28"/>
          <w:szCs w:val="28"/>
        </w:rPr>
        <w:t>AP。同时，各病房楼部署24口PoE交换机为AP供电，</w:t>
      </w:r>
      <w:r>
        <w:rPr>
          <w:rFonts w:hint="eastAsia" w:ascii="仿宋" w:hAnsi="仿宋" w:eastAsia="仿宋"/>
          <w:color w:val="000000" w:themeColor="text1"/>
          <w:sz w:val="28"/>
          <w:szCs w:val="28"/>
        </w:rPr>
        <w:t>每台</w:t>
      </w:r>
      <w:r>
        <w:rPr>
          <w:rFonts w:ascii="仿宋" w:hAnsi="仿宋" w:eastAsia="仿宋"/>
          <w:color w:val="000000" w:themeColor="text1"/>
          <w:sz w:val="28"/>
          <w:szCs w:val="28"/>
        </w:rPr>
        <w:t>PoE交换机配备两个万兆光口，分别连接新大楼中心机房核心交换机，并运用链路聚合技术，在提升一倍主干带宽的同时，增强光纤链路冗余性，实现无线网络的全面覆盖，满足移动和智能</w:t>
      </w:r>
      <w:r>
        <w:rPr>
          <w:rFonts w:hint="eastAsia" w:ascii="仿宋" w:hAnsi="仿宋" w:eastAsia="仿宋"/>
          <w:color w:val="000000" w:themeColor="text1"/>
          <w:sz w:val="28"/>
          <w:szCs w:val="28"/>
        </w:rPr>
        <w:t>医疗</w:t>
      </w:r>
      <w:r>
        <w:rPr>
          <w:rFonts w:ascii="仿宋" w:hAnsi="仿宋" w:eastAsia="仿宋"/>
          <w:color w:val="000000" w:themeColor="text1"/>
          <w:sz w:val="28"/>
          <w:szCs w:val="28"/>
        </w:rPr>
        <w:t>服务需求。</w:t>
      </w:r>
    </w:p>
    <w:p w14:paraId="4B2A9746">
      <w:pPr>
        <w:spacing w:line="360" w:lineRule="auto"/>
        <w:ind w:firstLine="560" w:firstLineChars="200"/>
        <w:rPr>
          <w:rFonts w:hint="eastAsia" w:ascii="仿宋" w:hAnsi="仿宋" w:eastAsia="仿宋" w:cs="MS Gothic"/>
          <w:color w:val="000000" w:themeColor="text1"/>
          <w:sz w:val="28"/>
          <w:szCs w:val="28"/>
        </w:rPr>
      </w:pPr>
      <w:r>
        <w:rPr>
          <w:rFonts w:ascii="仿宋" w:hAnsi="仿宋" w:eastAsia="仿宋"/>
          <w:color w:val="000000" w:themeColor="text1"/>
          <w:sz w:val="28"/>
          <w:szCs w:val="28"/>
        </w:rPr>
        <w:t>本次项目中，无线AP设备及授权需与医院现有无线控制器完成注册对接，实现统一集中管理、配置策略的统一远程下发，确保无线接入网络的规范化与高效化运行。</w:t>
      </w:r>
      <w:r>
        <w:rPr>
          <w:rFonts w:hint="eastAsia" w:ascii="仿宋" w:hAnsi="仿宋" w:eastAsia="仿宋" w:cs="MS Gothic"/>
          <w:color w:val="000000" w:themeColor="text1"/>
          <w:sz w:val="28"/>
          <w:szCs w:val="28"/>
        </w:rPr>
        <w:t>中标供应商需根据项目清单中所列的设备和线材，负责精神科病房楼与综合病房楼的无线网络布线、连线及安装调试工作，网络线敷设需全程套管隐蔽施工，项目实施过程中所需的相关辅材及人工均由中标供应商承担。</w:t>
      </w:r>
    </w:p>
    <w:p w14:paraId="3BFA278E">
      <w:pPr>
        <w:spacing w:line="360" w:lineRule="auto"/>
        <w:ind w:firstLine="562" w:firstLineChars="200"/>
        <w:rPr>
          <w:rFonts w:hint="eastAsia" w:ascii="仿宋" w:hAnsi="仿宋" w:eastAsia="仿宋"/>
          <w:b/>
          <w:bCs/>
          <w:color w:val="000000" w:themeColor="text1"/>
          <w:sz w:val="28"/>
          <w:szCs w:val="28"/>
        </w:rPr>
      </w:pPr>
      <w:r>
        <w:rPr>
          <w:rFonts w:ascii="仿宋" w:hAnsi="仿宋" w:eastAsia="仿宋"/>
          <w:b/>
          <w:bCs/>
          <w:color w:val="000000" w:themeColor="text1"/>
          <w:sz w:val="28"/>
          <w:szCs w:val="28"/>
        </w:rPr>
        <w:t>4</w:t>
      </w:r>
      <w:r>
        <w:rPr>
          <w:rFonts w:hint="eastAsia" w:ascii="仿宋" w:hAnsi="仿宋" w:eastAsia="仿宋"/>
          <w:b/>
          <w:bCs/>
          <w:color w:val="000000" w:themeColor="text1"/>
          <w:sz w:val="28"/>
          <w:szCs w:val="28"/>
        </w:rPr>
        <w:t>、接入交换机升级及更新替换</w:t>
      </w:r>
    </w:p>
    <w:p w14:paraId="06CC453C">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医院大楼</w:t>
      </w:r>
      <w:r>
        <w:rPr>
          <w:rFonts w:hint="eastAsia" w:ascii="仿宋" w:hAnsi="仿宋" w:eastAsia="仿宋"/>
          <w:color w:val="000000" w:themeColor="text1"/>
          <w:sz w:val="28"/>
          <w:szCs w:val="28"/>
        </w:rPr>
        <w:t>原有</w:t>
      </w:r>
      <w:r>
        <w:rPr>
          <w:rFonts w:ascii="仿宋" w:hAnsi="仿宋" w:eastAsia="仿宋"/>
          <w:color w:val="000000" w:themeColor="text1"/>
          <w:sz w:val="28"/>
          <w:szCs w:val="28"/>
        </w:rPr>
        <w:t>汇聚、接入交换机自2012年投入使用，均为非智能的交换机，无法实现精细化设备管理。且设备已超期服役，因老化导致宕机进而造成医疗业务中断的风险日益凸显。</w:t>
      </w:r>
      <w:r>
        <w:rPr>
          <w:rFonts w:hint="eastAsia" w:ascii="MS Gothic" w:hAnsi="MS Gothic" w:eastAsia="MS Gothic" w:cs="MS Gothic"/>
          <w:color w:val="000000" w:themeColor="text1"/>
          <w:sz w:val="28"/>
          <w:szCs w:val="28"/>
        </w:rPr>
        <w:t>​</w:t>
      </w:r>
    </w:p>
    <w:p w14:paraId="6588CFAF">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鉴于现有楼层交换机超期服役且功能单一，</w:t>
      </w:r>
      <w:r>
        <w:rPr>
          <w:rFonts w:hint="eastAsia" w:ascii="仿宋" w:hAnsi="仿宋" w:eastAsia="仿宋"/>
          <w:color w:val="000000" w:themeColor="text1"/>
          <w:sz w:val="28"/>
          <w:szCs w:val="28"/>
        </w:rPr>
        <w:t>项目计划采用</w:t>
      </w:r>
      <w:r>
        <w:rPr>
          <w:rFonts w:ascii="仿宋" w:hAnsi="仿宋" w:eastAsia="仿宋"/>
          <w:color w:val="000000" w:themeColor="text1"/>
          <w:sz w:val="28"/>
          <w:szCs w:val="28"/>
        </w:rPr>
        <w:t>可网管交换机替换现有设备。</w:t>
      </w:r>
      <w:r>
        <w:rPr>
          <w:rFonts w:hint="eastAsia" w:ascii="仿宋" w:hAnsi="仿宋" w:eastAsia="仿宋"/>
          <w:color w:val="000000" w:themeColor="text1"/>
          <w:sz w:val="28"/>
          <w:szCs w:val="28"/>
        </w:rPr>
        <w:t>项目中配备六台接入交换机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，每台交换机配备4块同品牌的万兆光模块-SFP+-单模模块-(1310nm,10km,LC)和4对3米LC-LC单模光纤跳线。分别部署在</w:t>
      </w:r>
      <w:r>
        <w:rPr>
          <w:rFonts w:ascii="仿宋" w:hAnsi="仿宋" w:eastAsia="仿宋"/>
          <w:color w:val="000000" w:themeColor="text1"/>
          <w:sz w:val="28"/>
          <w:szCs w:val="28"/>
        </w:rPr>
        <w:t>门诊楼三楼，肺科病房楼、后勤供应楼、精神科病房楼、综合病房楼</w:t>
      </w:r>
      <w:r>
        <w:rPr>
          <w:rFonts w:hint="eastAsia" w:ascii="仿宋" w:hAnsi="仿宋" w:eastAsia="仿宋"/>
          <w:color w:val="000000" w:themeColor="text1"/>
          <w:sz w:val="28"/>
          <w:szCs w:val="28"/>
        </w:rPr>
        <w:t>和预防接种门诊，</w:t>
      </w:r>
      <w:r>
        <w:rPr>
          <w:rFonts w:ascii="仿宋" w:hAnsi="仿宋" w:eastAsia="仿宋"/>
          <w:color w:val="000000" w:themeColor="text1"/>
          <w:sz w:val="28"/>
          <w:szCs w:val="28"/>
        </w:rPr>
        <w:t>交换机配备两个万兆光口，分别连接新大楼中心机房核心交换机，并运用链路聚合技术，在提升一倍主干带宽的同时，增强光纤链路冗余性，保障网络稳定运行。</w:t>
      </w:r>
    </w:p>
    <w:p w14:paraId="4C9451F4">
      <w:pPr>
        <w:spacing w:line="360" w:lineRule="auto"/>
        <w:ind w:firstLine="560" w:firstLineChars="200"/>
        <w:rPr>
          <w:rFonts w:hint="eastAsia" w:ascii="仿宋" w:hAnsi="仿宋" w:eastAsia="仿宋" w:cs="MS Gothic"/>
          <w:color w:val="000000" w:themeColor="text1"/>
          <w:sz w:val="28"/>
          <w:szCs w:val="28"/>
        </w:rPr>
      </w:pPr>
      <w:r>
        <w:rPr>
          <w:rFonts w:hint="eastAsia" w:ascii="仿宋" w:hAnsi="仿宋" w:eastAsia="仿宋" w:cs="MS Gothic"/>
          <w:color w:val="000000" w:themeColor="text1"/>
          <w:sz w:val="28"/>
          <w:szCs w:val="28"/>
        </w:rPr>
        <w:t>本次项目的中标供应商需根据项目清单中所列的设备和线材，负责交换机的连线及安装调试工作，实现医疗业务高效、稳定运行。</w:t>
      </w:r>
    </w:p>
    <w:p w14:paraId="7118CE43">
      <w:pPr>
        <w:spacing w:line="360" w:lineRule="auto"/>
        <w:ind w:firstLine="562" w:firstLineChars="200"/>
        <w:rPr>
          <w:rFonts w:hint="eastAsia" w:ascii="仿宋" w:hAnsi="仿宋" w:eastAsia="仿宋"/>
          <w:b/>
          <w:bCs/>
          <w:color w:val="000000" w:themeColor="text1"/>
          <w:sz w:val="28"/>
          <w:szCs w:val="28"/>
        </w:rPr>
      </w:pPr>
      <w:r>
        <w:rPr>
          <w:rFonts w:ascii="仿宋" w:hAnsi="仿宋" w:eastAsia="仿宋"/>
          <w:b/>
          <w:bCs/>
          <w:color w:val="000000" w:themeColor="text1"/>
          <w:sz w:val="28"/>
          <w:szCs w:val="28"/>
        </w:rPr>
        <w:t>5</w:t>
      </w:r>
      <w:r>
        <w:rPr>
          <w:rFonts w:hint="eastAsia" w:ascii="仿宋" w:hAnsi="仿宋" w:eastAsia="仿宋"/>
          <w:b/>
          <w:bCs/>
          <w:color w:val="000000" w:themeColor="text1"/>
          <w:sz w:val="28"/>
          <w:szCs w:val="28"/>
        </w:rPr>
        <w:t>、</w:t>
      </w:r>
      <w:r>
        <w:rPr>
          <w:rFonts w:ascii="仿宋" w:hAnsi="仿宋" w:eastAsia="仿宋"/>
          <w:b/>
          <w:bCs/>
          <w:color w:val="000000" w:themeColor="text1"/>
          <w:sz w:val="28"/>
          <w:szCs w:val="28"/>
        </w:rPr>
        <w:t>强化网络安全防护</w:t>
      </w:r>
    </w:p>
    <w:p w14:paraId="5FADCB43">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卫生专网缺乏统一的病毒防护机制，面对网络安全威胁时处于被动局面，安全事件处理难度大、效率低。</w:t>
      </w:r>
      <w:r>
        <w:rPr>
          <w:rFonts w:hint="eastAsia" w:ascii="MS Gothic" w:hAnsi="MS Gothic" w:eastAsia="MS Gothic" w:cs="MS Gothic"/>
          <w:color w:val="000000" w:themeColor="text1"/>
          <w:sz w:val="28"/>
          <w:szCs w:val="28"/>
        </w:rPr>
        <w:t>​</w:t>
      </w:r>
    </w:p>
    <w:p w14:paraId="295BAAF9">
      <w:pPr>
        <w:spacing w:line="360" w:lineRule="auto"/>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项目</w:t>
      </w:r>
      <w:r>
        <w:rPr>
          <w:rFonts w:ascii="仿宋" w:hAnsi="仿宋" w:eastAsia="仿宋"/>
          <w:color w:val="000000" w:themeColor="text1"/>
          <w:sz w:val="28"/>
          <w:szCs w:val="28"/>
        </w:rPr>
        <w:t>在医院网络关键节点部署统一的病毒防护系统，构建多层次、全方位的网络安全防护体系，实现对病毒、恶意软件等威胁的实时监测与主动防御，保障外网和卫生专网安全。</w:t>
      </w:r>
      <w:r>
        <w:rPr>
          <w:rFonts w:hint="eastAsia" w:ascii="MS Gothic" w:hAnsi="MS Gothic" w:eastAsia="MS Gothic" w:cs="MS Gothic"/>
          <w:color w:val="000000" w:themeColor="text1"/>
          <w:sz w:val="28"/>
          <w:szCs w:val="28"/>
        </w:rPr>
        <w:t>​</w:t>
      </w:r>
    </w:p>
    <w:p w14:paraId="3CBADFEF">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本次项目的中标供应商需完成</w:t>
      </w:r>
      <w:r>
        <w:rPr>
          <w:rFonts w:hint="eastAsia" w:ascii="仿宋" w:hAnsi="仿宋" w:eastAsia="仿宋"/>
          <w:color w:val="000000" w:themeColor="text1"/>
          <w:sz w:val="28"/>
          <w:szCs w:val="28"/>
        </w:rPr>
        <w:t>零信任、</w:t>
      </w:r>
      <w:r>
        <w:rPr>
          <w:rFonts w:ascii="仿宋" w:hAnsi="仿宋" w:eastAsia="仿宋"/>
          <w:color w:val="000000" w:themeColor="text1"/>
          <w:sz w:val="28"/>
          <w:szCs w:val="28"/>
        </w:rPr>
        <w:t>病毒防护系统管理控制端</w:t>
      </w:r>
      <w:r>
        <w:rPr>
          <w:rFonts w:hint="eastAsia" w:ascii="仿宋" w:hAnsi="仿宋" w:eastAsia="仿宋"/>
          <w:color w:val="000000" w:themeColor="text1"/>
          <w:sz w:val="28"/>
          <w:szCs w:val="28"/>
        </w:rPr>
        <w:t>及</w:t>
      </w:r>
      <w:r>
        <w:rPr>
          <w:rFonts w:ascii="仿宋" w:hAnsi="仿宋" w:eastAsia="仿宋"/>
          <w:color w:val="000000" w:themeColor="text1"/>
          <w:sz w:val="28"/>
          <w:szCs w:val="28"/>
        </w:rPr>
        <w:t>终端客户端软件的部署与</w:t>
      </w:r>
      <w:r>
        <w:rPr>
          <w:rFonts w:hint="eastAsia" w:ascii="仿宋" w:hAnsi="仿宋" w:eastAsia="仿宋"/>
          <w:color w:val="000000" w:themeColor="text1"/>
          <w:sz w:val="28"/>
          <w:szCs w:val="28"/>
        </w:rPr>
        <w:t>后期</w:t>
      </w:r>
      <w:r>
        <w:rPr>
          <w:rFonts w:ascii="仿宋" w:hAnsi="仿宋" w:eastAsia="仿宋"/>
          <w:color w:val="000000" w:themeColor="text1"/>
          <w:sz w:val="28"/>
          <w:szCs w:val="28"/>
        </w:rPr>
        <w:t>维护工作。</w:t>
      </w:r>
    </w:p>
    <w:p w14:paraId="682DA69E">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二、</w:t>
      </w:r>
      <w:r>
        <w:rPr>
          <w:rFonts w:hint="eastAsia" w:ascii="仿宋" w:hAnsi="仿宋" w:eastAsia="仿宋" w:cs="仿宋"/>
          <w:color w:val="000000" w:themeColor="text1"/>
          <w:sz w:val="28"/>
          <w:szCs w:val="28"/>
        </w:rPr>
        <w:t>采购标的需执行的国家相关标准、行业标准、地方标准或者其他标准、规范；</w:t>
      </w:r>
    </w:p>
    <w:p w14:paraId="3A5DF096">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《中华人民共和国网络安全法》</w:t>
      </w:r>
    </w:p>
    <w:p w14:paraId="40E387A1">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 40050-2021</w:t>
      </w:r>
      <w:r>
        <w:rPr>
          <w:rFonts w:hint="eastAsia" w:ascii="仿宋" w:hAnsi="仿宋" w:eastAsia="仿宋"/>
          <w:color w:val="000000" w:themeColor="text1"/>
          <w:sz w:val="28"/>
          <w:szCs w:val="28"/>
        </w:rPr>
        <w:t>《网络关键设备安全通用要求》</w:t>
      </w:r>
    </w:p>
    <w:p w14:paraId="73D6FCDC">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GB/T 22239-2019《信息安全技术 网络安全等级保护基本要求》</w:t>
      </w:r>
    </w:p>
    <w:p w14:paraId="19AF67CE">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GB/T 20270-2006《信息安全技术 网络基础安全技术要求》</w:t>
      </w:r>
    </w:p>
    <w:p w14:paraId="792E0241">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GB/T 20271-2006《信息安全技术 信息系统通用安全技术要求》</w:t>
      </w:r>
    </w:p>
    <w:p w14:paraId="75196F32">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 50311-2016《综合布线系统工程设计规范》</w:t>
      </w:r>
      <w:r>
        <w:rPr>
          <w:rFonts w:hint="eastAsia" w:ascii="MS Gothic" w:hAnsi="MS Gothic" w:eastAsia="MS Gothic" w:cs="MS Gothic"/>
          <w:color w:val="000000" w:themeColor="text1"/>
          <w:sz w:val="28"/>
          <w:szCs w:val="28"/>
        </w:rPr>
        <w:t>​</w:t>
      </w:r>
    </w:p>
    <w:p w14:paraId="6BCBCD78">
      <w:pPr>
        <w:spacing w:line="360" w:lineRule="auto"/>
        <w:ind w:firstLine="560" w:firstLineChars="200"/>
        <w:rPr>
          <w:rFonts w:hint="eastAsia" w:ascii="仿宋" w:hAnsi="仿宋" w:eastAsia="仿宋"/>
          <w:color w:val="000000" w:themeColor="text1"/>
          <w:sz w:val="28"/>
          <w:szCs w:val="28"/>
        </w:rPr>
      </w:pPr>
      <w:r>
        <w:rPr>
          <w:rFonts w:ascii="仿宋" w:hAnsi="仿宋" w:eastAsia="仿宋"/>
          <w:color w:val="000000" w:themeColor="text1"/>
          <w:sz w:val="28"/>
          <w:szCs w:val="28"/>
        </w:rPr>
        <w:t>GB 50312-2016《综合布线系统工程验收规范》</w:t>
      </w:r>
    </w:p>
    <w:p w14:paraId="04965BA0">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三、</w:t>
      </w:r>
      <w:r>
        <w:rPr>
          <w:rFonts w:hint="eastAsia" w:ascii="仿宋" w:hAnsi="仿宋" w:eastAsia="仿宋" w:cs="仿宋"/>
          <w:color w:val="000000" w:themeColor="text1"/>
          <w:sz w:val="28"/>
          <w:szCs w:val="28"/>
        </w:rPr>
        <w:t>采购标的需满足的质量、安全、技术规格、物理特性等要求；</w:t>
      </w:r>
    </w:p>
    <w:p w14:paraId="1745B350">
      <w:pPr>
        <w:spacing w:line="360" w:lineRule="auto"/>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无</w:t>
      </w:r>
    </w:p>
    <w:p w14:paraId="67FCC1A7">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四、</w:t>
      </w:r>
      <w:r>
        <w:rPr>
          <w:rFonts w:hint="eastAsia" w:ascii="仿宋" w:hAnsi="仿宋" w:eastAsia="仿宋" w:cs="仿宋"/>
          <w:color w:val="000000" w:themeColor="text1"/>
          <w:sz w:val="28"/>
          <w:szCs w:val="28"/>
        </w:rPr>
        <w:t>采购标的的数量、采购项目交付或者实施的时间和地点；</w:t>
      </w:r>
    </w:p>
    <w:p w14:paraId="669E0958">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1</w:t>
      </w:r>
      <w:r>
        <w:rPr>
          <w:rFonts w:hint="eastAsia" w:ascii="仿宋" w:hAnsi="仿宋" w:eastAsia="仿宋"/>
          <w:bCs/>
          <w:color w:val="000000" w:themeColor="text1"/>
          <w:sz w:val="28"/>
          <w:szCs w:val="28"/>
        </w:rPr>
        <w:t>）交货期：自合同签定之日起60天内完成设备的安装调试。</w:t>
      </w:r>
    </w:p>
    <w:p w14:paraId="57D96177">
      <w:pPr>
        <w:widowControl/>
        <w:spacing w:line="360" w:lineRule="auto"/>
        <w:ind w:firstLine="560" w:firstLineChars="200"/>
        <w:jc w:val="left"/>
        <w:rPr>
          <w:rFonts w:hint="eastAsia" w:ascii="仿宋" w:hAnsi="仿宋" w:eastAsia="仿宋"/>
          <w:bCs/>
          <w:color w:val="000000" w:themeColor="text1"/>
          <w:sz w:val="28"/>
          <w:szCs w:val="28"/>
        </w:rPr>
      </w:pPr>
      <w:r>
        <w:rPr>
          <w:rFonts w:ascii="仿宋" w:hAnsi="仿宋" w:eastAsia="仿宋"/>
          <w:bCs/>
          <w:color w:val="000000" w:themeColor="text1"/>
          <w:sz w:val="28"/>
          <w:szCs w:val="28"/>
        </w:rPr>
        <w:t>2</w:t>
      </w:r>
      <w:r>
        <w:rPr>
          <w:rFonts w:hint="eastAsia" w:ascii="仿宋" w:hAnsi="仿宋" w:eastAsia="仿宋"/>
          <w:bCs/>
          <w:color w:val="000000" w:themeColor="text1"/>
          <w:sz w:val="28"/>
          <w:szCs w:val="28"/>
        </w:rPr>
        <w:t>）交货要求：所有货品必须原包装进场，运送及安装到用户指定地点。</w:t>
      </w:r>
    </w:p>
    <w:p w14:paraId="497CECAB">
      <w:pPr>
        <w:widowControl/>
        <w:spacing w:line="360" w:lineRule="auto"/>
        <w:ind w:firstLine="560" w:firstLineChars="200"/>
        <w:jc w:val="left"/>
        <w:rPr>
          <w:rFonts w:hint="eastAsia" w:ascii="仿宋" w:hAnsi="仿宋" w:eastAsia="仿宋"/>
          <w:bCs/>
          <w:color w:val="000000" w:themeColor="text1"/>
          <w:sz w:val="28"/>
          <w:szCs w:val="28"/>
        </w:rPr>
      </w:pPr>
    </w:p>
    <w:p w14:paraId="58903F2D">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五、</w:t>
      </w:r>
      <w:r>
        <w:rPr>
          <w:rFonts w:hint="eastAsia" w:ascii="仿宋" w:hAnsi="仿宋" w:eastAsia="仿宋" w:cs="仿宋"/>
          <w:color w:val="000000" w:themeColor="text1"/>
          <w:sz w:val="28"/>
          <w:szCs w:val="28"/>
        </w:rPr>
        <w:t>采购标的需满足的服务标准、期限、效率等要求；</w:t>
      </w:r>
    </w:p>
    <w:p w14:paraId="30D48022">
      <w:pPr>
        <w:pStyle w:val="34"/>
        <w:spacing w:before="0" w:beforeAutospacing="0" w:after="0" w:afterAutospacing="0" w:line="400" w:lineRule="atLeast"/>
        <w:ind w:firstLine="560"/>
        <w:jc w:val="both"/>
        <w:rPr>
          <w:rFonts w:hint="eastAsia" w:ascii="仿宋" w:hAnsi="仿宋" w:eastAsia="仿宋"/>
          <w:color w:val="000000" w:themeColor="text1"/>
          <w:kern w:val="2"/>
          <w:sz w:val="28"/>
          <w:szCs w:val="28"/>
        </w:rPr>
      </w:pPr>
      <w:r>
        <w:rPr>
          <w:rFonts w:hint="eastAsia" w:ascii="仿宋" w:hAnsi="仿宋" w:eastAsia="仿宋"/>
          <w:color w:val="000000" w:themeColor="text1"/>
          <w:kern w:val="2"/>
          <w:sz w:val="28"/>
          <w:szCs w:val="28"/>
        </w:rPr>
        <w:t>本项目整体质保期三年，</w:t>
      </w:r>
      <w:r>
        <w:rPr>
          <w:rFonts w:hint="eastAsia" w:ascii="仿宋" w:hAnsi="仿宋" w:eastAsia="仿宋"/>
          <w:color w:val="FF0000"/>
          <w:kern w:val="2"/>
          <w:sz w:val="28"/>
          <w:szCs w:val="28"/>
        </w:rPr>
        <w:t>项目验收后对全院网络整体免费维护3年，</w:t>
      </w:r>
      <w:r>
        <w:rPr>
          <w:rFonts w:hint="eastAsia" w:ascii="仿宋" w:hAnsi="仿宋" w:eastAsia="仿宋"/>
          <w:color w:val="000000" w:themeColor="text1"/>
          <w:kern w:val="2"/>
          <w:sz w:val="28"/>
          <w:szCs w:val="28"/>
        </w:rPr>
        <w:t>免费送货、免费安装、免费培训，在保修期内免费维护维修及技术支持，保修期以外提供免费维护和技术支持，维修只收材料成本费。设备发生故障、</w:t>
      </w:r>
      <w:r>
        <w:rPr>
          <w:rFonts w:hint="eastAsia" w:ascii="仿宋" w:hAnsi="仿宋" w:eastAsia="仿宋"/>
          <w:color w:val="FF0000"/>
          <w:kern w:val="2"/>
          <w:sz w:val="28"/>
          <w:szCs w:val="28"/>
        </w:rPr>
        <w:t>网络运行故障时，</w:t>
      </w:r>
      <w:r>
        <w:rPr>
          <w:rFonts w:hint="eastAsia" w:ascii="仿宋" w:hAnsi="仿宋" w:eastAsia="仿宋"/>
          <w:color w:val="000000" w:themeColor="text1"/>
          <w:kern w:val="2"/>
          <w:sz w:val="28"/>
          <w:szCs w:val="28"/>
        </w:rPr>
        <w:t>接到用户通知</w:t>
      </w:r>
      <w:r>
        <w:rPr>
          <w:rFonts w:hint="eastAsia" w:ascii="仿宋" w:hAnsi="仿宋" w:eastAsia="仿宋"/>
          <w:color w:val="FF0000"/>
          <w:kern w:val="2"/>
          <w:sz w:val="28"/>
          <w:szCs w:val="28"/>
        </w:rPr>
        <w:t>1</w:t>
      </w:r>
      <w:r>
        <w:rPr>
          <w:rFonts w:hint="eastAsia" w:ascii="仿宋" w:hAnsi="仿宋" w:eastAsia="仿宋"/>
          <w:color w:val="000000" w:themeColor="text1"/>
          <w:kern w:val="2"/>
          <w:sz w:val="28"/>
          <w:szCs w:val="28"/>
        </w:rPr>
        <w:t>小时内上门，</w:t>
      </w:r>
      <w:r>
        <w:rPr>
          <w:rFonts w:hint="eastAsia" w:ascii="仿宋" w:hAnsi="仿宋" w:eastAsia="仿宋"/>
          <w:color w:val="FF0000"/>
          <w:kern w:val="2"/>
          <w:sz w:val="28"/>
          <w:szCs w:val="28"/>
        </w:rPr>
        <w:t>24</w:t>
      </w:r>
      <w:r>
        <w:rPr>
          <w:rFonts w:hint="eastAsia" w:ascii="仿宋" w:hAnsi="仿宋" w:eastAsia="仿宋"/>
          <w:color w:val="000000" w:themeColor="text1"/>
          <w:kern w:val="2"/>
          <w:sz w:val="28"/>
          <w:szCs w:val="28"/>
        </w:rPr>
        <w:t>小时内解决问题。</w:t>
      </w:r>
    </w:p>
    <w:p w14:paraId="63446992">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六、</w:t>
      </w:r>
      <w:r>
        <w:rPr>
          <w:rFonts w:hint="eastAsia" w:ascii="仿宋" w:hAnsi="仿宋" w:eastAsia="仿宋" w:cs="仿宋"/>
          <w:color w:val="000000" w:themeColor="text1"/>
          <w:sz w:val="28"/>
          <w:szCs w:val="28"/>
        </w:rPr>
        <w:t>采购标的的验收标准；</w:t>
      </w:r>
    </w:p>
    <w:p w14:paraId="52930258">
      <w:pPr>
        <w:spacing w:line="360" w:lineRule="auto"/>
        <w:ind w:firstLine="560"/>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采购单位按合同约定积极配合供应商履约，按合同约定及时组织相关专业技术人员，必要时邀请质检等部门共同参与验收，并出具验收报告，验收合格的作为支付款项的依据。</w:t>
      </w:r>
    </w:p>
    <w:p w14:paraId="6CCDD0EB">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七、</w:t>
      </w:r>
      <w:r>
        <w:rPr>
          <w:rFonts w:hint="eastAsia" w:ascii="仿宋" w:hAnsi="仿宋" w:eastAsia="仿宋" w:cs="仿宋"/>
          <w:color w:val="000000" w:themeColor="text1"/>
          <w:sz w:val="28"/>
          <w:szCs w:val="28"/>
        </w:rPr>
        <w:t>采购标的的其他技术、服务等要求；</w:t>
      </w:r>
    </w:p>
    <w:p w14:paraId="2ED4B73E">
      <w:pPr>
        <w:widowControl/>
        <w:spacing w:line="360" w:lineRule="auto"/>
        <w:ind w:firstLine="560" w:firstLineChars="200"/>
        <w:jc w:val="left"/>
        <w:rPr>
          <w:rFonts w:hint="eastAsia" w:ascii="仿宋" w:hAnsi="仿宋" w:eastAsia="仿宋"/>
          <w:bCs/>
          <w:color w:val="000000" w:themeColor="text1"/>
          <w:sz w:val="28"/>
          <w:szCs w:val="28"/>
        </w:rPr>
      </w:pPr>
      <w:r>
        <w:rPr>
          <w:rFonts w:hint="eastAsia" w:ascii="仿宋" w:hAnsi="仿宋" w:eastAsia="仿宋"/>
          <w:bCs/>
          <w:color w:val="000000" w:themeColor="text1"/>
          <w:sz w:val="28"/>
          <w:szCs w:val="28"/>
        </w:rPr>
        <w:t>由于投标人的原因所造成的额外费用，由投标人自行承担。如果采购人要求删除或增加功能，投标人应适当调整，但是投标文件中的各项优惠条件保持不变。投标人如果有其他优惠条件，必须作专门说明。</w:t>
      </w:r>
    </w:p>
    <w:p w14:paraId="31868058">
      <w:pPr>
        <w:widowControl/>
        <w:spacing w:line="360" w:lineRule="auto"/>
        <w:ind w:firstLine="560" w:firstLineChars="200"/>
        <w:jc w:val="left"/>
        <w:rPr>
          <w:rFonts w:hint="eastAsia" w:ascii="仿宋" w:hAnsi="仿宋" w:eastAsia="仿宋"/>
          <w:bCs/>
          <w:color w:val="000000" w:themeColor="text1"/>
          <w:sz w:val="28"/>
          <w:szCs w:val="28"/>
        </w:rPr>
      </w:pPr>
      <w:r>
        <w:rPr>
          <w:rFonts w:hint="eastAsia" w:ascii="仿宋" w:hAnsi="仿宋" w:eastAsia="仿宋"/>
          <w:bCs/>
          <w:color w:val="000000" w:themeColor="text1"/>
          <w:sz w:val="28"/>
          <w:szCs w:val="28"/>
        </w:rPr>
        <w:t>所有安装所需配件、辅材均由供应商提供。</w:t>
      </w:r>
    </w:p>
    <w:p w14:paraId="0FF67A00">
      <w:pPr>
        <w:widowControl/>
        <w:spacing w:line="360" w:lineRule="auto"/>
        <w:ind w:firstLine="560" w:firstLineChars="200"/>
        <w:jc w:val="left"/>
        <w:rPr>
          <w:rFonts w:hint="eastAsia" w:ascii="仿宋" w:hAnsi="仿宋" w:eastAsia="仿宋"/>
          <w:bCs/>
          <w:color w:val="000000" w:themeColor="text1"/>
          <w:sz w:val="28"/>
          <w:szCs w:val="28"/>
        </w:rPr>
      </w:pPr>
      <w:r>
        <w:rPr>
          <w:rFonts w:hint="eastAsia" w:ascii="仿宋" w:hAnsi="仿宋" w:eastAsia="仿宋"/>
          <w:bCs/>
          <w:color w:val="000000" w:themeColor="text1"/>
          <w:sz w:val="28"/>
          <w:szCs w:val="28"/>
        </w:rPr>
        <w:t>以上条款的内容如果需要修改或者有其他未涉及的事项，由双方协商解决。</w:t>
      </w:r>
    </w:p>
    <w:p w14:paraId="7DB31728">
      <w:pPr>
        <w:widowControl/>
        <w:spacing w:line="360" w:lineRule="auto"/>
        <w:ind w:firstLine="560" w:firstLineChars="200"/>
        <w:jc w:val="left"/>
        <w:rPr>
          <w:rFonts w:hint="eastAsia" w:ascii="仿宋" w:hAnsi="仿宋" w:eastAsia="仿宋"/>
          <w:bCs/>
          <w:color w:val="000000" w:themeColor="text1"/>
          <w:sz w:val="28"/>
          <w:szCs w:val="28"/>
        </w:rPr>
      </w:pPr>
      <w:r>
        <w:rPr>
          <w:rFonts w:hint="eastAsia" w:ascii="仿宋" w:hAnsi="仿宋" w:eastAsia="仿宋"/>
          <w:bCs/>
          <w:color w:val="000000" w:themeColor="text1"/>
          <w:sz w:val="28"/>
          <w:szCs w:val="28"/>
          <w:lang w:eastAsia="zh-CN"/>
        </w:rPr>
        <w:t>八、</w:t>
      </w:r>
      <w:r>
        <w:rPr>
          <w:rFonts w:hint="eastAsia" w:ascii="仿宋" w:hAnsi="仿宋" w:eastAsia="仿宋"/>
          <w:bCs/>
          <w:color w:val="000000" w:themeColor="text1"/>
          <w:sz w:val="28"/>
          <w:szCs w:val="28"/>
        </w:rPr>
        <w:t>付款方式</w:t>
      </w:r>
    </w:p>
    <w:p w14:paraId="5A8C4C78">
      <w:pPr>
        <w:widowControl/>
        <w:spacing w:line="360" w:lineRule="auto"/>
        <w:ind w:firstLine="560" w:firstLineChars="200"/>
        <w:jc w:val="left"/>
        <w:rPr>
          <w:rFonts w:hint="eastAsia" w:ascii="仿宋" w:hAnsi="仿宋" w:eastAsia="仿宋"/>
          <w:bCs/>
          <w:sz w:val="28"/>
          <w:szCs w:val="28"/>
          <w:highlight w:val="none"/>
        </w:rPr>
      </w:pPr>
      <w:r>
        <w:rPr>
          <w:rFonts w:hint="eastAsia" w:ascii="仿宋" w:hAnsi="仿宋" w:eastAsia="仿宋"/>
          <w:bCs/>
          <w:sz w:val="28"/>
          <w:szCs w:val="28"/>
          <w:highlight w:val="none"/>
        </w:rPr>
        <w:t>签订合同后</w:t>
      </w:r>
      <w:r>
        <w:rPr>
          <w:rFonts w:ascii="仿宋" w:hAnsi="仿宋" w:eastAsia="仿宋"/>
          <w:bCs/>
          <w:sz w:val="28"/>
          <w:szCs w:val="28"/>
          <w:highlight w:val="none"/>
        </w:rPr>
        <w:t>支付合同价款的50%；待货物和服务到位验收合格后支付合同金额的45%，余款待</w:t>
      </w:r>
      <w:r>
        <w:rPr>
          <w:rFonts w:hint="eastAsia" w:ascii="仿宋" w:hAnsi="仿宋" w:eastAsia="仿宋"/>
          <w:bCs/>
          <w:sz w:val="28"/>
          <w:szCs w:val="28"/>
          <w:highlight w:val="none"/>
        </w:rPr>
        <w:t>质保期满后无息支付。</w:t>
      </w:r>
    </w:p>
    <w:p w14:paraId="535E8A02">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九、</w:t>
      </w:r>
      <w:r>
        <w:rPr>
          <w:rFonts w:hint="eastAsia" w:ascii="仿宋" w:hAnsi="仿宋" w:eastAsia="仿宋" w:cs="仿宋"/>
          <w:color w:val="000000" w:themeColor="text1"/>
          <w:sz w:val="28"/>
          <w:szCs w:val="28"/>
        </w:rPr>
        <w:t>非单一产品采购项目，采购标的中的核心产品。</w:t>
      </w:r>
    </w:p>
    <w:tbl>
      <w:tblPr>
        <w:tblStyle w:val="39"/>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095"/>
      </w:tblGrid>
      <w:tr w14:paraId="2BE7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6CE15693">
            <w:pPr>
              <w:jc w:val="center"/>
              <w:rPr>
                <w:rFonts w:hint="eastAsia" w:ascii="仿宋" w:hAnsi="仿宋" w:eastAsia="仿宋" w:cs="仿宋"/>
                <w:sz w:val="24"/>
              </w:rPr>
            </w:pPr>
            <w:r>
              <w:rPr>
                <w:rFonts w:hint="eastAsia" w:ascii="仿宋" w:hAnsi="仿宋" w:eastAsia="仿宋" w:cs="仿宋"/>
                <w:sz w:val="24"/>
              </w:rPr>
              <w:t>序号</w:t>
            </w:r>
          </w:p>
        </w:tc>
        <w:tc>
          <w:tcPr>
            <w:tcW w:w="6095" w:type="dxa"/>
          </w:tcPr>
          <w:p w14:paraId="1BC33C2B">
            <w:pPr>
              <w:jc w:val="center"/>
              <w:rPr>
                <w:rFonts w:hint="eastAsia" w:ascii="仿宋" w:hAnsi="仿宋" w:eastAsia="仿宋" w:cs="仿宋"/>
                <w:sz w:val="24"/>
              </w:rPr>
            </w:pPr>
            <w:r>
              <w:rPr>
                <w:rFonts w:hint="eastAsia" w:ascii="仿宋" w:hAnsi="仿宋" w:eastAsia="仿宋" w:cs="仿宋"/>
                <w:sz w:val="24"/>
              </w:rPr>
              <w:t>核心产品</w:t>
            </w:r>
          </w:p>
        </w:tc>
      </w:tr>
      <w:tr w14:paraId="24C3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B896438">
            <w:pPr>
              <w:jc w:val="center"/>
              <w:rPr>
                <w:rFonts w:hint="eastAsia" w:ascii="仿宋" w:hAnsi="仿宋" w:eastAsia="仿宋" w:cs="仿宋"/>
                <w:sz w:val="24"/>
              </w:rPr>
            </w:pPr>
            <w:r>
              <w:rPr>
                <w:rFonts w:hint="eastAsia" w:ascii="仿宋" w:hAnsi="仿宋" w:eastAsia="仿宋" w:cs="仿宋"/>
                <w:sz w:val="24"/>
              </w:rPr>
              <w:t>1</w:t>
            </w:r>
          </w:p>
        </w:tc>
        <w:tc>
          <w:tcPr>
            <w:tcW w:w="6095" w:type="dxa"/>
            <w:vAlign w:val="center"/>
          </w:tcPr>
          <w:p w14:paraId="60D69FF8">
            <w:pPr>
              <w:jc w:val="center"/>
              <w:rPr>
                <w:rFonts w:hint="eastAsia" w:ascii="仿宋" w:hAnsi="仿宋" w:eastAsia="仿宋" w:cs="仿宋"/>
                <w:sz w:val="24"/>
              </w:rPr>
            </w:pPr>
            <w:r>
              <w:rPr>
                <w:rFonts w:hint="eastAsia" w:ascii="仿宋" w:hAnsi="仿宋" w:eastAsia="仿宋"/>
                <w:sz w:val="24"/>
              </w:rPr>
              <w:t>零信任</w:t>
            </w:r>
          </w:p>
        </w:tc>
      </w:tr>
      <w:tr w14:paraId="1099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6EA0288">
            <w:pPr>
              <w:jc w:val="center"/>
              <w:rPr>
                <w:rFonts w:hint="eastAsia" w:ascii="仿宋" w:hAnsi="仿宋" w:eastAsia="仿宋" w:cs="仿宋"/>
                <w:sz w:val="24"/>
              </w:rPr>
            </w:pPr>
            <w:r>
              <w:rPr>
                <w:rFonts w:hint="eastAsia" w:ascii="仿宋" w:hAnsi="仿宋" w:eastAsia="仿宋" w:cs="仿宋"/>
                <w:sz w:val="24"/>
              </w:rPr>
              <w:t>2</w:t>
            </w:r>
          </w:p>
        </w:tc>
        <w:tc>
          <w:tcPr>
            <w:tcW w:w="6095" w:type="dxa"/>
            <w:vAlign w:val="center"/>
          </w:tcPr>
          <w:p w14:paraId="5A6FDDB7">
            <w:pPr>
              <w:jc w:val="center"/>
              <w:rPr>
                <w:rFonts w:hint="eastAsia" w:ascii="仿宋" w:hAnsi="仿宋" w:eastAsia="仿宋" w:cs="仿宋"/>
                <w:sz w:val="24"/>
              </w:rPr>
            </w:pPr>
            <w:r>
              <w:rPr>
                <w:rFonts w:hint="eastAsia" w:ascii="仿宋" w:hAnsi="仿宋" w:eastAsia="仿宋"/>
                <w:sz w:val="24"/>
              </w:rPr>
              <w:t>卫生专网防病毒系统</w:t>
            </w:r>
          </w:p>
        </w:tc>
      </w:tr>
    </w:tbl>
    <w:p w14:paraId="726EBCAB">
      <w:pPr>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eastAsia="zh-CN"/>
        </w:rPr>
        <w:t>十、</w:t>
      </w:r>
      <w:r>
        <w:rPr>
          <w:rFonts w:hint="eastAsia" w:ascii="仿宋" w:hAnsi="仿宋" w:eastAsia="仿宋" w:cs="仿宋"/>
          <w:color w:val="000000" w:themeColor="text1"/>
          <w:sz w:val="28"/>
          <w:szCs w:val="28"/>
        </w:rPr>
        <w:t>本项目不接受进口产品投标。</w:t>
      </w:r>
    </w:p>
    <w:p w14:paraId="1D48DE2A">
      <w:pPr>
        <w:spacing w:line="360" w:lineRule="auto"/>
        <w:outlineLvl w:val="0"/>
        <w:rPr>
          <w:rFonts w:hint="eastAsia" w:ascii="仿宋" w:hAnsi="仿宋" w:eastAsia="仿宋" w:cs="仿宋"/>
          <w:b/>
          <w:bCs/>
          <w:i/>
          <w:iCs/>
          <w:color w:val="000000" w:themeColor="text1"/>
          <w:sz w:val="28"/>
          <w:szCs w:val="28"/>
          <w:u w:val="single"/>
        </w:rPr>
      </w:pPr>
      <w:bookmarkStart w:id="17" w:name="_Toc21219"/>
      <w:bookmarkStart w:id="18" w:name="_Toc10608"/>
      <w:bookmarkStart w:id="19" w:name="_Toc7759"/>
      <w:bookmarkStart w:id="20" w:name="_Toc6504"/>
      <w:bookmarkStart w:id="21" w:name="_Toc16348"/>
      <w:r>
        <w:rPr>
          <w:rFonts w:hint="eastAsia" w:ascii="仿宋" w:hAnsi="仿宋" w:eastAsia="仿宋" w:cs="仿宋"/>
          <w:b/>
          <w:bCs/>
          <w:i/>
          <w:iCs/>
          <w:color w:val="000000" w:themeColor="text1"/>
          <w:sz w:val="28"/>
          <w:szCs w:val="28"/>
          <w:u w:val="single"/>
        </w:rPr>
        <w:t>（三）采购需求中必须满足的实质性要求。（请单独列出并加斜体下划线）</w:t>
      </w:r>
      <w:bookmarkEnd w:id="17"/>
      <w:bookmarkEnd w:id="18"/>
      <w:bookmarkEnd w:id="19"/>
      <w:bookmarkEnd w:id="20"/>
      <w:bookmarkEnd w:id="21"/>
    </w:p>
    <w:p w14:paraId="0F7FB66B">
      <w:pPr>
        <w:spacing w:line="480" w:lineRule="exact"/>
        <w:ind w:firstLine="560"/>
        <w:rPr>
          <w:rFonts w:hint="eastAsia" w:ascii="仿宋" w:hAnsi="仿宋" w:eastAsia="仿宋" w:cs="仿宋"/>
          <w:b/>
          <w:i/>
          <w:iCs/>
          <w:color w:val="000000" w:themeColor="text1"/>
          <w:sz w:val="28"/>
          <w:szCs w:val="28"/>
          <w:u w:val="single"/>
        </w:rPr>
      </w:pPr>
      <w:r>
        <w:rPr>
          <w:rFonts w:hint="eastAsia" w:ascii="仿宋" w:hAnsi="仿宋" w:eastAsia="仿宋" w:cs="仿宋"/>
          <w:i/>
          <w:iCs/>
          <w:color w:val="000000" w:themeColor="text1"/>
          <w:sz w:val="28"/>
          <w:szCs w:val="28"/>
          <w:u w:val="single"/>
        </w:rPr>
        <w:t>4.1技术部分实质性要求</w:t>
      </w:r>
      <w:r>
        <w:rPr>
          <w:rFonts w:hint="eastAsia" w:ascii="仿宋" w:hAnsi="仿宋" w:eastAsia="仿宋" w:cs="仿宋"/>
          <w:b/>
          <w:i/>
          <w:iCs/>
          <w:color w:val="000000" w:themeColor="text1"/>
          <w:sz w:val="28"/>
          <w:szCs w:val="28"/>
          <w:u w:val="single"/>
        </w:rPr>
        <w:t>（请单独列出并加斜体下划线）</w:t>
      </w:r>
    </w:p>
    <w:p w14:paraId="3185F373">
      <w:pPr>
        <w:pStyle w:val="34"/>
        <w:spacing w:before="0" w:beforeAutospacing="0" w:after="0" w:afterAutospacing="0" w:line="400" w:lineRule="atLeast"/>
        <w:ind w:firstLine="560"/>
        <w:jc w:val="both"/>
        <w:rPr>
          <w:rFonts w:hint="eastAsia" w:ascii="仿宋" w:hAnsi="仿宋" w:eastAsia="仿宋" w:cs="仿宋"/>
          <w:i/>
          <w:iCs/>
          <w:color w:val="000000" w:themeColor="text1"/>
          <w:sz w:val="28"/>
          <w:szCs w:val="28"/>
          <w:u w:val="single"/>
        </w:rPr>
      </w:pPr>
      <w:r>
        <w:rPr>
          <w:rFonts w:hint="eastAsia" w:ascii="仿宋" w:hAnsi="仿宋" w:eastAsia="仿宋" w:cs="仿宋"/>
          <w:i/>
          <w:iCs/>
          <w:color w:val="000000" w:themeColor="text1"/>
          <w:sz w:val="28"/>
          <w:szCs w:val="28"/>
          <w:u w:val="single"/>
        </w:rPr>
        <w:t>标注“</w:t>
      </w:r>
      <w:r>
        <w:rPr>
          <w:rFonts w:hint="eastAsia" w:ascii="仿宋" w:hAnsi="仿宋" w:eastAsia="仿宋"/>
          <w:i/>
          <w:iCs/>
          <w:color w:val="000000" w:themeColor="text1"/>
          <w:sz w:val="28"/>
          <w:szCs w:val="28"/>
          <w:u w:val="single"/>
        </w:rPr>
        <w:t>★</w:t>
      </w:r>
      <w:r>
        <w:rPr>
          <w:rFonts w:hint="eastAsia" w:ascii="仿宋" w:hAnsi="仿宋" w:eastAsia="仿宋" w:cs="仿宋"/>
          <w:i/>
          <w:iCs/>
          <w:color w:val="000000" w:themeColor="text1"/>
          <w:sz w:val="28"/>
          <w:szCs w:val="28"/>
          <w:u w:val="single"/>
        </w:rPr>
        <w:t>”的技术参数为实质性指标，凡有负偏离的作无效投标处理。</w:t>
      </w:r>
    </w:p>
    <w:p w14:paraId="7AD94EAD">
      <w:pPr>
        <w:spacing w:line="48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4.2商务部分实质性要求</w:t>
      </w:r>
      <w:r>
        <w:rPr>
          <w:rFonts w:hint="eastAsia" w:ascii="仿宋" w:hAnsi="仿宋" w:eastAsia="仿宋" w:cs="仿宋"/>
          <w:b/>
          <w:color w:val="000000" w:themeColor="text1"/>
          <w:sz w:val="28"/>
          <w:szCs w:val="28"/>
        </w:rPr>
        <w:t>（请单独列出并加斜体下划线）</w:t>
      </w:r>
    </w:p>
    <w:tbl>
      <w:tblPr>
        <w:tblStyle w:val="39"/>
        <w:tblW w:w="8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7815"/>
      </w:tblGrid>
      <w:tr w14:paraId="658F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dxa"/>
            <w:vAlign w:val="center"/>
          </w:tcPr>
          <w:p w14:paraId="7DAC431F">
            <w:pPr>
              <w:jc w:val="cente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要求名称</w:t>
            </w:r>
          </w:p>
        </w:tc>
        <w:tc>
          <w:tcPr>
            <w:tcW w:w="7815" w:type="dxa"/>
            <w:vAlign w:val="center"/>
          </w:tcPr>
          <w:p w14:paraId="5497FB44">
            <w:pPr>
              <w:jc w:val="center"/>
              <w:rPr>
                <w:rFonts w:hint="eastAsia" w:ascii="仿宋" w:hAnsi="仿宋" w:eastAsia="仿宋" w:cs="仿宋"/>
                <w:i/>
                <w:color w:val="000000" w:themeColor="text1"/>
                <w:sz w:val="24"/>
                <w:u w:val="single"/>
              </w:rPr>
            </w:pPr>
            <w:r>
              <w:rPr>
                <w:rFonts w:hint="eastAsia" w:ascii="仿宋" w:hAnsi="仿宋" w:eastAsia="仿宋" w:cs="仿宋"/>
                <w:i/>
                <w:color w:val="000000" w:themeColor="text1"/>
                <w:sz w:val="24"/>
                <w:u w:val="single"/>
              </w:rPr>
              <w:t>要求内容</w:t>
            </w:r>
          </w:p>
        </w:tc>
      </w:tr>
      <w:tr w14:paraId="629C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dxa"/>
            <w:vAlign w:val="center"/>
          </w:tcPr>
          <w:p w14:paraId="41F2E2ED">
            <w:pPr>
              <w:jc w:val="cente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设备质保</w:t>
            </w:r>
          </w:p>
        </w:tc>
        <w:tc>
          <w:tcPr>
            <w:tcW w:w="7815" w:type="dxa"/>
            <w:vAlign w:val="center"/>
          </w:tcPr>
          <w:p w14:paraId="1DF88893">
            <w:pP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本项目硬件设备质保期三年，免费送货、免费安装、免费培训，在保修期内免费维护维修及技术支持，保修期以外提供免费维护和技术支持，维修只收材料成本费。设备发生故障时，接到用户通知</w:t>
            </w:r>
            <w:r>
              <w:rPr>
                <w:rFonts w:ascii="仿宋" w:hAnsi="仿宋" w:eastAsia="仿宋" w:cs="仿宋"/>
                <w:i/>
                <w:iCs/>
                <w:color w:val="000000" w:themeColor="text1"/>
                <w:sz w:val="24"/>
                <w:u w:val="single"/>
              </w:rPr>
              <w:t>2</w:t>
            </w:r>
            <w:r>
              <w:rPr>
                <w:rFonts w:hint="eastAsia" w:ascii="仿宋" w:hAnsi="仿宋" w:eastAsia="仿宋" w:cs="仿宋"/>
                <w:i/>
                <w:iCs/>
                <w:color w:val="000000" w:themeColor="text1"/>
                <w:sz w:val="24"/>
                <w:u w:val="single"/>
              </w:rPr>
              <w:t>小时内上门，48小时内解决问题。</w:t>
            </w:r>
          </w:p>
        </w:tc>
      </w:tr>
      <w:tr w14:paraId="52454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dxa"/>
            <w:vAlign w:val="center"/>
          </w:tcPr>
          <w:p w14:paraId="1B96BC0B">
            <w:pPr>
              <w:jc w:val="cente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交货要求</w:t>
            </w:r>
          </w:p>
        </w:tc>
        <w:tc>
          <w:tcPr>
            <w:tcW w:w="7815" w:type="dxa"/>
            <w:vAlign w:val="center"/>
          </w:tcPr>
          <w:p w14:paraId="00B8A04E">
            <w:pP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交货期：自合同签定之日起</w:t>
            </w:r>
            <w:r>
              <w:rPr>
                <w:rFonts w:ascii="仿宋" w:hAnsi="仿宋" w:eastAsia="仿宋" w:cs="仿宋"/>
                <w:i/>
                <w:iCs/>
                <w:color w:val="000000" w:themeColor="text1"/>
                <w:sz w:val="24"/>
                <w:u w:val="single"/>
              </w:rPr>
              <w:t>30</w:t>
            </w:r>
            <w:r>
              <w:rPr>
                <w:rFonts w:hint="eastAsia" w:ascii="仿宋" w:hAnsi="仿宋" w:eastAsia="仿宋" w:cs="仿宋"/>
                <w:i/>
                <w:iCs/>
                <w:color w:val="000000" w:themeColor="text1"/>
                <w:sz w:val="24"/>
                <w:u w:val="single"/>
              </w:rPr>
              <w:t>天内完成设备的安装调试。</w:t>
            </w:r>
          </w:p>
          <w:p w14:paraId="45EA8D8D">
            <w:pP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交货要求：所有货品必须原包装进场，运送及安装到用户指定地点。</w:t>
            </w:r>
          </w:p>
        </w:tc>
      </w:tr>
      <w:tr w14:paraId="742E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dxa"/>
            <w:vAlign w:val="center"/>
          </w:tcPr>
          <w:p w14:paraId="46386C70">
            <w:pPr>
              <w:jc w:val="cente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响应报价要求</w:t>
            </w:r>
          </w:p>
        </w:tc>
        <w:tc>
          <w:tcPr>
            <w:tcW w:w="7815" w:type="dxa"/>
            <w:vAlign w:val="center"/>
          </w:tcPr>
          <w:p w14:paraId="7DA4D53B">
            <w:pP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由于投标人的原因所造成的额外费用，由投标人自行承担。如果采购人要求删除或增加功能，投标人应适当调整，但是投标文件中的各项优惠条件保持不变。投标人如果有其他优惠条件，必须作专门说明。</w:t>
            </w:r>
          </w:p>
          <w:p w14:paraId="379542C1">
            <w:pP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所有安装所需配件、辅材均由供应商提供。</w:t>
            </w:r>
          </w:p>
        </w:tc>
      </w:tr>
      <w:tr w14:paraId="3E411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dxa"/>
            <w:vAlign w:val="center"/>
          </w:tcPr>
          <w:p w14:paraId="3C92F2D6">
            <w:pPr>
              <w:jc w:val="center"/>
              <w:rPr>
                <w:rFonts w:hint="eastAsia" w:ascii="仿宋" w:hAnsi="仿宋" w:eastAsia="仿宋" w:cs="仿宋"/>
                <w:i/>
                <w:iCs/>
                <w:color w:val="000000" w:themeColor="text1"/>
                <w:sz w:val="24"/>
                <w:u w:val="single"/>
              </w:rPr>
            </w:pPr>
            <w:r>
              <w:rPr>
                <w:rFonts w:hint="eastAsia" w:ascii="仿宋" w:hAnsi="仿宋" w:eastAsia="仿宋" w:cs="仿宋"/>
                <w:i/>
                <w:iCs/>
                <w:color w:val="000000" w:themeColor="text1"/>
                <w:sz w:val="24"/>
                <w:u w:val="single"/>
              </w:rPr>
              <w:t>付款方式</w:t>
            </w:r>
          </w:p>
        </w:tc>
        <w:tc>
          <w:tcPr>
            <w:tcW w:w="7815" w:type="dxa"/>
            <w:vAlign w:val="center"/>
          </w:tcPr>
          <w:p w14:paraId="6C7ACE16">
            <w:pPr>
              <w:rPr>
                <w:rFonts w:hint="eastAsia" w:ascii="仿宋" w:hAnsi="仿宋" w:eastAsia="仿宋" w:cs="宋体"/>
                <w:color w:val="000000" w:themeColor="text1"/>
                <w:sz w:val="24"/>
              </w:rPr>
            </w:pPr>
            <w:r>
              <w:rPr>
                <w:rFonts w:hint="eastAsia" w:ascii="仿宋" w:hAnsi="仿宋" w:eastAsia="仿宋" w:cs="仿宋"/>
                <w:i/>
                <w:iCs/>
                <w:color w:val="000000" w:themeColor="text1"/>
                <w:sz w:val="24"/>
                <w:highlight w:val="none"/>
                <w:u w:val="single"/>
              </w:rPr>
              <w:t>签订合同后</w:t>
            </w:r>
            <w:r>
              <w:rPr>
                <w:rFonts w:ascii="仿宋" w:hAnsi="仿宋" w:eastAsia="仿宋" w:cs="仿宋"/>
                <w:i/>
                <w:iCs/>
                <w:color w:val="000000" w:themeColor="text1"/>
                <w:sz w:val="24"/>
                <w:highlight w:val="none"/>
                <w:u w:val="single"/>
              </w:rPr>
              <w:t>支付合同价款的50%；待货物和服务到位验收合格后支付合同金额的45%，余款待</w:t>
            </w:r>
            <w:r>
              <w:rPr>
                <w:rFonts w:hint="eastAsia" w:ascii="仿宋" w:hAnsi="仿宋" w:eastAsia="仿宋" w:cs="仿宋"/>
                <w:i/>
                <w:iCs/>
                <w:color w:val="000000" w:themeColor="text1"/>
                <w:sz w:val="24"/>
                <w:highlight w:val="none"/>
                <w:u w:val="single"/>
              </w:rPr>
              <w:t>质保期满后无息支付。</w:t>
            </w:r>
          </w:p>
        </w:tc>
      </w:tr>
    </w:tbl>
    <w:p w14:paraId="619EE2F2">
      <w:pPr>
        <w:widowControl/>
        <w:jc w:val="left"/>
        <w:rPr>
          <w:rFonts w:hint="eastAsia" w:ascii="仿宋" w:hAnsi="仿宋" w:eastAsia="仿宋" w:cs="Arial"/>
          <w:color w:val="000000" w:themeColor="text1"/>
          <w:sz w:val="28"/>
          <w:szCs w:val="28"/>
        </w:rPr>
      </w:pPr>
      <w:r>
        <w:rPr>
          <w:rFonts w:ascii="仿宋" w:hAnsi="仿宋" w:eastAsia="仿宋" w:cs="Arial"/>
          <w:color w:val="000000" w:themeColor="text1"/>
          <w:sz w:val="28"/>
          <w:szCs w:val="28"/>
        </w:rPr>
        <w:br w:type="page"/>
      </w:r>
    </w:p>
    <w:p w14:paraId="27753AFA">
      <w:pPr>
        <w:pStyle w:val="2"/>
        <w:spacing w:before="240" w:after="240" w:line="480" w:lineRule="exact"/>
        <w:jc w:val="center"/>
        <w:rPr>
          <w:rFonts w:hint="eastAsia" w:ascii="仿宋" w:hAnsi="仿宋" w:eastAsia="仿宋"/>
          <w:sz w:val="32"/>
          <w:szCs w:val="32"/>
        </w:rPr>
      </w:pPr>
      <w:r>
        <w:rPr>
          <w:rFonts w:hint="eastAsia" w:ascii="仿宋" w:hAnsi="仿宋" w:eastAsia="仿宋"/>
          <w:sz w:val="32"/>
          <w:szCs w:val="32"/>
        </w:rPr>
        <w:t>第四部分 评标办法</w:t>
      </w:r>
    </w:p>
    <w:p w14:paraId="57645339">
      <w:pPr>
        <w:spacing w:line="480" w:lineRule="exact"/>
        <w:ind w:firstLine="562" w:firstLineChars="200"/>
        <w:rPr>
          <w:rFonts w:hint="eastAsia" w:ascii="仿宋" w:hAnsi="仿宋" w:eastAsia="仿宋" w:cs="宋体"/>
          <w:b/>
          <w:bCs/>
          <w:sz w:val="28"/>
        </w:rPr>
      </w:pPr>
      <w:bookmarkStart w:id="22" w:name="OLE_LINK2"/>
      <w:bookmarkStart w:id="23" w:name="OLE_LINK1"/>
      <w:r>
        <w:rPr>
          <w:rFonts w:hint="eastAsia" w:ascii="仿宋" w:hAnsi="仿宋" w:eastAsia="仿宋" w:cs="宋体"/>
          <w:b/>
          <w:bCs/>
          <w:sz w:val="28"/>
        </w:rPr>
        <w:t>一、项目开标</w:t>
      </w:r>
    </w:p>
    <w:p w14:paraId="3ED999B5">
      <w:pPr>
        <w:spacing w:line="480" w:lineRule="exact"/>
        <w:ind w:firstLine="560" w:firstLineChars="200"/>
        <w:rPr>
          <w:rFonts w:hint="eastAsia" w:ascii="仿宋" w:hAnsi="仿宋" w:eastAsia="仿宋" w:cs="宋体"/>
          <w:kern w:val="1"/>
          <w:sz w:val="28"/>
        </w:rPr>
      </w:pPr>
      <w:r>
        <w:rPr>
          <w:rFonts w:hint="eastAsia" w:ascii="仿宋" w:hAnsi="仿宋" w:eastAsia="仿宋" w:cs="宋体"/>
          <w:kern w:val="1"/>
          <w:sz w:val="28"/>
        </w:rPr>
        <w:t>由采购人组织</w:t>
      </w:r>
    </w:p>
    <w:p w14:paraId="3CEA9317">
      <w:pPr>
        <w:spacing w:line="480" w:lineRule="exact"/>
        <w:ind w:firstLine="562" w:firstLineChars="200"/>
        <w:rPr>
          <w:rFonts w:hint="eastAsia" w:ascii="仿宋" w:hAnsi="仿宋" w:eastAsia="仿宋" w:cs="宋体"/>
          <w:b/>
          <w:bCs/>
          <w:sz w:val="28"/>
        </w:rPr>
      </w:pPr>
      <w:r>
        <w:rPr>
          <w:rFonts w:hint="eastAsia" w:ascii="仿宋" w:hAnsi="仿宋" w:eastAsia="仿宋" w:cs="宋体"/>
          <w:b/>
          <w:bCs/>
          <w:sz w:val="28"/>
        </w:rPr>
        <w:t>二、评委会的组成</w:t>
      </w:r>
    </w:p>
    <w:p w14:paraId="0E19A722">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评委会由3人或3人以上单数的评委会成员组成，对投标文件进行审查、质疑、评估、比较。评委会按照公平、公正、择优的原则进行独立评标。</w:t>
      </w:r>
    </w:p>
    <w:p w14:paraId="092D8BA9">
      <w:pPr>
        <w:spacing w:line="480" w:lineRule="exact"/>
        <w:ind w:firstLine="562" w:firstLineChars="200"/>
        <w:rPr>
          <w:rFonts w:hint="eastAsia" w:ascii="仿宋" w:hAnsi="仿宋" w:eastAsia="仿宋" w:cs="宋体"/>
          <w:b/>
          <w:bCs/>
          <w:sz w:val="28"/>
        </w:rPr>
      </w:pPr>
      <w:r>
        <w:rPr>
          <w:rFonts w:hint="eastAsia" w:ascii="仿宋" w:hAnsi="仿宋" w:eastAsia="仿宋" w:cs="宋体"/>
          <w:b/>
          <w:bCs/>
          <w:sz w:val="28"/>
        </w:rPr>
        <w:t>（一）评审内容</w:t>
      </w:r>
    </w:p>
    <w:p w14:paraId="335390BC">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1.供应商投标资格；</w:t>
      </w:r>
    </w:p>
    <w:p w14:paraId="27E45AEF">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2.投标文件是否完整；</w:t>
      </w:r>
    </w:p>
    <w:p w14:paraId="7E81461B">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3.投标文件是否恰当地签署；</w:t>
      </w:r>
    </w:p>
    <w:p w14:paraId="406B7E5B">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4.是否作出实质性响应（是否有实质性响应，只根据投标文件本身，而不寻求外部证据）；</w:t>
      </w:r>
    </w:p>
    <w:p w14:paraId="76DB4F55">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5.是否有计算错误。</w:t>
      </w:r>
    </w:p>
    <w:p w14:paraId="567F6DC2">
      <w:pPr>
        <w:spacing w:line="480" w:lineRule="exact"/>
        <w:ind w:firstLine="562" w:firstLineChars="200"/>
        <w:rPr>
          <w:rFonts w:hint="eastAsia" w:ascii="仿宋" w:hAnsi="仿宋" w:eastAsia="仿宋" w:cs="宋体"/>
          <w:b/>
          <w:bCs/>
          <w:sz w:val="28"/>
        </w:rPr>
      </w:pPr>
      <w:r>
        <w:rPr>
          <w:rFonts w:hint="eastAsia" w:ascii="仿宋" w:hAnsi="仿宋" w:eastAsia="仿宋" w:cs="宋体"/>
          <w:b/>
          <w:bCs/>
          <w:sz w:val="28"/>
        </w:rPr>
        <w:t>（二）相应的规定</w:t>
      </w:r>
    </w:p>
    <w:p w14:paraId="71A28B4F">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1.如果单价汇总金额与总价金额有出入，以单价金额计算结果为准；</w:t>
      </w:r>
    </w:p>
    <w:p w14:paraId="03C73BC1">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2.单价金额小数点有明显错位的，应以总价为准；</w:t>
      </w:r>
    </w:p>
    <w:p w14:paraId="0D4C1DE1">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3.正本与副本有矛盾的，以正本为准；</w:t>
      </w:r>
    </w:p>
    <w:p w14:paraId="3C22EE25">
      <w:pPr>
        <w:spacing w:line="480" w:lineRule="exact"/>
        <w:ind w:firstLine="560" w:firstLineChars="200"/>
        <w:contextualSpacing/>
        <w:rPr>
          <w:rFonts w:hint="eastAsia" w:ascii="仿宋" w:hAnsi="仿宋" w:eastAsia="仿宋" w:cs="宋体"/>
          <w:kern w:val="1"/>
          <w:sz w:val="28"/>
        </w:rPr>
      </w:pPr>
      <w:r>
        <w:rPr>
          <w:rFonts w:hint="eastAsia" w:ascii="仿宋" w:hAnsi="仿宋" w:eastAsia="仿宋" w:cs="宋体"/>
          <w:kern w:val="1"/>
          <w:sz w:val="28"/>
        </w:rPr>
        <w:t>4.若文件大写表示的数据与数字表示的有差别，以大写表示的数据为准。</w:t>
      </w:r>
    </w:p>
    <w:bookmarkEnd w:id="22"/>
    <w:bookmarkEnd w:id="23"/>
    <w:p w14:paraId="2316DE21">
      <w:pPr>
        <w:spacing w:line="480" w:lineRule="exact"/>
        <w:ind w:firstLine="562" w:firstLineChars="200"/>
        <w:rPr>
          <w:rFonts w:hint="eastAsia" w:ascii="仿宋" w:hAnsi="仿宋" w:eastAsia="仿宋" w:cs="宋体"/>
          <w:b/>
          <w:bCs/>
          <w:sz w:val="28"/>
        </w:rPr>
      </w:pPr>
      <w:r>
        <w:rPr>
          <w:rFonts w:hint="eastAsia" w:ascii="仿宋" w:hAnsi="仿宋" w:eastAsia="仿宋" w:cs="宋体"/>
          <w:b/>
          <w:bCs/>
          <w:sz w:val="28"/>
        </w:rPr>
        <w:t>三</w:t>
      </w:r>
      <w:r>
        <w:rPr>
          <w:rFonts w:ascii="仿宋" w:hAnsi="仿宋" w:eastAsia="仿宋" w:cs="宋体"/>
          <w:b/>
          <w:bCs/>
          <w:sz w:val="28"/>
        </w:rPr>
        <w:t>、磋商程序及评审方法和标准</w:t>
      </w:r>
    </w:p>
    <w:p w14:paraId="3F5465EA">
      <w:pPr>
        <w:spacing w:line="480" w:lineRule="exact"/>
        <w:ind w:firstLine="560" w:firstLineChars="200"/>
        <w:contextualSpacing/>
        <w:rPr>
          <w:rFonts w:hint="eastAsia" w:ascii="仿宋" w:hAnsi="仿宋" w:eastAsia="仿宋" w:cs="宋体"/>
          <w:kern w:val="1"/>
          <w:sz w:val="28"/>
        </w:rPr>
      </w:pPr>
      <w:r>
        <w:rPr>
          <w:rFonts w:ascii="仿宋" w:hAnsi="仿宋" w:eastAsia="仿宋" w:cs="宋体"/>
          <w:kern w:val="1"/>
          <w:sz w:val="28"/>
        </w:rPr>
        <w:t>1.评审方法：由磋商小组采用</w:t>
      </w:r>
      <w:r>
        <w:rPr>
          <w:rFonts w:ascii="仿宋" w:hAnsi="仿宋" w:eastAsia="仿宋" w:cs="宋体"/>
          <w:kern w:val="1"/>
          <w:sz w:val="28"/>
          <w:u w:val="single"/>
        </w:rPr>
        <w:t>综合评分法</w:t>
      </w:r>
      <w:r>
        <w:rPr>
          <w:rFonts w:ascii="仿宋" w:hAnsi="仿宋" w:eastAsia="仿宋" w:cs="宋体"/>
          <w:kern w:val="1"/>
          <w:sz w:val="28"/>
        </w:rPr>
        <w:t>进行综合评分。</w:t>
      </w:r>
    </w:p>
    <w:p w14:paraId="23D69841">
      <w:pPr>
        <w:adjustRightInd w:val="0"/>
        <w:snapToGrid w:val="0"/>
        <w:spacing w:line="480" w:lineRule="exact"/>
        <w:ind w:firstLine="555"/>
        <w:rPr>
          <w:rFonts w:hint="eastAsia" w:ascii="仿宋" w:hAnsi="仿宋" w:eastAsia="仿宋" w:cs="宋体"/>
          <w:kern w:val="1"/>
          <w:sz w:val="28"/>
        </w:rPr>
      </w:pPr>
      <w:r>
        <w:rPr>
          <w:rFonts w:hint="eastAsia" w:ascii="仿宋" w:hAnsi="仿宋" w:eastAsia="仿宋" w:cs="宋体"/>
          <w:kern w:val="1"/>
          <w:sz w:val="28"/>
        </w:rPr>
        <w:t>经磋商确定最终采购需求和提交最后报价的供应商后，由磋商小组采用综合评分法对提交最后报价的供应商的响应文件和最后报价进行综合评分。</w:t>
      </w:r>
    </w:p>
    <w:p w14:paraId="7A9BABB5">
      <w:pPr>
        <w:adjustRightInd w:val="0"/>
        <w:snapToGrid w:val="0"/>
        <w:spacing w:line="480" w:lineRule="exact"/>
        <w:ind w:firstLine="555"/>
        <w:rPr>
          <w:rFonts w:hint="eastAsia" w:ascii="仿宋" w:hAnsi="仿宋" w:eastAsia="仿宋" w:cs="宋体"/>
          <w:kern w:val="1"/>
          <w:sz w:val="28"/>
        </w:rPr>
      </w:pPr>
      <w:r>
        <w:rPr>
          <w:rFonts w:hint="eastAsia" w:ascii="仿宋" w:hAnsi="仿宋" w:eastAsia="仿宋" w:cs="宋体"/>
          <w:kern w:val="1"/>
          <w:sz w:val="28"/>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41174480">
      <w:pPr>
        <w:adjustRightInd w:val="0"/>
        <w:snapToGrid w:val="0"/>
        <w:spacing w:line="480" w:lineRule="exact"/>
        <w:ind w:firstLine="555"/>
        <w:rPr>
          <w:rFonts w:hint="eastAsia" w:ascii="仿宋" w:hAnsi="仿宋" w:eastAsia="仿宋" w:cs="宋体"/>
          <w:kern w:val="1"/>
          <w:sz w:val="28"/>
        </w:rPr>
      </w:pPr>
      <w:r>
        <w:rPr>
          <w:rFonts w:ascii="仿宋" w:hAnsi="仿宋" w:eastAsia="仿宋" w:cs="宋体"/>
          <w:kern w:val="1"/>
          <w:sz w:val="28"/>
        </w:rPr>
        <w:t>供应商商务技术部分和价格部分的合计分值，为该供应商的评审总得分。</w:t>
      </w:r>
    </w:p>
    <w:p w14:paraId="34ABC52E">
      <w:pPr>
        <w:adjustRightInd w:val="0"/>
        <w:snapToGrid w:val="0"/>
        <w:spacing w:line="480" w:lineRule="exact"/>
        <w:ind w:firstLine="555"/>
        <w:rPr>
          <w:rFonts w:hint="eastAsia" w:ascii="仿宋" w:hAnsi="仿宋" w:eastAsia="仿宋" w:cs="宋体"/>
          <w:kern w:val="1"/>
          <w:sz w:val="28"/>
        </w:rPr>
      </w:pPr>
      <w:r>
        <w:rPr>
          <w:rFonts w:ascii="仿宋" w:hAnsi="仿宋" w:eastAsia="仿宋" w:cs="宋体"/>
          <w:kern w:val="1"/>
          <w:sz w:val="28"/>
        </w:rPr>
        <w:t>评标结果按评审后</w:t>
      </w:r>
      <w:r>
        <w:rPr>
          <w:rFonts w:hint="eastAsia" w:ascii="仿宋" w:hAnsi="仿宋" w:eastAsia="仿宋" w:cs="宋体"/>
          <w:kern w:val="1"/>
          <w:sz w:val="28"/>
        </w:rPr>
        <w:t>总</w:t>
      </w:r>
      <w:r>
        <w:rPr>
          <w:rFonts w:ascii="仿宋" w:hAnsi="仿宋" w:eastAsia="仿宋" w:cs="宋体"/>
          <w:kern w:val="1"/>
          <w:sz w:val="28"/>
        </w:rPr>
        <w:t>得分由高到低顺序排列</w:t>
      </w:r>
      <w:r>
        <w:rPr>
          <w:rFonts w:hint="eastAsia" w:ascii="仿宋" w:hAnsi="仿宋" w:eastAsia="仿宋" w:cs="宋体"/>
          <w:kern w:val="1"/>
          <w:sz w:val="28"/>
        </w:rPr>
        <w:t>，确定成交候选人名单并按顺序确定成交供应商</w:t>
      </w:r>
      <w:r>
        <w:rPr>
          <w:rFonts w:ascii="仿宋" w:hAnsi="仿宋" w:eastAsia="仿宋" w:cs="宋体"/>
          <w:kern w:val="1"/>
          <w:sz w:val="28"/>
        </w:rPr>
        <w:t>。得分相同的，按响应报价由低到高顺序排列</w:t>
      </w:r>
      <w:r>
        <w:rPr>
          <w:rFonts w:hint="eastAsia" w:ascii="仿宋" w:hAnsi="仿宋" w:eastAsia="仿宋" w:cs="宋体"/>
          <w:kern w:val="1"/>
          <w:sz w:val="28"/>
        </w:rPr>
        <w:t>，</w:t>
      </w:r>
      <w:r>
        <w:rPr>
          <w:rFonts w:ascii="仿宋" w:hAnsi="仿宋" w:eastAsia="仿宋" w:cs="宋体"/>
          <w:kern w:val="1"/>
          <w:sz w:val="28"/>
        </w:rPr>
        <w:t>得分且响应报价相同的并列。</w:t>
      </w:r>
    </w:p>
    <w:p w14:paraId="3CB85804">
      <w:pPr>
        <w:widowControl/>
        <w:shd w:val="clear" w:color="auto" w:fill="FFFFFF"/>
        <w:spacing w:line="480" w:lineRule="exact"/>
        <w:jc w:val="left"/>
        <w:rPr>
          <w:rFonts w:hint="eastAsia" w:ascii="仿宋" w:hAnsi="仿宋" w:eastAsia="仿宋"/>
          <w:b/>
          <w:sz w:val="28"/>
          <w:szCs w:val="28"/>
        </w:rPr>
      </w:pPr>
    </w:p>
    <w:p w14:paraId="07157749">
      <w:pPr>
        <w:widowControl/>
        <w:shd w:val="clear" w:color="auto" w:fill="FFFFFF"/>
        <w:spacing w:line="480" w:lineRule="exact"/>
        <w:jc w:val="left"/>
        <w:rPr>
          <w:rFonts w:hint="eastAsia" w:ascii="仿宋" w:hAnsi="仿宋" w:eastAsia="仿宋"/>
          <w:b/>
          <w:sz w:val="28"/>
          <w:szCs w:val="28"/>
        </w:rPr>
      </w:pPr>
      <w:r>
        <w:rPr>
          <w:rFonts w:ascii="仿宋" w:hAnsi="仿宋" w:eastAsia="仿宋"/>
          <w:b/>
          <w:sz w:val="28"/>
          <w:szCs w:val="28"/>
        </w:rPr>
        <w:t>（一）采购人（代表）对供应商资格进行审查。</w:t>
      </w:r>
    </w:p>
    <w:p w14:paraId="5D8DD939">
      <w:pPr>
        <w:adjustRightInd w:val="0"/>
        <w:snapToGrid w:val="0"/>
        <w:spacing w:line="480" w:lineRule="exact"/>
        <w:ind w:firstLine="555"/>
        <w:rPr>
          <w:rFonts w:hint="eastAsia" w:ascii="仿宋" w:hAnsi="仿宋" w:eastAsia="仿宋" w:cs="宋体"/>
          <w:kern w:val="1"/>
          <w:sz w:val="28"/>
        </w:rPr>
      </w:pPr>
      <w:r>
        <w:rPr>
          <w:rFonts w:ascii="仿宋" w:hAnsi="仿宋" w:eastAsia="仿宋" w:cs="宋体"/>
          <w:kern w:val="1"/>
          <w:sz w:val="28"/>
        </w:rPr>
        <w:t>供应商资格不合格的，其响应文件判定为无效响应文件。</w:t>
      </w:r>
    </w:p>
    <w:p w14:paraId="25D35845">
      <w:pPr>
        <w:widowControl/>
        <w:shd w:val="clear" w:color="auto" w:fill="FFFFFF"/>
        <w:spacing w:line="480" w:lineRule="exact"/>
        <w:jc w:val="left"/>
        <w:rPr>
          <w:rFonts w:hint="eastAsia" w:ascii="仿宋" w:hAnsi="仿宋" w:eastAsia="仿宋"/>
          <w:b/>
          <w:sz w:val="28"/>
          <w:szCs w:val="28"/>
        </w:rPr>
      </w:pPr>
      <w:r>
        <w:rPr>
          <w:rFonts w:ascii="仿宋" w:hAnsi="仿宋" w:eastAsia="仿宋"/>
          <w:b/>
          <w:sz w:val="28"/>
          <w:szCs w:val="28"/>
        </w:rPr>
        <w:t>（二）磋商小组对符合资格供应商的响应文件进行符合性审查。</w:t>
      </w:r>
    </w:p>
    <w:p w14:paraId="37EE0C82">
      <w:pPr>
        <w:adjustRightInd w:val="0"/>
        <w:snapToGrid w:val="0"/>
        <w:spacing w:line="480" w:lineRule="exact"/>
        <w:ind w:firstLine="555"/>
        <w:rPr>
          <w:rFonts w:hint="eastAsia" w:ascii="仿宋" w:hAnsi="仿宋" w:eastAsia="仿宋" w:cs="宋体"/>
          <w:kern w:val="1"/>
          <w:sz w:val="28"/>
        </w:rPr>
      </w:pPr>
      <w:r>
        <w:rPr>
          <w:rFonts w:ascii="仿宋" w:hAnsi="仿宋" w:eastAsia="仿宋" w:cs="宋体"/>
          <w:kern w:val="1"/>
          <w:sz w:val="28"/>
        </w:rPr>
        <w:t xml:space="preserve">未通过符合性审查的响应文件，将被判为不满足磋商文件实质性要求。 </w:t>
      </w:r>
    </w:p>
    <w:p w14:paraId="4262AEF8">
      <w:pPr>
        <w:widowControl/>
        <w:shd w:val="clear" w:color="auto" w:fill="FFFFFF"/>
        <w:spacing w:line="480" w:lineRule="exact"/>
        <w:jc w:val="left"/>
        <w:rPr>
          <w:rFonts w:hint="eastAsia" w:ascii="仿宋" w:hAnsi="仿宋" w:eastAsia="仿宋" w:cs="仿宋"/>
          <w:b/>
          <w:sz w:val="28"/>
          <w:szCs w:val="28"/>
        </w:rPr>
      </w:pPr>
      <w:r>
        <w:rPr>
          <w:rFonts w:ascii="仿宋" w:hAnsi="仿宋" w:eastAsia="仿宋"/>
          <w:b/>
          <w:sz w:val="28"/>
          <w:szCs w:val="28"/>
        </w:rPr>
        <w:t>（</w:t>
      </w:r>
      <w:r>
        <w:rPr>
          <w:rFonts w:hint="eastAsia" w:ascii="仿宋" w:hAnsi="仿宋" w:eastAsia="仿宋"/>
          <w:b/>
          <w:sz w:val="28"/>
          <w:szCs w:val="28"/>
        </w:rPr>
        <w:t>三</w:t>
      </w:r>
      <w:r>
        <w:rPr>
          <w:rFonts w:ascii="仿宋" w:hAnsi="仿宋" w:eastAsia="仿宋"/>
          <w:b/>
          <w:sz w:val="28"/>
          <w:szCs w:val="28"/>
        </w:rPr>
        <w:t>）</w:t>
      </w:r>
      <w:r>
        <w:rPr>
          <w:rFonts w:hint="eastAsia" w:ascii="仿宋" w:hAnsi="仿宋" w:eastAsia="仿宋" w:cs="仿宋"/>
          <w:b/>
          <w:sz w:val="28"/>
          <w:szCs w:val="28"/>
        </w:rPr>
        <w:t>商务技术分：</w:t>
      </w:r>
      <w:r>
        <w:rPr>
          <w:rFonts w:ascii="仿宋" w:hAnsi="仿宋" w:eastAsia="仿宋" w:cs="仿宋"/>
          <w:b/>
          <w:sz w:val="28"/>
          <w:szCs w:val="28"/>
        </w:rPr>
        <w:t>70</w:t>
      </w:r>
      <w:r>
        <w:rPr>
          <w:rFonts w:hint="eastAsia" w:ascii="仿宋" w:hAnsi="仿宋" w:eastAsia="仿宋" w:cs="仿宋"/>
          <w:b/>
          <w:sz w:val="28"/>
          <w:szCs w:val="28"/>
        </w:rPr>
        <w:t>分</w:t>
      </w:r>
    </w:p>
    <w:p w14:paraId="5EDF2E78">
      <w:pPr>
        <w:adjustRightInd w:val="0"/>
        <w:snapToGrid w:val="0"/>
        <w:spacing w:line="480" w:lineRule="exact"/>
        <w:ind w:firstLine="700" w:firstLineChars="250"/>
        <w:jc w:val="left"/>
        <w:rPr>
          <w:rFonts w:hint="eastAsia" w:ascii="仿宋" w:hAnsi="仿宋" w:eastAsia="仿宋"/>
          <w:sz w:val="28"/>
          <w:szCs w:val="28"/>
        </w:rPr>
      </w:pPr>
      <w:r>
        <w:rPr>
          <w:rFonts w:ascii="仿宋" w:hAnsi="仿宋" w:eastAsia="仿宋"/>
          <w:sz w:val="28"/>
          <w:szCs w:val="28"/>
        </w:rPr>
        <w:t>各供应商得分为磋商小组成员评分的算术平均分，分值保留小数点后两位。</w:t>
      </w:r>
    </w:p>
    <w:p w14:paraId="33068B49">
      <w:pPr>
        <w:widowControl/>
        <w:shd w:val="clear" w:color="auto" w:fill="FFFFFF"/>
        <w:tabs>
          <w:tab w:val="left" w:pos="312"/>
        </w:tabs>
        <w:spacing w:line="48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rPr>
        <w:t>（一）技术分：</w:t>
      </w:r>
      <w:r>
        <w:rPr>
          <w:rFonts w:ascii="仿宋" w:hAnsi="仿宋" w:eastAsia="仿宋" w:cs="仿宋"/>
          <w:b/>
          <w:sz w:val="28"/>
          <w:szCs w:val="28"/>
        </w:rPr>
        <w:t>33</w:t>
      </w:r>
      <w:r>
        <w:rPr>
          <w:rFonts w:hint="eastAsia" w:ascii="仿宋" w:hAnsi="仿宋" w:eastAsia="仿宋" w:cs="仿宋"/>
          <w:b/>
          <w:sz w:val="28"/>
          <w:szCs w:val="28"/>
        </w:rPr>
        <w:t>分</w:t>
      </w:r>
    </w:p>
    <w:tbl>
      <w:tblPr>
        <w:tblStyle w:val="39"/>
        <w:tblW w:w="94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2"/>
        <w:gridCol w:w="1275"/>
        <w:gridCol w:w="5132"/>
        <w:gridCol w:w="709"/>
        <w:gridCol w:w="709"/>
        <w:gridCol w:w="997"/>
      </w:tblGrid>
      <w:tr w14:paraId="76E1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2" w:type="dxa"/>
            <w:vAlign w:val="center"/>
          </w:tcPr>
          <w:p w14:paraId="1D1A3342">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序号</w:t>
            </w:r>
          </w:p>
        </w:tc>
        <w:tc>
          <w:tcPr>
            <w:tcW w:w="1275" w:type="dxa"/>
            <w:vAlign w:val="center"/>
          </w:tcPr>
          <w:p w14:paraId="112D263F">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评分点名称</w:t>
            </w:r>
          </w:p>
        </w:tc>
        <w:tc>
          <w:tcPr>
            <w:tcW w:w="5132" w:type="dxa"/>
            <w:vAlign w:val="center"/>
          </w:tcPr>
          <w:p w14:paraId="0C210C5E">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评审标准</w:t>
            </w:r>
          </w:p>
        </w:tc>
        <w:tc>
          <w:tcPr>
            <w:tcW w:w="709" w:type="dxa"/>
            <w:vAlign w:val="center"/>
          </w:tcPr>
          <w:p w14:paraId="6AE41E94">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最高分</w:t>
            </w:r>
          </w:p>
        </w:tc>
        <w:tc>
          <w:tcPr>
            <w:tcW w:w="709" w:type="dxa"/>
            <w:vAlign w:val="center"/>
          </w:tcPr>
          <w:p w14:paraId="4C7608F4">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最低分</w:t>
            </w:r>
          </w:p>
        </w:tc>
        <w:tc>
          <w:tcPr>
            <w:tcW w:w="997" w:type="dxa"/>
            <w:vAlign w:val="center"/>
          </w:tcPr>
          <w:p w14:paraId="674255C6">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主/客观分</w:t>
            </w:r>
          </w:p>
        </w:tc>
      </w:tr>
      <w:tr w14:paraId="5E79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642" w:type="dxa"/>
            <w:vAlign w:val="center"/>
          </w:tcPr>
          <w:p w14:paraId="44AB51A3">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1275" w:type="dxa"/>
            <w:vAlign w:val="center"/>
          </w:tcPr>
          <w:p w14:paraId="7B67B8FF">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设备技术参数要求</w:t>
            </w:r>
          </w:p>
        </w:tc>
        <w:tc>
          <w:tcPr>
            <w:tcW w:w="5132" w:type="dxa"/>
            <w:vAlign w:val="center"/>
          </w:tcPr>
          <w:p w14:paraId="55310639">
            <w:pPr>
              <w:pStyle w:val="126"/>
              <w:jc w:val="both"/>
              <w:rPr>
                <w:rFonts w:hint="eastAsia" w:ascii="仿宋" w:hAnsi="仿宋" w:eastAsia="仿宋"/>
                <w:color w:val="000000" w:themeColor="text1"/>
              </w:rPr>
            </w:pPr>
            <w:r>
              <w:rPr>
                <w:rFonts w:hint="eastAsia" w:ascii="仿宋" w:hAnsi="仿宋" w:eastAsia="仿宋"/>
                <w:color w:val="000000" w:themeColor="text1"/>
              </w:rPr>
              <w:t>供应商所投的产品能最大程度响应技术参数要求，提供的服务及设备选型与招标技术要求吻合程度高，完全满足采购文件技术参数要求的得</w:t>
            </w:r>
            <w:r>
              <w:rPr>
                <w:rFonts w:ascii="仿宋" w:hAnsi="仿宋" w:eastAsia="仿宋"/>
                <w:color w:val="000000" w:themeColor="text1"/>
              </w:rPr>
              <w:t>33</w:t>
            </w:r>
            <w:r>
              <w:rPr>
                <w:rFonts w:hint="eastAsia" w:ascii="仿宋" w:hAnsi="仿宋" w:eastAsia="仿宋"/>
                <w:color w:val="000000" w:themeColor="text1"/>
              </w:rPr>
              <w:t>分；★号条款为实质性指标</w:t>
            </w:r>
            <w:r>
              <w:rPr>
                <w:rFonts w:ascii="仿宋" w:hAnsi="仿宋" w:eastAsia="仿宋"/>
                <w:color w:val="000000" w:themeColor="text1"/>
              </w:rPr>
              <w:t>,</w:t>
            </w:r>
            <w:r>
              <w:rPr>
                <w:rFonts w:hint="eastAsia" w:ascii="仿宋" w:hAnsi="仿宋" w:eastAsia="仿宋"/>
                <w:color w:val="000000" w:themeColor="text1"/>
              </w:rPr>
              <w:t>凡有负偏离的作无效投标处理，▲号条款为重要指标，有一项负偏离扣2分，重要技术参数▲项中要求（需按要求提供相关证明材料或者截图）的，证明材料或者功能截图需与描述功能吻合，投标响应时未提供相关证明材料或功能截图不符合要求者，视为负偏离，其它条款有一项负偏离扣</w:t>
            </w:r>
            <w:r>
              <w:rPr>
                <w:rFonts w:ascii="仿宋" w:hAnsi="仿宋" w:eastAsia="仿宋"/>
                <w:color w:val="000000" w:themeColor="text1"/>
              </w:rPr>
              <w:t>1</w:t>
            </w:r>
            <w:r>
              <w:rPr>
                <w:rFonts w:hint="eastAsia" w:ascii="仿宋" w:hAnsi="仿宋" w:eastAsia="仿宋"/>
                <w:color w:val="000000" w:themeColor="text1"/>
              </w:rPr>
              <w:t>分，扣完为止。</w:t>
            </w:r>
          </w:p>
        </w:tc>
        <w:tc>
          <w:tcPr>
            <w:tcW w:w="709" w:type="dxa"/>
            <w:vAlign w:val="center"/>
          </w:tcPr>
          <w:p w14:paraId="54C88EA6">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33</w:t>
            </w:r>
          </w:p>
        </w:tc>
        <w:tc>
          <w:tcPr>
            <w:tcW w:w="709" w:type="dxa"/>
            <w:vAlign w:val="center"/>
          </w:tcPr>
          <w:p w14:paraId="2D155D42">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7" w:type="dxa"/>
            <w:vAlign w:val="center"/>
          </w:tcPr>
          <w:p w14:paraId="27A7767C">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客观分</w:t>
            </w:r>
          </w:p>
        </w:tc>
      </w:tr>
    </w:tbl>
    <w:p w14:paraId="69DE87CE">
      <w:pPr>
        <w:widowControl/>
        <w:shd w:val="clear" w:color="auto" w:fill="FFFFFF"/>
        <w:tabs>
          <w:tab w:val="left" w:pos="312"/>
        </w:tabs>
        <w:spacing w:line="48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rPr>
        <w:t>（二）商务分：</w:t>
      </w:r>
      <w:r>
        <w:rPr>
          <w:rFonts w:ascii="仿宋" w:hAnsi="仿宋" w:eastAsia="仿宋" w:cs="仿宋"/>
          <w:b/>
          <w:sz w:val="28"/>
          <w:szCs w:val="28"/>
        </w:rPr>
        <w:t>35</w:t>
      </w:r>
      <w:r>
        <w:rPr>
          <w:rFonts w:hint="eastAsia" w:ascii="仿宋" w:hAnsi="仿宋" w:eastAsia="仿宋" w:cs="仿宋"/>
          <w:b/>
          <w:sz w:val="28"/>
          <w:szCs w:val="28"/>
        </w:rPr>
        <w:t>分</w:t>
      </w:r>
    </w:p>
    <w:tbl>
      <w:tblPr>
        <w:tblStyle w:val="39"/>
        <w:tblW w:w="9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339"/>
        <w:gridCol w:w="5103"/>
        <w:gridCol w:w="709"/>
        <w:gridCol w:w="709"/>
        <w:gridCol w:w="992"/>
      </w:tblGrid>
      <w:tr w14:paraId="6A8B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Align w:val="center"/>
          </w:tcPr>
          <w:p w14:paraId="190CD97B">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序号</w:t>
            </w:r>
          </w:p>
        </w:tc>
        <w:tc>
          <w:tcPr>
            <w:tcW w:w="1339" w:type="dxa"/>
            <w:vAlign w:val="center"/>
          </w:tcPr>
          <w:p w14:paraId="1D000FE3">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评分点名称</w:t>
            </w:r>
          </w:p>
        </w:tc>
        <w:tc>
          <w:tcPr>
            <w:tcW w:w="5103" w:type="dxa"/>
            <w:vAlign w:val="center"/>
          </w:tcPr>
          <w:p w14:paraId="266E46E4">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评审标准</w:t>
            </w:r>
          </w:p>
        </w:tc>
        <w:tc>
          <w:tcPr>
            <w:tcW w:w="709" w:type="dxa"/>
            <w:vAlign w:val="center"/>
          </w:tcPr>
          <w:p w14:paraId="6FA260FB">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最高分</w:t>
            </w:r>
          </w:p>
        </w:tc>
        <w:tc>
          <w:tcPr>
            <w:tcW w:w="709" w:type="dxa"/>
            <w:vAlign w:val="center"/>
          </w:tcPr>
          <w:p w14:paraId="436F7A50">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最低分</w:t>
            </w:r>
          </w:p>
        </w:tc>
        <w:tc>
          <w:tcPr>
            <w:tcW w:w="992" w:type="dxa"/>
            <w:vAlign w:val="center"/>
          </w:tcPr>
          <w:p w14:paraId="26B43617">
            <w:pPr>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主/客观分</w:t>
            </w:r>
          </w:p>
        </w:tc>
      </w:tr>
      <w:tr w14:paraId="4707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Align w:val="center"/>
          </w:tcPr>
          <w:p w14:paraId="133D0201">
            <w:pPr>
              <w:jc w:val="center"/>
              <w:rPr>
                <w:rFonts w:hint="eastAsia" w:ascii="仿宋" w:hAnsi="仿宋" w:eastAsia="仿宋" w:cs="仿宋"/>
                <w:bCs/>
                <w:color w:val="000000" w:themeColor="text1"/>
                <w:sz w:val="24"/>
              </w:rPr>
            </w:pPr>
            <w:bookmarkStart w:id="24" w:name="_Hlk202427501"/>
            <w:bookmarkStart w:id="25" w:name="_Hlk202434278"/>
            <w:r>
              <w:rPr>
                <w:rFonts w:hint="eastAsia" w:ascii="仿宋" w:hAnsi="仿宋" w:eastAsia="仿宋" w:cs="仿宋"/>
                <w:bCs/>
                <w:color w:val="000000" w:themeColor="text1"/>
                <w:sz w:val="24"/>
              </w:rPr>
              <w:t>1</w:t>
            </w:r>
          </w:p>
        </w:tc>
        <w:tc>
          <w:tcPr>
            <w:tcW w:w="1339" w:type="dxa"/>
            <w:vAlign w:val="center"/>
          </w:tcPr>
          <w:p w14:paraId="2682A3CD">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设备技术能力</w:t>
            </w:r>
          </w:p>
        </w:tc>
        <w:tc>
          <w:tcPr>
            <w:tcW w:w="5103" w:type="dxa"/>
            <w:vAlign w:val="center"/>
          </w:tcPr>
          <w:p w14:paraId="7CD2B53A">
            <w:pPr>
              <w:snapToGrid w:val="0"/>
              <w:jc w:val="left"/>
              <w:rPr>
                <w:rFonts w:hint="eastAsia" w:ascii="仿宋" w:hAnsi="仿宋" w:eastAsia="仿宋"/>
                <w:sz w:val="24"/>
              </w:rPr>
            </w:pPr>
            <w:r>
              <w:rPr>
                <w:rFonts w:hint="eastAsia" w:ascii="仿宋" w:hAnsi="仿宋" w:eastAsia="仿宋"/>
                <w:sz w:val="24"/>
              </w:rPr>
              <w:t>（1）所投零信任产品可配置在触发异常环境的条件时，用户需完成增强认证才可登录。可配置的异常环境包括但不限于：帐号首次登录、帐号在该终端首次登录、闲置帐号登录、弱密码登录、异常时间登录、非常用地点登录，</w:t>
            </w:r>
            <w:r>
              <w:rPr>
                <w:rFonts w:hint="eastAsia" w:ascii="仿宋" w:hAnsi="仿宋" w:eastAsia="仿宋" w:cs="宋体"/>
                <w:bCs/>
                <w:sz w:val="24"/>
                <w:lang w:val="zh-TW" w:bidi="ar"/>
              </w:rPr>
              <w:t>提供产品功能截图</w:t>
            </w:r>
            <w:r>
              <w:rPr>
                <w:rFonts w:hint="eastAsia" w:ascii="仿宋" w:hAnsi="仿宋" w:eastAsia="仿宋"/>
                <w:sz w:val="24"/>
              </w:rPr>
              <w:t>的得2分，否则不得分，</w:t>
            </w:r>
            <w:r>
              <w:rPr>
                <w:rFonts w:hint="eastAsia" w:ascii="仿宋" w:hAnsi="仿宋" w:eastAsia="仿宋" w:cs="宋体"/>
                <w:color w:val="000000"/>
                <w:kern w:val="0"/>
                <w:sz w:val="24"/>
                <w:lang w:bidi="ar"/>
              </w:rPr>
              <w:t>中标后签订合同前需加盖厂商公章。</w:t>
            </w:r>
          </w:p>
          <w:p w14:paraId="3A7F7665">
            <w:pPr>
              <w:snapToGrid w:val="0"/>
              <w:jc w:val="left"/>
              <w:rPr>
                <w:rFonts w:hint="eastAsia" w:ascii="仿宋" w:hAnsi="仿宋" w:eastAsia="仿宋"/>
                <w:sz w:val="24"/>
              </w:rPr>
            </w:pPr>
            <w:r>
              <w:rPr>
                <w:rFonts w:hint="eastAsia" w:ascii="仿宋" w:hAnsi="仿宋" w:eastAsia="仿宋"/>
                <w:sz w:val="24"/>
              </w:rPr>
              <w:t>（2）所投零信任产品支持管理员自行配置单位的弱密码库，可配置不少于10W行的弱密码，提供产品功能截图的得2分，否则不得分，</w:t>
            </w:r>
            <w:r>
              <w:rPr>
                <w:rFonts w:hint="eastAsia" w:ascii="仿宋" w:hAnsi="仿宋" w:eastAsia="仿宋" w:cs="宋体"/>
                <w:color w:val="000000"/>
                <w:kern w:val="0"/>
                <w:sz w:val="24"/>
                <w:lang w:bidi="ar"/>
              </w:rPr>
              <w:t>中标后签订合同前需加盖厂商公章。</w:t>
            </w:r>
          </w:p>
          <w:p w14:paraId="46EDD223">
            <w:pPr>
              <w:snapToGrid w:val="0"/>
              <w:jc w:val="left"/>
              <w:rPr>
                <w:rFonts w:hint="eastAsia" w:ascii="仿宋" w:hAnsi="仿宋" w:eastAsia="仿宋"/>
                <w:sz w:val="24"/>
              </w:rPr>
            </w:pPr>
            <w:r>
              <w:rPr>
                <w:rFonts w:hint="eastAsia" w:ascii="仿宋" w:hAnsi="仿宋" w:eastAsia="仿宋"/>
                <w:sz w:val="24"/>
              </w:rPr>
              <w:t>（3）所投零信任产品具有自身安全性，具备国家计算机网络应急技术处理协调中心出具的安全众测无漏洞证明文件，提供相关证明材料的得2分，否则不得分，</w:t>
            </w:r>
            <w:r>
              <w:rPr>
                <w:rFonts w:hint="eastAsia" w:ascii="仿宋" w:hAnsi="仿宋" w:eastAsia="仿宋" w:cs="宋体"/>
                <w:color w:val="000000"/>
                <w:kern w:val="0"/>
                <w:sz w:val="24"/>
                <w:lang w:bidi="ar"/>
              </w:rPr>
              <w:t>中标后签订合同前需加盖厂商公章。</w:t>
            </w:r>
          </w:p>
          <w:p w14:paraId="2CA37390">
            <w:pPr>
              <w:snapToGrid w:val="0"/>
              <w:jc w:val="left"/>
              <w:rPr>
                <w:rFonts w:hint="eastAsia" w:ascii="仿宋" w:hAnsi="仿宋" w:eastAsia="仿宋"/>
                <w:sz w:val="24"/>
              </w:rPr>
            </w:pPr>
            <w:r>
              <w:rPr>
                <w:rFonts w:hint="eastAsia" w:ascii="仿宋" w:hAnsi="仿宋" w:eastAsia="仿宋"/>
                <w:sz w:val="24"/>
              </w:rPr>
              <w:t>（4）所投终端杀毒软件支持跳转链接至云端威胁情报中心，针对已发生的威胁提供详细的分析结果，包含威胁分析、网络行为、静态分析、分析环境和影响分析，提供产品功能截图的得2分，否则不得分，</w:t>
            </w:r>
            <w:r>
              <w:rPr>
                <w:rFonts w:hint="eastAsia" w:ascii="仿宋" w:hAnsi="仿宋" w:eastAsia="仿宋" w:cs="宋体"/>
                <w:color w:val="000000"/>
                <w:kern w:val="0"/>
                <w:sz w:val="24"/>
                <w:lang w:bidi="ar"/>
              </w:rPr>
              <w:t>中标后签订合同前需加盖厂商公章。</w:t>
            </w:r>
          </w:p>
          <w:p w14:paraId="159535E7">
            <w:pPr>
              <w:snapToGrid w:val="0"/>
              <w:jc w:val="left"/>
              <w:rPr>
                <w:rFonts w:hint="eastAsia" w:ascii="仿宋" w:hAnsi="仿宋" w:eastAsia="仿宋"/>
                <w:sz w:val="24"/>
              </w:rPr>
            </w:pPr>
            <w:r>
              <w:rPr>
                <w:rFonts w:hint="eastAsia" w:ascii="仿宋" w:hAnsi="仿宋" w:eastAsia="仿宋"/>
                <w:sz w:val="24"/>
              </w:rPr>
              <w:t>（5）所投终端杀毒软件支持一键云鉴定服务，提供云端专家+沙箱+多引擎鉴定能力，结合云端威胁情报对已告警的威胁文件再次进行综合研判并给出100%黑白结果，用户可自助对管理平台告警的威胁快速判断是否误报和了解威胁详情，提供产品功能截图的得2分，否则不得分，</w:t>
            </w:r>
            <w:r>
              <w:rPr>
                <w:rFonts w:hint="eastAsia" w:ascii="仿宋" w:hAnsi="仿宋" w:eastAsia="仿宋" w:cs="宋体"/>
                <w:color w:val="000000"/>
                <w:kern w:val="0"/>
                <w:sz w:val="24"/>
                <w:lang w:bidi="ar"/>
              </w:rPr>
              <w:t>中标后签订合同前需加盖厂商公章。</w:t>
            </w:r>
          </w:p>
          <w:p w14:paraId="1841A98D">
            <w:pPr>
              <w:snapToGrid w:val="0"/>
              <w:jc w:val="left"/>
              <w:rPr>
                <w:rFonts w:hint="eastAsia" w:ascii="仿宋" w:hAnsi="仿宋" w:eastAsia="仿宋"/>
                <w:sz w:val="24"/>
              </w:rPr>
            </w:pPr>
            <w:r>
              <w:rPr>
                <w:rFonts w:hint="eastAsia" w:ascii="仿宋" w:hAnsi="仿宋" w:eastAsia="仿宋"/>
                <w:sz w:val="24"/>
              </w:rPr>
              <w:t>（6）所投终端杀毒软件支持勒索可疑行为检测，通过行为AI能力对勒索信、命令行、修改文件等多种躲避式投放勒索病毒的高危高频场景进行精准告警和自动拦截，提供产品功能截图的得2分，否则不得分，</w:t>
            </w:r>
            <w:r>
              <w:rPr>
                <w:rFonts w:hint="eastAsia" w:ascii="仿宋" w:hAnsi="仿宋" w:eastAsia="仿宋" w:cs="宋体"/>
                <w:color w:val="000000"/>
                <w:kern w:val="0"/>
                <w:sz w:val="24"/>
                <w:lang w:bidi="ar"/>
              </w:rPr>
              <w:t>中标后签订合同前需加盖厂商公章。</w:t>
            </w:r>
          </w:p>
        </w:tc>
        <w:tc>
          <w:tcPr>
            <w:tcW w:w="709" w:type="dxa"/>
            <w:vAlign w:val="center"/>
          </w:tcPr>
          <w:p w14:paraId="2A123667">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12</w:t>
            </w:r>
          </w:p>
        </w:tc>
        <w:tc>
          <w:tcPr>
            <w:tcW w:w="709" w:type="dxa"/>
            <w:vAlign w:val="center"/>
          </w:tcPr>
          <w:p w14:paraId="17BDDF64">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2" w:type="dxa"/>
            <w:vAlign w:val="center"/>
          </w:tcPr>
          <w:p w14:paraId="6A2FCE3A">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客观分</w:t>
            </w:r>
          </w:p>
        </w:tc>
      </w:tr>
      <w:bookmarkEnd w:id="24"/>
      <w:tr w14:paraId="1D77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Align w:val="center"/>
          </w:tcPr>
          <w:p w14:paraId="02A76A9A">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w:t>
            </w:r>
          </w:p>
        </w:tc>
        <w:tc>
          <w:tcPr>
            <w:tcW w:w="1339" w:type="dxa"/>
            <w:vAlign w:val="center"/>
          </w:tcPr>
          <w:p w14:paraId="6BB153D5">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企业履约能力</w:t>
            </w:r>
          </w:p>
        </w:tc>
        <w:tc>
          <w:tcPr>
            <w:tcW w:w="5103" w:type="dxa"/>
            <w:vAlign w:val="center"/>
          </w:tcPr>
          <w:p w14:paraId="0CEA13F0">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（1）投标单位具有质量管理体系认证、环境管理体系认证、职业健康安全管理体系认证，有一个得</w:t>
            </w:r>
            <w:r>
              <w:rPr>
                <w:rFonts w:ascii="仿宋" w:hAnsi="仿宋" w:eastAsia="仿宋" w:cs="仿宋"/>
                <w:bCs/>
                <w:color w:val="000000" w:themeColor="text1"/>
                <w:sz w:val="24"/>
              </w:rPr>
              <w:t>0.5</w:t>
            </w:r>
            <w:r>
              <w:rPr>
                <w:rFonts w:hint="eastAsia" w:ascii="仿宋" w:hAnsi="仿宋" w:eastAsia="仿宋" w:cs="仿宋"/>
                <w:bCs/>
                <w:color w:val="000000" w:themeColor="text1"/>
                <w:sz w:val="24"/>
              </w:rPr>
              <w:t>分，三证齐全的得</w:t>
            </w:r>
            <w:r>
              <w:rPr>
                <w:rFonts w:ascii="仿宋" w:hAnsi="仿宋" w:eastAsia="仿宋" w:cs="仿宋"/>
                <w:bCs/>
                <w:color w:val="000000" w:themeColor="text1"/>
                <w:sz w:val="24"/>
              </w:rPr>
              <w:t>2</w:t>
            </w:r>
            <w:r>
              <w:rPr>
                <w:rFonts w:hint="eastAsia" w:ascii="仿宋" w:hAnsi="仿宋" w:eastAsia="仿宋" w:cs="仿宋"/>
                <w:bCs/>
                <w:color w:val="000000" w:themeColor="text1"/>
                <w:sz w:val="24"/>
              </w:rPr>
              <w:t>分</w:t>
            </w:r>
            <w:r>
              <w:rPr>
                <w:rFonts w:hint="eastAsia" w:ascii="仿宋" w:hAnsi="仿宋" w:eastAsia="仿宋" w:cs="仿宋"/>
                <w:bCs/>
                <w:sz w:val="24"/>
              </w:rPr>
              <w:t>，没有不得分</w:t>
            </w:r>
            <w:r>
              <w:rPr>
                <w:rFonts w:hint="eastAsia" w:ascii="仿宋" w:hAnsi="仿宋" w:eastAsia="仿宋" w:cs="仿宋"/>
                <w:bCs/>
                <w:color w:val="000000" w:themeColor="text1"/>
                <w:sz w:val="24"/>
              </w:rPr>
              <w:t>。</w:t>
            </w:r>
          </w:p>
          <w:p w14:paraId="0B0B847B">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2</w:t>
            </w:r>
            <w:r>
              <w:rPr>
                <w:rFonts w:hint="eastAsia" w:ascii="仿宋" w:hAnsi="仿宋" w:eastAsia="仿宋" w:cs="仿宋"/>
                <w:bCs/>
                <w:color w:val="000000" w:themeColor="text1"/>
                <w:sz w:val="24"/>
              </w:rPr>
              <w:t>）投标单位具有信息系统建设和服务能力等级证书，提供证书复印件的得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w:t>
            </w:r>
            <w:r>
              <w:rPr>
                <w:rFonts w:hint="eastAsia" w:ascii="仿宋" w:hAnsi="仿宋" w:eastAsia="仿宋" w:cs="仿宋"/>
                <w:bCs/>
                <w:sz w:val="24"/>
              </w:rPr>
              <w:t>，没有不得分</w:t>
            </w:r>
            <w:r>
              <w:rPr>
                <w:rFonts w:hint="eastAsia" w:ascii="仿宋" w:hAnsi="仿宋" w:eastAsia="仿宋" w:cs="仿宋"/>
                <w:bCs/>
                <w:color w:val="000000" w:themeColor="text1"/>
                <w:sz w:val="24"/>
              </w:rPr>
              <w:t>。</w:t>
            </w:r>
          </w:p>
          <w:p w14:paraId="53E60F31">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3）</w:t>
            </w:r>
            <w:r>
              <w:rPr>
                <w:rFonts w:hint="eastAsia" w:ascii="仿宋" w:hAnsi="仿宋" w:eastAsia="仿宋" w:cs="仿宋"/>
                <w:bCs/>
                <w:color w:val="000000" w:themeColor="text1"/>
                <w:sz w:val="24"/>
              </w:rPr>
              <w:t>投标单位具有信息安全服务资质认证证书（信息系统安全集成服务)证书的，提供证书复印件的得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w:t>
            </w:r>
            <w:r>
              <w:rPr>
                <w:rFonts w:hint="eastAsia" w:ascii="仿宋" w:hAnsi="仿宋" w:eastAsia="仿宋" w:cs="仿宋"/>
                <w:bCs/>
                <w:sz w:val="24"/>
              </w:rPr>
              <w:t>，没有不得分</w:t>
            </w:r>
            <w:r>
              <w:rPr>
                <w:rFonts w:hint="eastAsia" w:ascii="仿宋" w:hAnsi="仿宋" w:eastAsia="仿宋" w:cs="仿宋"/>
                <w:bCs/>
                <w:color w:val="000000" w:themeColor="text1"/>
                <w:sz w:val="24"/>
              </w:rPr>
              <w:t>。</w:t>
            </w:r>
          </w:p>
          <w:p w14:paraId="3BE1A098">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4）</w:t>
            </w:r>
            <w:r>
              <w:rPr>
                <w:rFonts w:hint="eastAsia" w:ascii="仿宋" w:hAnsi="仿宋" w:eastAsia="仿宋" w:cs="仿宋"/>
                <w:bCs/>
                <w:color w:val="000000" w:themeColor="text1"/>
                <w:sz w:val="24"/>
              </w:rPr>
              <w:t>投标单位具有信息安全服务资质认证证书（信息安全风险评估服务)证书的，提供证书复印件的得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w:t>
            </w:r>
            <w:r>
              <w:rPr>
                <w:rFonts w:hint="eastAsia" w:ascii="仿宋" w:hAnsi="仿宋" w:eastAsia="仿宋" w:cs="仿宋"/>
                <w:bCs/>
                <w:sz w:val="24"/>
              </w:rPr>
              <w:t>，没有不得分</w:t>
            </w:r>
            <w:r>
              <w:rPr>
                <w:rFonts w:hint="eastAsia" w:ascii="仿宋" w:hAnsi="仿宋" w:eastAsia="仿宋" w:cs="仿宋"/>
                <w:bCs/>
                <w:color w:val="000000" w:themeColor="text1"/>
                <w:sz w:val="24"/>
              </w:rPr>
              <w:t>。</w:t>
            </w:r>
          </w:p>
          <w:p w14:paraId="59DAC03B">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5</w:t>
            </w:r>
            <w:r>
              <w:rPr>
                <w:rFonts w:hint="eastAsia" w:ascii="仿宋" w:hAnsi="仿宋" w:eastAsia="仿宋" w:cs="仿宋"/>
                <w:bCs/>
                <w:color w:val="000000" w:themeColor="text1"/>
                <w:sz w:val="24"/>
              </w:rPr>
              <w:t>）投标单位具有信息技术服务标准（运行维护服务）符合性证书的，提供证书复印件的得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w:t>
            </w:r>
            <w:r>
              <w:rPr>
                <w:rFonts w:hint="eastAsia" w:ascii="仿宋" w:hAnsi="仿宋" w:eastAsia="仿宋" w:cs="仿宋"/>
                <w:bCs/>
                <w:sz w:val="24"/>
              </w:rPr>
              <w:t>，没有不得分</w:t>
            </w:r>
            <w:r>
              <w:rPr>
                <w:rFonts w:hint="eastAsia" w:ascii="仿宋" w:hAnsi="仿宋" w:eastAsia="仿宋" w:cs="仿宋"/>
                <w:bCs/>
                <w:color w:val="000000" w:themeColor="text1"/>
                <w:sz w:val="24"/>
              </w:rPr>
              <w:t>。</w:t>
            </w:r>
          </w:p>
          <w:p w14:paraId="380D8F8B">
            <w:pPr>
              <w:jc w:val="left"/>
              <w:rPr>
                <w:rFonts w:hint="eastAsia" w:ascii="仿宋" w:hAnsi="仿宋" w:eastAsia="仿宋" w:cs="仿宋"/>
                <w:bCs/>
                <w:color w:val="FF0000"/>
                <w:sz w:val="24"/>
              </w:rPr>
            </w:pPr>
            <w:r>
              <w:rPr>
                <w:rFonts w:hint="eastAsia" w:ascii="仿宋" w:hAnsi="仿宋" w:eastAsia="仿宋" w:cs="仿宋"/>
                <w:bCs/>
                <w:sz w:val="24"/>
              </w:rPr>
              <w:t>（</w:t>
            </w:r>
            <w:r>
              <w:rPr>
                <w:rFonts w:ascii="仿宋" w:hAnsi="仿宋" w:eastAsia="仿宋" w:cs="仿宋"/>
                <w:bCs/>
                <w:sz w:val="24"/>
              </w:rPr>
              <w:t>6</w:t>
            </w:r>
            <w:r>
              <w:rPr>
                <w:rFonts w:hint="eastAsia" w:ascii="仿宋" w:hAnsi="仿宋" w:eastAsia="仿宋" w:cs="仿宋"/>
                <w:bCs/>
                <w:sz w:val="24"/>
              </w:rPr>
              <w:t>）投标单位具有电子与智能化工程专业承包壹级资质证书的,</w:t>
            </w:r>
            <w:r>
              <w:rPr>
                <w:rFonts w:hint="eastAsia" w:ascii="仿宋" w:hAnsi="仿宋" w:eastAsia="仿宋" w:cs="仿宋"/>
                <w:bCs/>
                <w:color w:val="000000" w:themeColor="text1"/>
                <w:sz w:val="24"/>
              </w:rPr>
              <w:t xml:space="preserve"> 提供证书复印件的得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w:t>
            </w:r>
            <w:r>
              <w:rPr>
                <w:rFonts w:hint="eastAsia" w:ascii="仿宋" w:hAnsi="仿宋" w:eastAsia="仿宋" w:cs="仿宋"/>
                <w:bCs/>
                <w:sz w:val="24"/>
              </w:rPr>
              <w:t>得1分，没有不得分。</w:t>
            </w:r>
          </w:p>
        </w:tc>
        <w:tc>
          <w:tcPr>
            <w:tcW w:w="709" w:type="dxa"/>
            <w:vAlign w:val="center"/>
          </w:tcPr>
          <w:p w14:paraId="7B48A7DA">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7</w:t>
            </w:r>
          </w:p>
        </w:tc>
        <w:tc>
          <w:tcPr>
            <w:tcW w:w="709" w:type="dxa"/>
            <w:vAlign w:val="center"/>
          </w:tcPr>
          <w:p w14:paraId="2D5C46AA">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2" w:type="dxa"/>
            <w:vAlign w:val="center"/>
          </w:tcPr>
          <w:p w14:paraId="480FB3F6">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客观分</w:t>
            </w:r>
          </w:p>
        </w:tc>
      </w:tr>
      <w:tr w14:paraId="584C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trPr>
        <w:tc>
          <w:tcPr>
            <w:tcW w:w="607" w:type="dxa"/>
            <w:vAlign w:val="center"/>
          </w:tcPr>
          <w:p w14:paraId="14393AE8">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w:t>
            </w:r>
          </w:p>
        </w:tc>
        <w:tc>
          <w:tcPr>
            <w:tcW w:w="1339" w:type="dxa"/>
            <w:vAlign w:val="center"/>
          </w:tcPr>
          <w:p w14:paraId="729586AF">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人员技术能力</w:t>
            </w:r>
          </w:p>
        </w:tc>
        <w:tc>
          <w:tcPr>
            <w:tcW w:w="5103" w:type="dxa"/>
            <w:vAlign w:val="center"/>
          </w:tcPr>
          <w:p w14:paraId="6D5CCE73">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（1）投标单位拟派项目管理人员具有高级信息系统项目管理师证书的，每有1个得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分，最高</w:t>
            </w:r>
            <w:r>
              <w:rPr>
                <w:rFonts w:ascii="仿宋" w:hAnsi="仿宋" w:eastAsia="仿宋" w:cs="仿宋"/>
                <w:bCs/>
                <w:color w:val="000000" w:themeColor="text1"/>
                <w:sz w:val="24"/>
              </w:rPr>
              <w:t>2</w:t>
            </w:r>
            <w:r>
              <w:rPr>
                <w:rFonts w:hint="eastAsia" w:ascii="仿宋" w:hAnsi="仿宋" w:eastAsia="仿宋" w:cs="仿宋"/>
                <w:bCs/>
                <w:color w:val="000000" w:themeColor="text1"/>
                <w:sz w:val="24"/>
              </w:rPr>
              <w:t>分。</w:t>
            </w:r>
          </w:p>
          <w:p w14:paraId="1C68FAC1">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2</w:t>
            </w:r>
            <w:r>
              <w:rPr>
                <w:rFonts w:hint="eastAsia" w:ascii="仿宋" w:hAnsi="仿宋" w:eastAsia="仿宋" w:cs="仿宋"/>
                <w:bCs/>
                <w:color w:val="000000" w:themeColor="text1"/>
                <w:sz w:val="24"/>
              </w:rPr>
              <w:t>）投标单位拟派项目实施人员具有ITSS服务工程师证书的，每有1个得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分，最高</w:t>
            </w:r>
            <w:r>
              <w:rPr>
                <w:rFonts w:ascii="仿宋" w:hAnsi="仿宋" w:eastAsia="仿宋" w:cs="仿宋"/>
                <w:bCs/>
                <w:color w:val="000000" w:themeColor="text1"/>
                <w:sz w:val="24"/>
              </w:rPr>
              <w:t>2</w:t>
            </w:r>
            <w:r>
              <w:rPr>
                <w:rFonts w:hint="eastAsia" w:ascii="仿宋" w:hAnsi="仿宋" w:eastAsia="仿宋" w:cs="仿宋"/>
                <w:bCs/>
                <w:color w:val="000000" w:themeColor="text1"/>
                <w:sz w:val="24"/>
              </w:rPr>
              <w:t>分。</w:t>
            </w:r>
          </w:p>
          <w:p w14:paraId="02688407">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3</w:t>
            </w:r>
            <w:r>
              <w:rPr>
                <w:rFonts w:hint="eastAsia" w:ascii="仿宋" w:hAnsi="仿宋" w:eastAsia="仿宋" w:cs="仿宋"/>
                <w:bCs/>
                <w:color w:val="000000" w:themeColor="text1"/>
                <w:sz w:val="24"/>
              </w:rPr>
              <w:t>）投标单位拟派项目实施人员具有注册信息安全工程师证书的，每有1个得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分，最高</w:t>
            </w:r>
            <w:r>
              <w:rPr>
                <w:rFonts w:ascii="仿宋" w:hAnsi="仿宋" w:eastAsia="仿宋" w:cs="仿宋"/>
                <w:bCs/>
                <w:color w:val="000000" w:themeColor="text1"/>
                <w:sz w:val="24"/>
              </w:rPr>
              <w:t>2</w:t>
            </w:r>
            <w:r>
              <w:rPr>
                <w:rFonts w:hint="eastAsia" w:ascii="仿宋" w:hAnsi="仿宋" w:eastAsia="仿宋" w:cs="仿宋"/>
                <w:bCs/>
                <w:color w:val="000000" w:themeColor="text1"/>
                <w:sz w:val="24"/>
              </w:rPr>
              <w:t xml:space="preserve">分。 </w:t>
            </w:r>
          </w:p>
          <w:p w14:paraId="7E9D9FB6">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4</w:t>
            </w:r>
            <w:r>
              <w:rPr>
                <w:rFonts w:hint="eastAsia" w:ascii="仿宋" w:hAnsi="仿宋" w:eastAsia="仿宋" w:cs="仿宋"/>
                <w:bCs/>
                <w:color w:val="000000" w:themeColor="text1"/>
                <w:sz w:val="24"/>
              </w:rPr>
              <w:t>）投标单位拟派项目实施人员具有售后服务管理师证书的，每有1个得</w:t>
            </w:r>
            <w:r>
              <w:rPr>
                <w:rFonts w:ascii="仿宋" w:hAnsi="仿宋" w:eastAsia="仿宋" w:cs="仿宋"/>
                <w:bCs/>
                <w:color w:val="000000" w:themeColor="text1"/>
                <w:sz w:val="24"/>
              </w:rPr>
              <w:t>1</w:t>
            </w:r>
            <w:r>
              <w:rPr>
                <w:rFonts w:hint="eastAsia" w:ascii="仿宋" w:hAnsi="仿宋" w:eastAsia="仿宋" w:cs="仿宋"/>
                <w:bCs/>
                <w:color w:val="000000" w:themeColor="text1"/>
                <w:sz w:val="24"/>
              </w:rPr>
              <w:t>分，最高</w:t>
            </w:r>
            <w:r>
              <w:rPr>
                <w:rFonts w:ascii="仿宋" w:hAnsi="仿宋" w:eastAsia="仿宋" w:cs="仿宋"/>
                <w:bCs/>
                <w:color w:val="000000" w:themeColor="text1"/>
                <w:sz w:val="24"/>
              </w:rPr>
              <w:t>2</w:t>
            </w:r>
            <w:r>
              <w:rPr>
                <w:rFonts w:hint="eastAsia" w:ascii="仿宋" w:hAnsi="仿宋" w:eastAsia="仿宋" w:cs="仿宋"/>
                <w:bCs/>
                <w:color w:val="000000" w:themeColor="text1"/>
                <w:sz w:val="24"/>
              </w:rPr>
              <w:t>分。</w:t>
            </w:r>
          </w:p>
          <w:p w14:paraId="0004F88B">
            <w:pPr>
              <w:jc w:val="lef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w:t>
            </w:r>
            <w:r>
              <w:rPr>
                <w:rFonts w:ascii="仿宋" w:hAnsi="仿宋" w:eastAsia="仿宋" w:cs="仿宋"/>
                <w:bCs/>
                <w:color w:val="000000" w:themeColor="text1"/>
                <w:sz w:val="24"/>
              </w:rPr>
              <w:t>需提供</w:t>
            </w:r>
            <w:r>
              <w:rPr>
                <w:rFonts w:hint="eastAsia" w:ascii="仿宋" w:hAnsi="仿宋" w:eastAsia="仿宋" w:cs="仿宋"/>
                <w:bCs/>
                <w:color w:val="000000" w:themeColor="text1"/>
                <w:sz w:val="24"/>
              </w:rPr>
              <w:t>有效期内的</w:t>
            </w:r>
            <w:r>
              <w:rPr>
                <w:rFonts w:ascii="仿宋" w:hAnsi="仿宋" w:eastAsia="仿宋" w:cs="仿宋"/>
                <w:bCs/>
                <w:color w:val="000000" w:themeColor="text1"/>
                <w:sz w:val="24"/>
              </w:rPr>
              <w:t>相应资质证书和社保机构出具并盖章(或网上查询打印带电子印章)的投标企业为其交纳的投标前连续3个月社保缴费记录，同一人只采用1个证书。</w:t>
            </w:r>
            <w:r>
              <w:rPr>
                <w:rFonts w:hint="eastAsia" w:ascii="仿宋" w:hAnsi="仿宋" w:eastAsia="仿宋" w:cs="仿宋"/>
                <w:bCs/>
                <w:color w:val="000000" w:themeColor="text1"/>
                <w:sz w:val="24"/>
              </w:rPr>
              <w:t>）</w:t>
            </w:r>
          </w:p>
        </w:tc>
        <w:tc>
          <w:tcPr>
            <w:tcW w:w="709" w:type="dxa"/>
            <w:vAlign w:val="center"/>
          </w:tcPr>
          <w:p w14:paraId="59BF946E">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8</w:t>
            </w:r>
          </w:p>
        </w:tc>
        <w:tc>
          <w:tcPr>
            <w:tcW w:w="709" w:type="dxa"/>
            <w:vAlign w:val="center"/>
          </w:tcPr>
          <w:p w14:paraId="25AE390C">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2" w:type="dxa"/>
            <w:vAlign w:val="center"/>
          </w:tcPr>
          <w:p w14:paraId="27CF5714">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客观分</w:t>
            </w:r>
          </w:p>
        </w:tc>
      </w:tr>
      <w:tr w14:paraId="34BC3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Align w:val="center"/>
          </w:tcPr>
          <w:p w14:paraId="06E40EEF">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4</w:t>
            </w:r>
          </w:p>
        </w:tc>
        <w:tc>
          <w:tcPr>
            <w:tcW w:w="1339" w:type="dxa"/>
            <w:vAlign w:val="center"/>
          </w:tcPr>
          <w:p w14:paraId="761DA071">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项目案例</w:t>
            </w:r>
          </w:p>
        </w:tc>
        <w:tc>
          <w:tcPr>
            <w:tcW w:w="5103" w:type="dxa"/>
            <w:vAlign w:val="center"/>
          </w:tcPr>
          <w:p w14:paraId="69A1030A">
            <w:pPr>
              <w:snapToGrid w:val="0"/>
              <w:jc w:val="left"/>
              <w:rPr>
                <w:rFonts w:hint="eastAsia" w:ascii="仿宋" w:hAnsi="仿宋" w:eastAsia="仿宋"/>
                <w:bCs/>
                <w:color w:val="000000" w:themeColor="text1"/>
                <w:sz w:val="24"/>
              </w:rPr>
            </w:pPr>
            <w:r>
              <w:rPr>
                <w:rFonts w:hint="eastAsia" w:ascii="仿宋" w:hAnsi="仿宋" w:eastAsia="仿宋"/>
                <w:bCs/>
                <w:color w:val="000000" w:themeColor="text1"/>
                <w:sz w:val="24"/>
              </w:rPr>
              <w:t>投标单位需提供3年（202</w:t>
            </w:r>
            <w:r>
              <w:rPr>
                <w:rFonts w:ascii="仿宋" w:hAnsi="仿宋" w:eastAsia="仿宋"/>
                <w:bCs/>
                <w:color w:val="000000" w:themeColor="text1"/>
                <w:sz w:val="24"/>
              </w:rPr>
              <w:t>2</w:t>
            </w:r>
            <w:r>
              <w:rPr>
                <w:rFonts w:hint="eastAsia" w:ascii="仿宋" w:hAnsi="仿宋" w:eastAsia="仿宋"/>
                <w:bCs/>
                <w:color w:val="000000" w:themeColor="text1"/>
                <w:sz w:val="24"/>
              </w:rPr>
              <w:t>年-202</w:t>
            </w:r>
            <w:r>
              <w:rPr>
                <w:rFonts w:ascii="仿宋" w:hAnsi="仿宋" w:eastAsia="仿宋"/>
                <w:bCs/>
                <w:color w:val="000000" w:themeColor="text1"/>
                <w:sz w:val="24"/>
              </w:rPr>
              <w:t>4</w:t>
            </w:r>
            <w:r>
              <w:rPr>
                <w:rFonts w:hint="eastAsia" w:ascii="仿宋" w:hAnsi="仿宋" w:eastAsia="仿宋"/>
                <w:bCs/>
                <w:color w:val="000000" w:themeColor="text1"/>
                <w:sz w:val="24"/>
              </w:rPr>
              <w:t>年）信息系统建设类似案例，有一个得</w:t>
            </w:r>
            <w:r>
              <w:rPr>
                <w:rFonts w:ascii="仿宋" w:hAnsi="仿宋" w:eastAsia="仿宋"/>
                <w:bCs/>
                <w:color w:val="000000" w:themeColor="text1"/>
                <w:sz w:val="24"/>
              </w:rPr>
              <w:t>2</w:t>
            </w:r>
            <w:r>
              <w:rPr>
                <w:rFonts w:hint="eastAsia" w:ascii="仿宋" w:hAnsi="仿宋" w:eastAsia="仿宋"/>
                <w:bCs/>
                <w:color w:val="000000" w:themeColor="text1"/>
                <w:sz w:val="24"/>
              </w:rPr>
              <w:t>分，没有不得分，本项最高得</w:t>
            </w:r>
            <w:r>
              <w:rPr>
                <w:rFonts w:ascii="仿宋" w:hAnsi="仿宋" w:eastAsia="仿宋"/>
                <w:bCs/>
                <w:color w:val="000000" w:themeColor="text1"/>
                <w:sz w:val="24"/>
              </w:rPr>
              <w:t>4</w:t>
            </w:r>
            <w:r>
              <w:rPr>
                <w:rFonts w:hint="eastAsia" w:ascii="仿宋" w:hAnsi="仿宋" w:eastAsia="仿宋"/>
                <w:bCs/>
                <w:color w:val="000000" w:themeColor="text1"/>
                <w:sz w:val="24"/>
              </w:rPr>
              <w:t>分。</w:t>
            </w:r>
          </w:p>
          <w:p w14:paraId="60FE775D">
            <w:pPr>
              <w:jc w:val="left"/>
              <w:rPr>
                <w:rFonts w:hint="eastAsia" w:ascii="仿宋" w:hAnsi="仿宋" w:eastAsia="仿宋" w:cs="仿宋"/>
                <w:bCs/>
                <w:color w:val="000000" w:themeColor="text1"/>
                <w:sz w:val="24"/>
              </w:rPr>
            </w:pPr>
            <w:r>
              <w:rPr>
                <w:rFonts w:hint="eastAsia" w:ascii="仿宋" w:hAnsi="仿宋" w:eastAsia="仿宋"/>
                <w:bCs/>
                <w:color w:val="000000" w:themeColor="text1"/>
                <w:sz w:val="24"/>
              </w:rPr>
              <w:t>注：每份业绩须提供合同原件的复印件或扫描件，并加盖供应商公章。</w:t>
            </w:r>
          </w:p>
        </w:tc>
        <w:tc>
          <w:tcPr>
            <w:tcW w:w="709" w:type="dxa"/>
            <w:vAlign w:val="center"/>
          </w:tcPr>
          <w:p w14:paraId="1D3617BC">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4</w:t>
            </w:r>
          </w:p>
        </w:tc>
        <w:tc>
          <w:tcPr>
            <w:tcW w:w="709" w:type="dxa"/>
            <w:vAlign w:val="center"/>
          </w:tcPr>
          <w:p w14:paraId="3F393ED2">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2" w:type="dxa"/>
            <w:vAlign w:val="center"/>
          </w:tcPr>
          <w:p w14:paraId="122BC89F">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客观分</w:t>
            </w:r>
          </w:p>
        </w:tc>
      </w:tr>
      <w:tr w14:paraId="524B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Align w:val="center"/>
          </w:tcPr>
          <w:p w14:paraId="3380FC6B">
            <w:pPr>
              <w:jc w:val="center"/>
              <w:rPr>
                <w:rFonts w:hint="eastAsia" w:ascii="仿宋" w:hAnsi="仿宋" w:eastAsia="仿宋" w:cs="仿宋"/>
                <w:bCs/>
                <w:color w:val="000000" w:themeColor="text1"/>
                <w:sz w:val="24"/>
              </w:rPr>
            </w:pPr>
            <w:r>
              <w:rPr>
                <w:rFonts w:ascii="仿宋" w:hAnsi="仿宋" w:eastAsia="仿宋" w:cs="仿宋"/>
                <w:bCs/>
                <w:color w:val="000000" w:themeColor="text1"/>
                <w:sz w:val="24"/>
              </w:rPr>
              <w:t>5</w:t>
            </w:r>
          </w:p>
        </w:tc>
        <w:tc>
          <w:tcPr>
            <w:tcW w:w="1339" w:type="dxa"/>
            <w:vAlign w:val="center"/>
          </w:tcPr>
          <w:p w14:paraId="76606245">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技术服务</w:t>
            </w:r>
          </w:p>
        </w:tc>
        <w:tc>
          <w:tcPr>
            <w:tcW w:w="5103" w:type="dxa"/>
            <w:vAlign w:val="center"/>
          </w:tcPr>
          <w:p w14:paraId="6AA6E341">
            <w:pPr>
              <w:snapToGrid w:val="0"/>
              <w:jc w:val="left"/>
              <w:rPr>
                <w:rFonts w:hint="eastAsia" w:ascii="仿宋" w:hAnsi="仿宋" w:eastAsia="仿宋"/>
                <w:bCs/>
                <w:color w:val="000000" w:themeColor="text1"/>
                <w:sz w:val="24"/>
              </w:rPr>
            </w:pPr>
            <w:r>
              <w:rPr>
                <w:rFonts w:hint="eastAsia" w:ascii="仿宋" w:hAnsi="仿宋" w:eastAsia="仿宋"/>
                <w:bCs/>
                <w:color w:val="000000" w:themeColor="text1"/>
                <w:sz w:val="24"/>
              </w:rPr>
              <w:t>（1）提供详细实施方案，内容中明确项目人员组织、进度管理、施工方案、安装调试方案、质量管理等得</w:t>
            </w:r>
            <w:r>
              <w:rPr>
                <w:rFonts w:ascii="仿宋" w:hAnsi="仿宋" w:eastAsia="仿宋"/>
                <w:bCs/>
                <w:color w:val="000000" w:themeColor="text1"/>
                <w:sz w:val="24"/>
              </w:rPr>
              <w:t>2</w:t>
            </w:r>
            <w:r>
              <w:rPr>
                <w:rFonts w:hint="eastAsia" w:ascii="仿宋" w:hAnsi="仿宋" w:eastAsia="仿宋"/>
                <w:bCs/>
                <w:color w:val="000000" w:themeColor="text1"/>
                <w:sz w:val="24"/>
              </w:rPr>
              <w:t>分，内容不明确、不全的得1分，内容不合理或未有内容体现的不得分。</w:t>
            </w:r>
          </w:p>
          <w:p w14:paraId="1F692DED">
            <w:pPr>
              <w:snapToGrid w:val="0"/>
              <w:jc w:val="left"/>
              <w:rPr>
                <w:rFonts w:hint="eastAsia" w:ascii="仿宋" w:hAnsi="仿宋" w:eastAsia="仿宋" w:cs="仿宋"/>
                <w:bCs/>
                <w:color w:val="000000" w:themeColor="text1"/>
                <w:sz w:val="24"/>
              </w:rPr>
            </w:pPr>
            <w:r>
              <w:rPr>
                <w:rFonts w:hint="eastAsia" w:ascii="仿宋" w:hAnsi="仿宋" w:eastAsia="仿宋"/>
                <w:bCs/>
                <w:color w:val="000000" w:themeColor="text1"/>
                <w:sz w:val="24"/>
              </w:rPr>
              <w:t>（2）提供详细售后方案，内容中明确包括售后服务内容、服务体系及服务范围、响应时间及处理措施、售后服务队伍、应急预案、培训方案等得</w:t>
            </w:r>
            <w:r>
              <w:rPr>
                <w:rFonts w:ascii="仿宋" w:hAnsi="仿宋" w:eastAsia="仿宋"/>
                <w:bCs/>
                <w:color w:val="000000" w:themeColor="text1"/>
                <w:sz w:val="24"/>
              </w:rPr>
              <w:t>2</w:t>
            </w:r>
            <w:r>
              <w:rPr>
                <w:rFonts w:hint="eastAsia" w:ascii="仿宋" w:hAnsi="仿宋" w:eastAsia="仿宋"/>
                <w:bCs/>
                <w:color w:val="000000" w:themeColor="text1"/>
                <w:sz w:val="24"/>
              </w:rPr>
              <w:t>分，内容不明确、不全的的1分，内容不合理或未有内容体现的不得分。</w:t>
            </w:r>
          </w:p>
        </w:tc>
        <w:tc>
          <w:tcPr>
            <w:tcW w:w="709" w:type="dxa"/>
            <w:vAlign w:val="center"/>
          </w:tcPr>
          <w:p w14:paraId="2113937F">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4</w:t>
            </w:r>
          </w:p>
        </w:tc>
        <w:tc>
          <w:tcPr>
            <w:tcW w:w="709" w:type="dxa"/>
            <w:vAlign w:val="center"/>
          </w:tcPr>
          <w:p w14:paraId="070E4409">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0</w:t>
            </w:r>
          </w:p>
        </w:tc>
        <w:tc>
          <w:tcPr>
            <w:tcW w:w="992" w:type="dxa"/>
            <w:vAlign w:val="center"/>
          </w:tcPr>
          <w:p w14:paraId="4954B907">
            <w:pPr>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主观分</w:t>
            </w:r>
          </w:p>
        </w:tc>
      </w:tr>
      <w:bookmarkEnd w:id="25"/>
    </w:tbl>
    <w:p w14:paraId="26D94B1A">
      <w:pPr>
        <w:widowControl/>
        <w:shd w:val="clear" w:color="auto" w:fill="FFFFFF"/>
        <w:tabs>
          <w:tab w:val="left" w:pos="312"/>
        </w:tabs>
        <w:spacing w:line="48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rPr>
        <w:t>（三）节能环保：2分</w:t>
      </w:r>
    </w:p>
    <w:p w14:paraId="7922F271">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1.投标产品属于财政部、国家发改委公布的“节能产品品目清单”范围内的，投标人提供国家确定的认证机构出具的、处于有效期之内的该节能产品认证证书复印件的，有1个得0.5分，最多得1分。如投标产品均属于政府强制采购节能产品品目清单范围内，本项不得分。</w:t>
      </w:r>
    </w:p>
    <w:p w14:paraId="4CBBDCA0">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2.投标产品属于财政部、生态环境部公布的“环境标志产品品目清单”范围内的，投标人提供国家确定的认证机构出具的、处于有效期内的该环保产品认证证书复印件的，有1个得0.5分，最多得1分。</w:t>
      </w:r>
    </w:p>
    <w:p w14:paraId="5E0BBE77">
      <w:pPr>
        <w:widowControl/>
        <w:shd w:val="clear" w:color="auto" w:fill="FFFFFF"/>
        <w:spacing w:line="48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rPr>
        <w:t>（四）价格分：</w:t>
      </w:r>
      <w:r>
        <w:rPr>
          <w:rFonts w:ascii="仿宋" w:hAnsi="仿宋" w:eastAsia="仿宋" w:cs="仿宋"/>
          <w:b/>
          <w:sz w:val="28"/>
          <w:szCs w:val="28"/>
        </w:rPr>
        <w:t>3</w:t>
      </w:r>
      <w:r>
        <w:rPr>
          <w:rFonts w:hint="eastAsia" w:ascii="仿宋" w:hAnsi="仿宋" w:eastAsia="仿宋" w:cs="仿宋"/>
          <w:b/>
          <w:sz w:val="28"/>
          <w:szCs w:val="28"/>
        </w:rPr>
        <w:t>0分</w:t>
      </w:r>
    </w:p>
    <w:p w14:paraId="0396BAFE">
      <w:pPr>
        <w:adjustRightInd w:val="0"/>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价格分统一采用低价优先法计算，即满足磋商文件要求且最后报价最低的供应商的价格为磋商基准价，其价格分为满分。其他供应商的价格分统一按照下列公式计算：</w:t>
      </w:r>
    </w:p>
    <w:p w14:paraId="48905AFE">
      <w:pPr>
        <w:adjustRightInd w:val="0"/>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磋商报价得分=（磋商基准价/最后磋商报价）×价格权值×100</w:t>
      </w:r>
    </w:p>
    <w:p w14:paraId="64FFAF5E">
      <w:pPr>
        <w:widowControl/>
        <w:shd w:val="clear" w:color="auto" w:fill="FFFFFF"/>
        <w:spacing w:line="48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8"/>
    </w:p>
    <w:p w14:paraId="3FF794F8">
      <w:pPr>
        <w:widowControl/>
        <w:shd w:val="clear" w:color="auto" w:fill="FFFFFF"/>
        <w:spacing w:line="480" w:lineRule="exact"/>
        <w:ind w:firstLine="141" w:firstLineChars="50"/>
        <w:jc w:val="left"/>
        <w:rPr>
          <w:rFonts w:hint="eastAsia" w:ascii="仿宋" w:hAnsi="仿宋" w:eastAsia="仿宋" w:cs="仿宋"/>
          <w:b/>
          <w:sz w:val="28"/>
          <w:szCs w:val="28"/>
        </w:rPr>
      </w:pPr>
      <w:r>
        <w:rPr>
          <w:rFonts w:ascii="仿宋" w:hAnsi="仿宋" w:eastAsia="仿宋" w:cs="仿宋"/>
          <w:b/>
          <w:sz w:val="28"/>
          <w:szCs w:val="28"/>
        </w:rPr>
        <w:t>（五）政府采购政策功能落实</w:t>
      </w:r>
    </w:p>
    <w:p w14:paraId="181AD68C">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1、小微型企业价格扣除</w:t>
      </w:r>
    </w:p>
    <w:p w14:paraId="58A57447">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（1）本项目对小型和微型企业产品给予</w:t>
      </w:r>
      <w:r>
        <w:rPr>
          <w:rFonts w:hint="eastAsia" w:ascii="仿宋" w:hAnsi="仿宋" w:eastAsia="仿宋"/>
          <w:sz w:val="28"/>
          <w:szCs w:val="28"/>
        </w:rPr>
        <w:t>20</w:t>
      </w:r>
      <w:r>
        <w:rPr>
          <w:rFonts w:ascii="仿宋" w:hAnsi="仿宋" w:eastAsia="仿宋"/>
          <w:sz w:val="28"/>
          <w:szCs w:val="28"/>
        </w:rPr>
        <w:t>%</w:t>
      </w:r>
      <w:r>
        <w:rPr>
          <w:rFonts w:ascii="仿宋" w:hAnsi="仿宋" w:eastAsia="仿宋"/>
          <w:bCs/>
          <w:sz w:val="28"/>
          <w:szCs w:val="28"/>
        </w:rPr>
        <w:t>的扣除价格，用扣除后的价格参与评审。</w:t>
      </w:r>
    </w:p>
    <w:p w14:paraId="5E6AA334">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（2）供应商需按照《政府采购促进中小企业发展管理办法》（财库﹝2020﹞46 号）的规定提供相应的《中小企业声明函》。</w:t>
      </w:r>
    </w:p>
    <w:p w14:paraId="3C03F2CF">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（3）企业标准请参照《关于印发中小企业划型标准规定的通知》（工信部联企业[2011]300号）文件规定自行填写。</w:t>
      </w:r>
    </w:p>
    <w:p w14:paraId="7E86BEC5">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2、残疾人福利单位价格扣除</w:t>
      </w:r>
    </w:p>
    <w:p w14:paraId="12518807">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（1）本项目对残疾人福利性单位，给予</w:t>
      </w:r>
      <w:r>
        <w:rPr>
          <w:rFonts w:hint="eastAsia" w:ascii="仿宋" w:hAnsi="仿宋" w:eastAsia="仿宋"/>
          <w:sz w:val="28"/>
          <w:szCs w:val="28"/>
        </w:rPr>
        <w:t>20</w:t>
      </w:r>
      <w:r>
        <w:rPr>
          <w:rFonts w:ascii="仿宋" w:hAnsi="仿宋" w:eastAsia="仿宋"/>
          <w:sz w:val="28"/>
          <w:szCs w:val="28"/>
        </w:rPr>
        <w:t>%</w:t>
      </w:r>
      <w:r>
        <w:rPr>
          <w:rFonts w:ascii="仿宋" w:hAnsi="仿宋" w:eastAsia="仿宋"/>
          <w:bCs/>
          <w:sz w:val="28"/>
          <w:szCs w:val="28"/>
        </w:rPr>
        <w:t>的价格扣除，用扣除后的价格参与评审。</w:t>
      </w:r>
    </w:p>
    <w:p w14:paraId="5CDC1CC7">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（2）残疾人福利单位需按照采购文件的要求提供《残疾人福利性单位声明函》。</w:t>
      </w:r>
    </w:p>
    <w:p w14:paraId="0348ECE4">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（3）残疾人福利单位标准请参照《关于促进残疾人就业政府采购政策的通知》（财库〔2017〕141号）。</w:t>
      </w:r>
    </w:p>
    <w:p w14:paraId="1FB49E34">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3、监狱和戒毒企业价格扣除</w:t>
      </w:r>
    </w:p>
    <w:p w14:paraId="6F25ED48">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（1）本项目对监狱和戒毒企业（简称监狱企业）给予</w:t>
      </w:r>
      <w:r>
        <w:rPr>
          <w:rFonts w:hint="eastAsia" w:ascii="仿宋" w:hAnsi="仿宋" w:eastAsia="仿宋"/>
          <w:sz w:val="28"/>
          <w:szCs w:val="28"/>
        </w:rPr>
        <w:t>20</w:t>
      </w:r>
      <w:r>
        <w:rPr>
          <w:rFonts w:ascii="仿宋" w:hAnsi="仿宋" w:eastAsia="仿宋"/>
          <w:sz w:val="28"/>
          <w:szCs w:val="28"/>
        </w:rPr>
        <w:t>%</w:t>
      </w:r>
      <w:r>
        <w:rPr>
          <w:rFonts w:ascii="仿宋" w:hAnsi="仿宋" w:eastAsia="仿宋"/>
          <w:bCs/>
          <w:sz w:val="28"/>
          <w:szCs w:val="28"/>
        </w:rPr>
        <w:t>的价格扣除，用扣除后的价格参与评审。</w:t>
      </w:r>
    </w:p>
    <w:p w14:paraId="1D0CE370">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127DF1F8">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（3）监狱企业标准请参照《关于政府采购支持监狱企业发展有关问题的通知》（财库[2014]68号）。</w:t>
      </w:r>
    </w:p>
    <w:p w14:paraId="04B86601">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4、残疾人福利单位、监狱企业属于小型、微型企业的，不重复享受政策。</w:t>
      </w:r>
    </w:p>
    <w:p w14:paraId="312DDC9A">
      <w:pPr>
        <w:adjustRightInd w:val="0"/>
        <w:snapToGrid w:val="0"/>
        <w:spacing w:line="480" w:lineRule="exact"/>
        <w:ind w:firstLine="57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w:t>
      </w:r>
      <w:r>
        <w:rPr>
          <w:rFonts w:hint="eastAsia" w:ascii="仿宋" w:hAnsi="仿宋" w:eastAsia="仿宋"/>
          <w:sz w:val="28"/>
          <w:szCs w:val="28"/>
        </w:rPr>
        <w:t>，</w:t>
      </w:r>
      <w:r>
        <w:rPr>
          <w:rFonts w:ascii="仿宋" w:hAnsi="仿宋" w:eastAsia="仿宋"/>
          <w:sz w:val="28"/>
          <w:szCs w:val="28"/>
        </w:rPr>
        <w:t>用扣除后的价格参与评审。</w:t>
      </w:r>
    </w:p>
    <w:p w14:paraId="4774C82D">
      <w:pPr>
        <w:adjustRightInd w:val="0"/>
        <w:snapToGrid w:val="0"/>
        <w:spacing w:line="480" w:lineRule="exact"/>
        <w:ind w:firstLine="570"/>
        <w:rPr>
          <w:rFonts w:hint="eastAsia" w:ascii="仿宋" w:hAnsi="仿宋" w:eastAsia="仿宋"/>
          <w:bCs/>
          <w:sz w:val="28"/>
          <w:szCs w:val="28"/>
        </w:rPr>
      </w:pPr>
      <w:r>
        <w:rPr>
          <w:rFonts w:ascii="仿宋" w:hAnsi="仿宋" w:eastAsia="仿宋"/>
          <w:bCs/>
          <w:sz w:val="28"/>
          <w:szCs w:val="28"/>
        </w:rPr>
        <w:t>6、联合体各方均为小型、微型企业（残疾人福利单位、监狱企业）的，联合体享受上述同类价格扣除，用扣除后的价格参与评审。</w:t>
      </w:r>
    </w:p>
    <w:p w14:paraId="66304415">
      <w:pPr>
        <w:widowControl/>
        <w:shd w:val="clear" w:color="auto" w:fill="FFFFFF"/>
        <w:spacing w:line="480" w:lineRule="exact"/>
        <w:ind w:firstLine="560" w:firstLineChars="200"/>
        <w:jc w:val="left"/>
        <w:rPr>
          <w:rFonts w:hint="eastAsia" w:ascii="仿宋" w:hAnsi="仿宋" w:eastAsia="仿宋" w:cs="仿宋_GB2312"/>
          <w:sz w:val="28"/>
          <w:szCs w:val="28"/>
          <w:lang w:val="zh-CN"/>
        </w:rPr>
      </w:pPr>
      <w:r>
        <w:rPr>
          <w:rFonts w:hint="eastAsia" w:ascii="仿宋" w:hAnsi="仿宋" w:eastAsia="仿宋"/>
          <w:bCs/>
          <w:sz w:val="28"/>
          <w:szCs w:val="28"/>
        </w:rPr>
        <w:t>7、专门面向中小企业采购的项目或者采购包，不再执行价格评审优惠的扶持政策。</w:t>
      </w:r>
    </w:p>
    <w:p w14:paraId="64B0BC62">
      <w:pPr>
        <w:widowControl/>
        <w:jc w:val="left"/>
        <w:rPr>
          <w:rFonts w:hint="eastAsia" w:ascii="仿宋" w:hAnsi="仿宋" w:eastAsia="仿宋" w:cs="仿宋_GB2312"/>
          <w:sz w:val="28"/>
          <w:szCs w:val="28"/>
          <w:lang w:val="zh-CN"/>
        </w:rPr>
      </w:pPr>
      <w:r>
        <w:rPr>
          <w:rFonts w:ascii="仿宋" w:hAnsi="仿宋" w:eastAsia="仿宋" w:cs="仿宋_GB2312"/>
          <w:sz w:val="28"/>
          <w:szCs w:val="28"/>
          <w:lang w:val="zh-CN"/>
        </w:rPr>
        <w:br w:type="page"/>
      </w:r>
    </w:p>
    <w:p w14:paraId="6B37E4E0">
      <w:pPr>
        <w:pStyle w:val="2"/>
        <w:spacing w:before="240" w:after="240" w:line="480" w:lineRule="exact"/>
        <w:jc w:val="center"/>
        <w:rPr>
          <w:rFonts w:hint="eastAsia" w:ascii="仿宋" w:hAnsi="仿宋" w:eastAsia="仿宋"/>
          <w:sz w:val="32"/>
          <w:szCs w:val="32"/>
        </w:rPr>
      </w:pPr>
      <w:r>
        <w:rPr>
          <w:rFonts w:hint="eastAsia" w:ascii="仿宋" w:hAnsi="仿宋" w:eastAsia="仿宋"/>
          <w:sz w:val="32"/>
          <w:szCs w:val="32"/>
        </w:rPr>
        <w:t>第五部分 质疑提出和处理</w:t>
      </w:r>
    </w:p>
    <w:p w14:paraId="5A544715">
      <w:pPr>
        <w:spacing w:line="480" w:lineRule="exact"/>
        <w:ind w:firstLine="562" w:firstLineChars="200"/>
        <w:rPr>
          <w:rFonts w:hint="eastAsia" w:ascii="仿宋" w:hAnsi="仿宋" w:eastAsia="仿宋" w:cs="宋体"/>
          <w:b/>
          <w:sz w:val="28"/>
        </w:rPr>
      </w:pPr>
      <w:r>
        <w:rPr>
          <w:rFonts w:hint="eastAsia" w:ascii="仿宋" w:hAnsi="仿宋" w:eastAsia="仿宋" w:cs="宋体"/>
          <w:b/>
          <w:sz w:val="28"/>
        </w:rPr>
        <w:t>一、质疑的提出</w:t>
      </w:r>
    </w:p>
    <w:p w14:paraId="6E37C512">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rPr>
        <w:t>1.</w:t>
      </w:r>
      <w:r>
        <w:rPr>
          <w:rFonts w:hint="eastAsia" w:ascii="仿宋" w:hAnsi="仿宋" w:eastAsia="仿宋" w:cs="宋体"/>
          <w:kern w:val="0"/>
          <w:sz w:val="28"/>
          <w:lang w:val="zh-CN"/>
        </w:rPr>
        <w:t>质疑人必须是直接参加本次</w:t>
      </w:r>
      <w:r>
        <w:rPr>
          <w:rFonts w:hint="eastAsia" w:ascii="仿宋" w:hAnsi="仿宋" w:eastAsia="仿宋" w:cs="宋体"/>
          <w:sz w:val="28"/>
        </w:rPr>
        <w:t>投标</w:t>
      </w:r>
      <w:r>
        <w:rPr>
          <w:rFonts w:hint="eastAsia" w:ascii="仿宋" w:hAnsi="仿宋" w:eastAsia="仿宋" w:cs="宋体"/>
          <w:kern w:val="0"/>
          <w:sz w:val="28"/>
          <w:lang w:val="zh-CN"/>
        </w:rPr>
        <w:t>活动的当事人。</w:t>
      </w:r>
    </w:p>
    <w:p w14:paraId="6C903893">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sz w:val="28"/>
        </w:rPr>
        <w:t>2</w:t>
      </w:r>
      <w:r>
        <w:rPr>
          <w:rFonts w:hint="eastAsia" w:ascii="仿宋" w:hAnsi="仿宋" w:eastAsia="仿宋" w:cs="宋体"/>
          <w:kern w:val="0"/>
          <w:sz w:val="28"/>
        </w:rPr>
        <w:t>.</w:t>
      </w:r>
      <w:r>
        <w:rPr>
          <w:rFonts w:hint="eastAsia" w:ascii="仿宋" w:hAnsi="仿宋" w:eastAsia="仿宋" w:cs="宋体"/>
          <w:kern w:val="0"/>
          <w:sz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73D7551D">
      <w:pPr>
        <w:spacing w:line="480" w:lineRule="exact"/>
        <w:ind w:firstLine="560" w:firstLineChars="200"/>
        <w:rPr>
          <w:rFonts w:hint="eastAsia" w:ascii="仿宋" w:hAnsi="仿宋" w:eastAsia="仿宋" w:cs="宋体"/>
          <w:kern w:val="0"/>
          <w:sz w:val="28"/>
        </w:rPr>
      </w:pPr>
      <w:r>
        <w:rPr>
          <w:rFonts w:hint="eastAsia" w:ascii="仿宋" w:hAnsi="仿宋" w:eastAsia="仿宋" w:cs="宋体"/>
          <w:sz w:val="28"/>
        </w:rPr>
        <w:t>3</w:t>
      </w:r>
      <w:r>
        <w:rPr>
          <w:rFonts w:hint="eastAsia" w:ascii="仿宋" w:hAnsi="仿宋" w:eastAsia="仿宋" w:cs="宋体"/>
          <w:kern w:val="0"/>
          <w:sz w:val="28"/>
        </w:rPr>
        <w:t>.</w:t>
      </w:r>
      <w:r>
        <w:rPr>
          <w:rFonts w:hint="eastAsia" w:ascii="仿宋" w:hAnsi="仿宋" w:eastAsia="仿宋" w:cs="宋体"/>
          <w:sz w:val="28"/>
        </w:rPr>
        <w:t>对本次投标有质疑的，实行实名制，不得进行虚假、恶意质疑。质疑人应在质疑有效期内以书面形式</w:t>
      </w:r>
      <w:r>
        <w:rPr>
          <w:rFonts w:hint="eastAsia" w:ascii="仿宋" w:hAnsi="仿宋" w:eastAsia="仿宋" w:cs="宋体"/>
          <w:kern w:val="0"/>
          <w:sz w:val="28"/>
          <w:lang w:val="zh-CN"/>
        </w:rPr>
        <w:t>提出《质疑函》</w:t>
      </w:r>
      <w:r>
        <w:rPr>
          <w:rFonts w:hint="eastAsia" w:ascii="仿宋" w:hAnsi="仿宋" w:eastAsia="仿宋" w:cs="宋体"/>
          <w:sz w:val="28"/>
        </w:rPr>
        <w:t>，《质疑函》内容应</w:t>
      </w:r>
      <w:r>
        <w:rPr>
          <w:rFonts w:hint="eastAsia" w:ascii="仿宋" w:hAnsi="仿宋" w:eastAsia="仿宋" w:cs="宋体"/>
          <w:kern w:val="0"/>
          <w:sz w:val="28"/>
          <w:lang w:val="zh-CN"/>
        </w:rPr>
        <w:t>包括</w:t>
      </w:r>
      <w:r>
        <w:rPr>
          <w:rFonts w:hint="eastAsia" w:ascii="仿宋" w:hAnsi="仿宋" w:eastAsia="仿宋" w:cs="宋体"/>
          <w:sz w:val="28"/>
        </w:rPr>
        <w:t>质疑事项、主要内容、事实依据、适应法规条款、佐证材料等。同时，</w:t>
      </w:r>
      <w:r>
        <w:rPr>
          <w:rFonts w:hint="eastAsia" w:ascii="仿宋" w:hAnsi="仿宋" w:eastAsia="仿宋" w:cs="宋体"/>
          <w:kern w:val="0"/>
          <w:sz w:val="28"/>
        </w:rPr>
        <w:t>质疑人应保证其提出的质疑内容及</w:t>
      </w:r>
      <w:r>
        <w:rPr>
          <w:rFonts w:hint="eastAsia" w:ascii="仿宋" w:hAnsi="仿宋" w:eastAsia="仿宋" w:cs="宋体"/>
          <w:sz w:val="28"/>
        </w:rPr>
        <w:t>相关佐证材料</w:t>
      </w:r>
      <w:r>
        <w:rPr>
          <w:rFonts w:hint="eastAsia" w:ascii="仿宋" w:hAnsi="仿宋" w:eastAsia="仿宋" w:cs="宋体"/>
          <w:kern w:val="0"/>
          <w:sz w:val="28"/>
        </w:rPr>
        <w:t>的真实性及来源的合法性，并承担相应的法律责任。</w:t>
      </w:r>
    </w:p>
    <w:p w14:paraId="26E9212A">
      <w:pPr>
        <w:spacing w:line="480" w:lineRule="exact"/>
        <w:ind w:firstLine="560" w:firstLineChars="200"/>
        <w:rPr>
          <w:rFonts w:hint="eastAsia" w:ascii="仿宋" w:hAnsi="仿宋" w:eastAsia="仿宋" w:cs="宋体"/>
          <w:sz w:val="28"/>
        </w:rPr>
      </w:pPr>
      <w:r>
        <w:rPr>
          <w:rFonts w:hint="eastAsia" w:ascii="仿宋" w:hAnsi="仿宋" w:eastAsia="仿宋" w:cs="宋体"/>
          <w:kern w:val="0"/>
          <w:sz w:val="28"/>
          <w:lang w:val="zh-CN"/>
        </w:rPr>
        <w:t>对不能提供</w:t>
      </w:r>
      <w:r>
        <w:rPr>
          <w:rFonts w:hint="eastAsia" w:ascii="仿宋" w:hAnsi="仿宋" w:eastAsia="仿宋" w:cs="宋体"/>
          <w:sz w:val="28"/>
        </w:rPr>
        <w:t>相关佐证材料的、涉及商业秘密的、非书面形式的、非送达的、匿名的《质疑函》将不予受理。</w:t>
      </w:r>
    </w:p>
    <w:p w14:paraId="58AA03D3">
      <w:pPr>
        <w:spacing w:line="480" w:lineRule="exact"/>
        <w:ind w:firstLine="560" w:firstLineChars="200"/>
        <w:rPr>
          <w:rFonts w:hint="eastAsia" w:ascii="仿宋" w:hAnsi="仿宋" w:eastAsia="仿宋" w:cs="宋体"/>
          <w:sz w:val="28"/>
        </w:rPr>
      </w:pPr>
      <w:r>
        <w:rPr>
          <w:rFonts w:hint="eastAsia" w:ascii="仿宋" w:hAnsi="仿宋" w:eastAsia="仿宋" w:cs="宋体"/>
          <w:sz w:val="28"/>
        </w:rPr>
        <w:t>相关佐证材料要具备客观性、关联性、合法性，无法查实的（如宣传册、媒体报道、猜测、推理等）不能作为佐证材料。</w:t>
      </w:r>
    </w:p>
    <w:p w14:paraId="0D619F01">
      <w:pPr>
        <w:spacing w:line="480" w:lineRule="exact"/>
        <w:ind w:firstLine="562" w:firstLineChars="200"/>
        <w:rPr>
          <w:rFonts w:hint="eastAsia" w:ascii="仿宋" w:hAnsi="仿宋" w:eastAsia="仿宋" w:cs="宋体"/>
          <w:b/>
          <w:kern w:val="0"/>
          <w:sz w:val="28"/>
        </w:rPr>
      </w:pPr>
      <w:r>
        <w:rPr>
          <w:rFonts w:hint="eastAsia" w:ascii="仿宋" w:hAnsi="仿宋" w:eastAsia="仿宋" w:cs="宋体"/>
          <w:b/>
          <w:sz w:val="28"/>
        </w:rPr>
        <w:t>采购人</w:t>
      </w:r>
      <w:r>
        <w:rPr>
          <w:rFonts w:hint="eastAsia" w:ascii="仿宋" w:hAnsi="仿宋" w:eastAsia="仿宋" w:cs="宋体"/>
          <w:b/>
          <w:kern w:val="0"/>
          <w:sz w:val="28"/>
        </w:rPr>
        <w:t>不负责搜集相关佐证材料等工作。</w:t>
      </w:r>
    </w:p>
    <w:p w14:paraId="751DABAC">
      <w:pPr>
        <w:spacing w:line="480" w:lineRule="exact"/>
        <w:ind w:firstLine="562" w:firstLineChars="200"/>
        <w:rPr>
          <w:rFonts w:hint="eastAsia" w:ascii="仿宋" w:hAnsi="仿宋" w:eastAsia="仿宋" w:cs="宋体"/>
          <w:b/>
          <w:sz w:val="28"/>
        </w:rPr>
      </w:pPr>
      <w:r>
        <w:rPr>
          <w:rFonts w:hint="eastAsia" w:ascii="仿宋" w:hAnsi="仿宋" w:eastAsia="仿宋" w:cs="宋体"/>
          <w:b/>
          <w:sz w:val="28"/>
        </w:rPr>
        <w:t>二、《质疑函》的受理和回复</w:t>
      </w:r>
    </w:p>
    <w:p w14:paraId="0E4FDC2D">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sz w:val="28"/>
        </w:rPr>
        <w:t>1</w:t>
      </w:r>
      <w:r>
        <w:rPr>
          <w:rFonts w:hint="eastAsia" w:ascii="仿宋" w:hAnsi="仿宋" w:eastAsia="仿宋" w:cs="宋体"/>
          <w:kern w:val="0"/>
          <w:sz w:val="28"/>
        </w:rPr>
        <w:t>.</w:t>
      </w:r>
      <w:r>
        <w:rPr>
          <w:rFonts w:hint="eastAsia" w:ascii="仿宋" w:hAnsi="仿宋" w:eastAsia="仿宋" w:cs="宋体"/>
          <w:sz w:val="28"/>
        </w:rPr>
        <w:t>《质疑函》须由质疑人的法定代表人或参加本次投标的被授权人</w:t>
      </w:r>
      <w:r>
        <w:rPr>
          <w:rFonts w:hint="eastAsia" w:ascii="仿宋" w:hAnsi="仿宋" w:eastAsia="仿宋" w:cs="宋体"/>
          <w:kern w:val="0"/>
          <w:sz w:val="28"/>
          <w:lang w:val="zh-CN"/>
        </w:rPr>
        <w:t>送达采购人。</w:t>
      </w:r>
    </w:p>
    <w:p w14:paraId="28BE5309">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2</w:t>
      </w:r>
      <w:r>
        <w:rPr>
          <w:rFonts w:hint="eastAsia" w:ascii="仿宋" w:hAnsi="仿宋" w:eastAsia="仿宋" w:cs="宋体"/>
          <w:kern w:val="0"/>
          <w:sz w:val="28"/>
        </w:rPr>
        <w:t>.</w:t>
      </w:r>
      <w:r>
        <w:rPr>
          <w:rFonts w:hint="eastAsia" w:ascii="仿宋" w:hAnsi="仿宋" w:eastAsia="仿宋" w:cs="宋体"/>
          <w:kern w:val="0"/>
          <w:sz w:val="28"/>
          <w:lang w:val="zh-CN"/>
        </w:rPr>
        <w:t>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28844BF3">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3</w:t>
      </w:r>
      <w:r>
        <w:rPr>
          <w:rFonts w:hint="eastAsia" w:ascii="仿宋" w:hAnsi="仿宋" w:eastAsia="仿宋" w:cs="宋体"/>
          <w:kern w:val="0"/>
          <w:sz w:val="28"/>
        </w:rPr>
        <w:t>.</w:t>
      </w:r>
      <w:r>
        <w:rPr>
          <w:rFonts w:hint="eastAsia" w:ascii="仿宋" w:hAnsi="仿宋" w:eastAsia="仿宋" w:cs="宋体"/>
          <w:kern w:val="0"/>
          <w:sz w:val="28"/>
          <w:lang w:val="zh-CN"/>
        </w:rPr>
        <w:t>对不符合提出质疑要求的，出具《质疑退回通知书》并提出相关补充材料要求，质疑人未在规定的时间内提供补充佐证材料的，视同放弃质疑。</w:t>
      </w:r>
    </w:p>
    <w:p w14:paraId="76626E49">
      <w:pPr>
        <w:spacing w:line="480" w:lineRule="exact"/>
        <w:ind w:firstLine="560" w:firstLineChars="200"/>
        <w:rPr>
          <w:rFonts w:hint="eastAsia" w:ascii="仿宋" w:hAnsi="仿宋" w:eastAsia="仿宋" w:cs="宋体"/>
          <w:kern w:val="0"/>
          <w:sz w:val="28"/>
        </w:rPr>
      </w:pPr>
      <w:r>
        <w:rPr>
          <w:rFonts w:hint="eastAsia" w:ascii="仿宋" w:hAnsi="仿宋" w:eastAsia="仿宋" w:cs="宋体"/>
          <w:kern w:val="0"/>
          <w:sz w:val="28"/>
          <w:lang w:val="zh-CN"/>
        </w:rPr>
        <w:t>4</w:t>
      </w:r>
      <w:r>
        <w:rPr>
          <w:rFonts w:hint="eastAsia" w:ascii="仿宋" w:hAnsi="仿宋" w:eastAsia="仿宋" w:cs="宋体"/>
          <w:kern w:val="0"/>
          <w:sz w:val="28"/>
        </w:rPr>
        <w:t>.</w:t>
      </w:r>
      <w:r>
        <w:rPr>
          <w:rFonts w:hint="eastAsia" w:ascii="仿宋" w:hAnsi="仿宋" w:eastAsia="仿宋" w:cs="宋体"/>
          <w:kern w:val="0"/>
          <w:sz w:val="28"/>
          <w:lang w:val="zh-CN"/>
        </w:rPr>
        <w:t>采购人</w:t>
      </w:r>
      <w:r>
        <w:rPr>
          <w:rFonts w:hint="eastAsia" w:ascii="仿宋" w:hAnsi="仿宋" w:eastAsia="仿宋" w:cs="宋体"/>
          <w:kern w:val="0"/>
          <w:sz w:val="28"/>
        </w:rPr>
        <w:t>负责将质疑人提出的质疑相关材料提供给相关专家或</w:t>
      </w:r>
      <w:r>
        <w:rPr>
          <w:rFonts w:hint="eastAsia" w:ascii="仿宋" w:hAnsi="仿宋" w:eastAsia="仿宋" w:cs="宋体"/>
          <w:sz w:val="28"/>
        </w:rPr>
        <w:t>评审</w:t>
      </w:r>
      <w:r>
        <w:rPr>
          <w:rFonts w:hint="eastAsia" w:ascii="仿宋" w:hAnsi="仿宋" w:eastAsia="仿宋" w:cs="宋体"/>
          <w:kern w:val="0"/>
          <w:sz w:val="28"/>
        </w:rPr>
        <w:t>小组审核，并将审核意见回复质疑人。</w:t>
      </w:r>
    </w:p>
    <w:p w14:paraId="392DCB86">
      <w:pPr>
        <w:spacing w:line="480" w:lineRule="exact"/>
        <w:ind w:firstLine="560" w:firstLineChars="200"/>
        <w:rPr>
          <w:rFonts w:hint="eastAsia" w:ascii="仿宋" w:hAnsi="仿宋" w:eastAsia="仿宋" w:cs="宋体"/>
          <w:kern w:val="0"/>
          <w:sz w:val="28"/>
        </w:rPr>
      </w:pPr>
      <w:r>
        <w:rPr>
          <w:rFonts w:hint="eastAsia" w:ascii="仿宋" w:hAnsi="仿宋" w:eastAsia="仿宋" w:cs="宋体"/>
          <w:sz w:val="28"/>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2CE5A7D3">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rPr>
        <w:t>5.</w:t>
      </w:r>
      <w:r>
        <w:rPr>
          <w:rFonts w:hint="eastAsia" w:ascii="仿宋" w:hAnsi="仿宋" w:eastAsia="仿宋" w:cs="宋体"/>
          <w:kern w:val="0"/>
          <w:sz w:val="28"/>
          <w:lang w:val="zh-CN"/>
        </w:rPr>
        <w:t>因质疑情况复杂，组织论证或审查时间较长的，采购人以书面形式通知质疑人，可适当延长质疑回复处理时间。</w:t>
      </w:r>
    </w:p>
    <w:p w14:paraId="016422D2">
      <w:pPr>
        <w:spacing w:line="480" w:lineRule="exact"/>
        <w:ind w:firstLine="562" w:firstLineChars="200"/>
        <w:rPr>
          <w:rFonts w:hint="eastAsia" w:ascii="仿宋" w:hAnsi="仿宋" w:eastAsia="仿宋" w:cs="宋体"/>
          <w:b/>
          <w:kern w:val="0"/>
          <w:sz w:val="28"/>
          <w:lang w:val="zh-CN"/>
        </w:rPr>
      </w:pPr>
      <w:r>
        <w:rPr>
          <w:rFonts w:hint="eastAsia" w:ascii="仿宋" w:hAnsi="仿宋" w:eastAsia="仿宋" w:cs="宋体"/>
          <w:b/>
          <w:kern w:val="0"/>
          <w:sz w:val="28"/>
          <w:lang w:val="zh-CN"/>
        </w:rPr>
        <w:t>三、质疑处理</w:t>
      </w:r>
    </w:p>
    <w:p w14:paraId="79988B9B">
      <w:pPr>
        <w:spacing w:line="480" w:lineRule="exact"/>
        <w:ind w:firstLine="562" w:firstLineChars="200"/>
        <w:rPr>
          <w:rFonts w:hint="eastAsia" w:ascii="仿宋" w:hAnsi="仿宋" w:eastAsia="仿宋" w:cs="宋体"/>
          <w:kern w:val="0"/>
          <w:sz w:val="28"/>
          <w:lang w:val="zh-CN"/>
        </w:rPr>
      </w:pPr>
      <w:r>
        <w:rPr>
          <w:rFonts w:hint="eastAsia" w:ascii="仿宋" w:hAnsi="仿宋" w:eastAsia="仿宋" w:cs="宋体"/>
          <w:b/>
          <w:kern w:val="0"/>
          <w:sz w:val="28"/>
          <w:lang w:val="zh-CN"/>
        </w:rPr>
        <w:t>1</w:t>
      </w:r>
      <w:r>
        <w:rPr>
          <w:rFonts w:hint="eastAsia" w:ascii="仿宋" w:hAnsi="仿宋" w:eastAsia="仿宋" w:cs="宋体"/>
          <w:kern w:val="0"/>
          <w:sz w:val="28"/>
        </w:rPr>
        <w:t>.</w:t>
      </w:r>
      <w:r>
        <w:rPr>
          <w:rFonts w:hint="eastAsia" w:ascii="仿宋" w:hAnsi="仿宋" w:eastAsia="仿宋" w:cs="宋体"/>
          <w:b/>
          <w:kern w:val="0"/>
          <w:sz w:val="28"/>
          <w:lang w:val="zh-CN"/>
        </w:rPr>
        <w:t>质疑成立的处理。</w:t>
      </w:r>
      <w:r>
        <w:rPr>
          <w:rFonts w:hint="eastAsia" w:ascii="仿宋" w:hAnsi="仿宋" w:eastAsia="仿宋" w:cs="宋体"/>
          <w:kern w:val="0"/>
          <w:sz w:val="28"/>
          <w:lang w:val="zh-CN"/>
        </w:rPr>
        <w:t>采购人终止采购，并建议有关部门给相关当事人予以处理。</w:t>
      </w:r>
    </w:p>
    <w:p w14:paraId="6C30B7C9">
      <w:pPr>
        <w:spacing w:line="480" w:lineRule="exact"/>
        <w:ind w:firstLine="562" w:firstLineChars="200"/>
        <w:rPr>
          <w:rFonts w:hint="eastAsia" w:ascii="仿宋" w:hAnsi="仿宋" w:eastAsia="仿宋" w:cs="宋体"/>
          <w:b/>
          <w:kern w:val="0"/>
          <w:sz w:val="28"/>
          <w:lang w:val="zh-CN"/>
        </w:rPr>
      </w:pPr>
      <w:r>
        <w:rPr>
          <w:rFonts w:hint="eastAsia" w:ascii="仿宋" w:hAnsi="仿宋" w:eastAsia="仿宋" w:cs="宋体"/>
          <w:b/>
          <w:kern w:val="0"/>
          <w:sz w:val="28"/>
          <w:lang w:val="zh-CN"/>
        </w:rPr>
        <w:t>2</w:t>
      </w:r>
      <w:r>
        <w:rPr>
          <w:rFonts w:hint="eastAsia" w:ascii="仿宋" w:hAnsi="仿宋" w:eastAsia="仿宋" w:cs="宋体"/>
          <w:kern w:val="0"/>
          <w:sz w:val="28"/>
        </w:rPr>
        <w:t>.</w:t>
      </w:r>
      <w:r>
        <w:rPr>
          <w:rFonts w:hint="eastAsia" w:ascii="仿宋" w:hAnsi="仿宋" w:eastAsia="仿宋" w:cs="宋体"/>
          <w:b/>
          <w:kern w:val="0"/>
          <w:sz w:val="28"/>
          <w:lang w:val="zh-CN"/>
        </w:rPr>
        <w:t>质疑不成立的处理。</w:t>
      </w:r>
    </w:p>
    <w:p w14:paraId="240796C7">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1）质疑人书面《申请撤回质疑函》的，不作违约处理。</w:t>
      </w:r>
    </w:p>
    <w:p w14:paraId="52301467">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sz w:val="28"/>
        </w:rPr>
        <w:t>2）质疑人在规定的时间内不配合进行质疑调查处理的，按自动撤回《质疑函》处理。</w:t>
      </w:r>
    </w:p>
    <w:p w14:paraId="198B9188">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3）质疑人不按《质疑函》格式就提出质疑的，作违约处理。</w:t>
      </w:r>
      <w:r>
        <w:rPr>
          <w:rFonts w:hint="eastAsia" w:ascii="仿宋" w:hAnsi="仿宋" w:eastAsia="仿宋" w:cs="宋体"/>
          <w:sz w:val="28"/>
        </w:rPr>
        <w:t>同时，视情</w:t>
      </w:r>
      <w:r>
        <w:rPr>
          <w:rFonts w:hint="eastAsia" w:ascii="仿宋" w:hAnsi="仿宋" w:eastAsia="仿宋" w:cs="宋体"/>
          <w:kern w:val="0"/>
          <w:sz w:val="28"/>
          <w:lang w:val="zh-CN"/>
        </w:rPr>
        <w:t>列入不良供应商名单。</w:t>
      </w:r>
    </w:p>
    <w:p w14:paraId="1A5AC748">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4）质疑人虽提供了相关</w:t>
      </w:r>
      <w:r>
        <w:rPr>
          <w:rFonts w:hint="eastAsia" w:ascii="仿宋" w:hAnsi="仿宋" w:eastAsia="仿宋" w:cs="宋体"/>
          <w:sz w:val="28"/>
        </w:rPr>
        <w:t>佐证材料</w:t>
      </w:r>
      <w:r>
        <w:rPr>
          <w:rFonts w:hint="eastAsia" w:ascii="仿宋" w:hAnsi="仿宋" w:eastAsia="仿宋" w:cs="宋体"/>
          <w:kern w:val="0"/>
          <w:sz w:val="28"/>
          <w:lang w:val="zh-CN"/>
        </w:rPr>
        <w:t>，但不能证明其质疑成立的，采购人请质疑人补充相关</w:t>
      </w:r>
      <w:r>
        <w:rPr>
          <w:rFonts w:hint="eastAsia" w:ascii="仿宋" w:hAnsi="仿宋" w:eastAsia="仿宋" w:cs="宋体"/>
          <w:sz w:val="28"/>
        </w:rPr>
        <w:t>佐证材料</w:t>
      </w:r>
      <w:r>
        <w:rPr>
          <w:rFonts w:hint="eastAsia" w:ascii="仿宋" w:hAnsi="仿宋" w:eastAsia="仿宋" w:cs="宋体"/>
          <w:kern w:val="0"/>
          <w:sz w:val="28"/>
          <w:lang w:val="zh-CN"/>
        </w:rPr>
        <w:t>，仍不能证明其质疑成立的，作违约处理。并将其列入不良供应商名单。</w:t>
      </w:r>
    </w:p>
    <w:p w14:paraId="279BC377">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5）质疑人不能提供相关</w:t>
      </w:r>
      <w:r>
        <w:rPr>
          <w:rFonts w:hint="eastAsia" w:ascii="仿宋" w:hAnsi="仿宋" w:eastAsia="仿宋" w:cs="宋体"/>
          <w:sz w:val="28"/>
        </w:rPr>
        <w:t>佐证材料</w:t>
      </w:r>
      <w:r>
        <w:rPr>
          <w:rFonts w:hint="eastAsia" w:ascii="仿宋" w:hAnsi="仿宋" w:eastAsia="仿宋" w:cs="宋体"/>
          <w:kern w:val="0"/>
          <w:sz w:val="28"/>
          <w:lang w:val="zh-CN"/>
        </w:rPr>
        <w:t>的，采购人已指出，质疑人仍然坚持提出质疑的，作违约处理。</w:t>
      </w:r>
      <w:r>
        <w:rPr>
          <w:rFonts w:hint="eastAsia" w:ascii="仿宋" w:hAnsi="仿宋" w:eastAsia="仿宋" w:cs="宋体"/>
          <w:sz w:val="28"/>
        </w:rPr>
        <w:t>同时，</w:t>
      </w:r>
      <w:r>
        <w:rPr>
          <w:rFonts w:hint="eastAsia" w:ascii="仿宋" w:hAnsi="仿宋" w:eastAsia="仿宋" w:cs="宋体"/>
          <w:kern w:val="0"/>
          <w:sz w:val="28"/>
          <w:lang w:val="zh-CN"/>
        </w:rPr>
        <w:t>列入不良供应商名单。</w:t>
      </w:r>
    </w:p>
    <w:p w14:paraId="1DA66973">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6）对明显有违事实的、经相关专家或</w:t>
      </w:r>
      <w:r>
        <w:rPr>
          <w:rFonts w:hint="eastAsia" w:ascii="仿宋" w:hAnsi="仿宋" w:eastAsia="仿宋" w:cs="宋体"/>
          <w:sz w:val="28"/>
        </w:rPr>
        <w:t>磋商</w:t>
      </w:r>
      <w:r>
        <w:rPr>
          <w:rFonts w:hint="eastAsia" w:ascii="仿宋" w:hAnsi="仿宋" w:eastAsia="仿宋" w:cs="宋体"/>
          <w:kern w:val="0"/>
          <w:sz w:val="28"/>
          <w:lang w:val="zh-CN"/>
        </w:rPr>
        <w:t>小组认定无依据的、经其他供应商举证无依据的质疑，作违约处理，列入不良供应商名单；</w:t>
      </w:r>
      <w:r>
        <w:rPr>
          <w:rFonts w:hint="eastAsia" w:ascii="仿宋" w:hAnsi="仿宋" w:eastAsia="仿宋" w:cs="宋体"/>
          <w:sz w:val="28"/>
        </w:rPr>
        <w:t>同时，</w:t>
      </w:r>
      <w:r>
        <w:rPr>
          <w:rFonts w:hint="eastAsia" w:ascii="仿宋" w:hAnsi="仿宋" w:eastAsia="仿宋" w:cs="宋体"/>
          <w:kern w:val="0"/>
          <w:sz w:val="28"/>
          <w:lang w:val="zh-CN"/>
        </w:rPr>
        <w:t>对其中每一项不成立的质疑给予质疑人1年内禁入本区域内的政府采购活动的违约处理，依次类推；视情在南通政府采购网、省、国家级相关媒体予以披露。</w:t>
      </w:r>
    </w:p>
    <w:p w14:paraId="1428239E">
      <w:pPr>
        <w:spacing w:line="480" w:lineRule="exact"/>
        <w:ind w:firstLine="560" w:firstLineChars="200"/>
        <w:rPr>
          <w:rFonts w:hint="eastAsia" w:ascii="仿宋" w:hAnsi="仿宋" w:eastAsia="仿宋" w:cs="宋体"/>
          <w:kern w:val="0"/>
          <w:sz w:val="28"/>
          <w:lang w:val="zh-CN"/>
        </w:rPr>
      </w:pPr>
      <w:r>
        <w:rPr>
          <w:rFonts w:hint="eastAsia" w:ascii="仿宋" w:hAnsi="仿宋" w:eastAsia="仿宋" w:cs="宋体"/>
          <w:kern w:val="0"/>
          <w:sz w:val="28"/>
          <w:lang w:val="zh-CN"/>
        </w:rPr>
        <w:t>7）</w:t>
      </w:r>
      <w:r>
        <w:rPr>
          <w:rFonts w:hint="eastAsia" w:ascii="仿宋" w:hAnsi="仿宋" w:eastAsia="仿宋" w:cs="宋体"/>
          <w:sz w:val="28"/>
        </w:rPr>
        <w:t>质疑人</w:t>
      </w:r>
      <w:r>
        <w:rPr>
          <w:rFonts w:hint="eastAsia" w:ascii="仿宋" w:hAnsi="仿宋" w:eastAsia="仿宋" w:cs="宋体"/>
          <w:kern w:val="0"/>
          <w:sz w:val="28"/>
          <w:lang w:val="zh-CN"/>
        </w:rPr>
        <w:t>承担使用虚假材料或恶意方式质疑的法律责任。</w:t>
      </w:r>
    </w:p>
    <w:p w14:paraId="62EB18C6">
      <w:pPr>
        <w:spacing w:line="480" w:lineRule="exact"/>
        <w:ind w:firstLine="562" w:firstLineChars="200"/>
        <w:rPr>
          <w:rFonts w:hint="eastAsia" w:ascii="仿宋" w:hAnsi="仿宋" w:eastAsia="仿宋" w:cs="宋体"/>
          <w:b/>
          <w:kern w:val="0"/>
          <w:sz w:val="28"/>
          <w:lang w:val="zh-CN"/>
        </w:rPr>
      </w:pPr>
      <w:r>
        <w:rPr>
          <w:rFonts w:hint="eastAsia" w:ascii="仿宋" w:hAnsi="仿宋" w:eastAsia="仿宋" w:cs="宋体"/>
          <w:b/>
          <w:kern w:val="0"/>
          <w:sz w:val="28"/>
          <w:lang w:val="zh-CN"/>
        </w:rPr>
        <w:t>四、无佐证材料的举报作违约处理。</w:t>
      </w:r>
      <w:r>
        <w:rPr>
          <w:rFonts w:hint="eastAsia" w:ascii="仿宋" w:hAnsi="仿宋" w:eastAsia="仿宋" w:cs="宋体"/>
          <w:kern w:val="0"/>
          <w:sz w:val="28"/>
          <w:lang w:val="zh-CN"/>
        </w:rPr>
        <w:t>供应商不得进行不提供相关佐证材料（含无法查实的</w:t>
      </w:r>
      <w:r>
        <w:rPr>
          <w:rFonts w:hint="eastAsia" w:ascii="仿宋" w:hAnsi="仿宋" w:eastAsia="仿宋" w:cs="宋体"/>
          <w:sz w:val="28"/>
        </w:rPr>
        <w:t>如宣传册、媒体报道、猜测、推理等）</w:t>
      </w:r>
      <w:r>
        <w:rPr>
          <w:rFonts w:hint="eastAsia" w:ascii="仿宋" w:hAnsi="仿宋" w:eastAsia="仿宋" w:cs="宋体"/>
          <w:kern w:val="0"/>
          <w:sz w:val="28"/>
          <w:lang w:val="zh-CN"/>
        </w:rPr>
        <w:t>向有关部门的举报，否则作违约处理。同时对其在1至3年内禁入由采购人组织的政府采购活动的违约处理。</w:t>
      </w:r>
    </w:p>
    <w:p w14:paraId="70223C7E">
      <w:pPr>
        <w:spacing w:line="480" w:lineRule="exact"/>
        <w:ind w:firstLine="562" w:firstLineChars="200"/>
        <w:rPr>
          <w:rFonts w:hint="eastAsia" w:ascii="仿宋" w:hAnsi="仿宋" w:eastAsia="仿宋" w:cs="宋体"/>
          <w:sz w:val="28"/>
        </w:rPr>
      </w:pPr>
      <w:r>
        <w:rPr>
          <w:rFonts w:hint="eastAsia" w:ascii="仿宋" w:hAnsi="仿宋" w:eastAsia="仿宋" w:cs="宋体"/>
          <w:b/>
          <w:sz w:val="28"/>
        </w:rPr>
        <w:t>五、投诉不成立的作违约处理。</w:t>
      </w:r>
      <w:r>
        <w:rPr>
          <w:rFonts w:hint="eastAsia" w:ascii="仿宋" w:hAnsi="仿宋" w:eastAsia="仿宋" w:cs="宋体"/>
          <w:sz w:val="28"/>
        </w:rPr>
        <w:t>供应商进行质疑后，采购人回复质疑不成立，供应商仍进行投诉的，并最终投诉不成立的，作违约处理。</w:t>
      </w:r>
      <w:r>
        <w:rPr>
          <w:rFonts w:hint="eastAsia" w:ascii="仿宋" w:hAnsi="仿宋" w:eastAsia="仿宋" w:cs="宋体"/>
          <w:kern w:val="0"/>
          <w:sz w:val="28"/>
          <w:lang w:val="zh-CN"/>
        </w:rPr>
        <w:t>采购人有权对其在1至3年内禁入由采购人组织的政府采购活动的违约处理。</w:t>
      </w:r>
    </w:p>
    <w:p w14:paraId="6C77A26F">
      <w:pPr>
        <w:spacing w:line="480" w:lineRule="exact"/>
        <w:ind w:firstLine="562" w:firstLineChars="200"/>
        <w:rPr>
          <w:rFonts w:hint="eastAsia" w:ascii="仿宋" w:hAnsi="仿宋" w:eastAsia="仿宋" w:cs="宋体"/>
          <w:sz w:val="28"/>
        </w:rPr>
      </w:pPr>
      <w:r>
        <w:rPr>
          <w:rFonts w:hint="eastAsia" w:ascii="仿宋" w:hAnsi="仿宋" w:eastAsia="仿宋" w:cs="宋体"/>
          <w:b/>
          <w:sz w:val="28"/>
        </w:rPr>
        <w:t>六、《质疑函》《质疑回复函》，质疑、举报、投诉不成立的</w:t>
      </w:r>
      <w:r>
        <w:rPr>
          <w:rFonts w:hint="eastAsia" w:ascii="仿宋" w:hAnsi="仿宋" w:eastAsia="仿宋" w:cs="宋体"/>
          <w:sz w:val="28"/>
        </w:rPr>
        <w:t>等相关情况，视情在南通政府采购网、省、国家级等相关媒体予以披露。并建议相关政府采购机构对该供应商同步实施1至3年内禁入。</w:t>
      </w:r>
    </w:p>
    <w:p w14:paraId="449F757C">
      <w:pPr>
        <w:spacing w:line="480" w:lineRule="exact"/>
        <w:ind w:firstLine="560" w:firstLineChars="200"/>
        <w:rPr>
          <w:rFonts w:hint="eastAsia" w:ascii="仿宋" w:hAnsi="仿宋" w:eastAsia="仿宋" w:cs="宋体"/>
          <w:sz w:val="28"/>
        </w:rPr>
      </w:pPr>
      <w:r>
        <w:rPr>
          <w:rFonts w:hint="eastAsia" w:ascii="仿宋" w:hAnsi="仿宋" w:eastAsia="仿宋" w:cs="宋体"/>
          <w:sz w:val="28"/>
        </w:rPr>
        <w:t>七、质疑供应商对采购人的答复不满意或者采购人未在规定的时间内作出答复的，可以在答复期满后15个工作日内向政府采购监督管理部门投诉。</w:t>
      </w:r>
    </w:p>
    <w:p w14:paraId="346AE4F3">
      <w:pPr>
        <w:widowControl/>
        <w:jc w:val="left"/>
        <w:rPr>
          <w:rFonts w:hint="eastAsia" w:ascii="仿宋" w:hAnsi="仿宋" w:eastAsia="仿宋" w:cs="宋体"/>
          <w:sz w:val="28"/>
        </w:rPr>
      </w:pPr>
      <w:r>
        <w:rPr>
          <w:rFonts w:ascii="仿宋" w:hAnsi="仿宋" w:eastAsia="仿宋" w:cs="宋体"/>
          <w:sz w:val="28"/>
        </w:rPr>
        <w:br w:type="page"/>
      </w:r>
    </w:p>
    <w:p w14:paraId="03DDFC06">
      <w:pPr>
        <w:pStyle w:val="2"/>
        <w:spacing w:before="240" w:after="240" w:line="480" w:lineRule="exact"/>
        <w:jc w:val="center"/>
        <w:rPr>
          <w:rFonts w:hint="eastAsia" w:ascii="仿宋" w:hAnsi="仿宋" w:eastAsia="仿宋"/>
          <w:sz w:val="32"/>
          <w:szCs w:val="32"/>
        </w:rPr>
      </w:pPr>
      <w:r>
        <w:rPr>
          <w:rFonts w:hint="eastAsia" w:ascii="仿宋" w:hAnsi="仿宋" w:eastAsia="仿宋"/>
          <w:sz w:val="32"/>
          <w:szCs w:val="32"/>
        </w:rPr>
        <w:t>第六部分 响应文件组成及格式</w:t>
      </w:r>
    </w:p>
    <w:p w14:paraId="761A1911">
      <w:pPr>
        <w:autoSpaceDE w:val="0"/>
        <w:autoSpaceDN w:val="0"/>
        <w:adjustRightInd w:val="0"/>
        <w:spacing w:line="48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本次</w:t>
      </w:r>
      <w:r>
        <w:rPr>
          <w:rFonts w:hint="eastAsia" w:ascii="仿宋" w:hAnsi="仿宋" w:eastAsia="仿宋" w:cs="宋体"/>
          <w:b/>
          <w:bCs/>
          <w:sz w:val="28"/>
          <w:szCs w:val="28"/>
        </w:rPr>
        <w:t>项目</w:t>
      </w:r>
      <w:r>
        <w:rPr>
          <w:rFonts w:hint="eastAsia" w:ascii="仿宋" w:hAnsi="仿宋" w:eastAsia="仿宋" w:cs="宋体"/>
          <w:b/>
          <w:sz w:val="28"/>
          <w:szCs w:val="28"/>
        </w:rPr>
        <w:t>采用资格后审方式，磋商响应文件由资格审查文件、商务技术文件和价格文件三部分组成。</w:t>
      </w:r>
    </w:p>
    <w:p w14:paraId="6240856E">
      <w:pPr>
        <w:autoSpaceDE w:val="0"/>
        <w:autoSpaceDN w:val="0"/>
        <w:adjustRightInd w:val="0"/>
        <w:spacing w:line="48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一、资格审查文件</w:t>
      </w:r>
    </w:p>
    <w:p w14:paraId="604BA84C">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1.投标声明函。</w:t>
      </w:r>
    </w:p>
    <w:p w14:paraId="5184558F">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2.法定代表人身份证明或法定代表人授权委托书。</w:t>
      </w:r>
    </w:p>
    <w:p w14:paraId="5CD322A5">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3.企业法人营业执照（副本）复印件。</w:t>
      </w:r>
    </w:p>
    <w:p w14:paraId="2AE4E9A9">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4.上一年度的财务报告。（供应商须提供2</w:t>
      </w:r>
      <w:r>
        <w:rPr>
          <w:rFonts w:ascii="仿宋" w:hAnsi="仿宋" w:eastAsia="仿宋" w:cs="宋体"/>
          <w:kern w:val="1"/>
          <w:sz w:val="28"/>
          <w:szCs w:val="28"/>
        </w:rPr>
        <w:t>024</w:t>
      </w:r>
      <w:r>
        <w:rPr>
          <w:rFonts w:hint="eastAsia" w:ascii="仿宋" w:hAnsi="仿宋" w:eastAsia="仿宋" w:cs="宋体"/>
          <w:kern w:val="1"/>
          <w:sz w:val="28"/>
          <w:szCs w:val="28"/>
        </w:rPr>
        <w:t>年度的财务审计报告或2</w:t>
      </w:r>
      <w:r>
        <w:rPr>
          <w:rFonts w:ascii="仿宋" w:hAnsi="仿宋" w:eastAsia="仿宋" w:cs="宋体"/>
          <w:kern w:val="1"/>
          <w:sz w:val="28"/>
          <w:szCs w:val="28"/>
        </w:rPr>
        <w:t>024</w:t>
      </w:r>
      <w:r>
        <w:rPr>
          <w:rFonts w:hint="eastAsia" w:ascii="仿宋" w:hAnsi="仿宋" w:eastAsia="仿宋" w:cs="宋体"/>
          <w:kern w:val="1"/>
          <w:sz w:val="28"/>
          <w:szCs w:val="28"/>
        </w:rPr>
        <w:t>年1</w:t>
      </w:r>
      <w:r>
        <w:rPr>
          <w:rFonts w:ascii="仿宋" w:hAnsi="仿宋" w:eastAsia="仿宋" w:cs="宋体"/>
          <w:kern w:val="1"/>
          <w:sz w:val="28"/>
          <w:szCs w:val="28"/>
        </w:rPr>
        <w:t>2</w:t>
      </w:r>
      <w:r>
        <w:rPr>
          <w:rFonts w:hint="eastAsia" w:ascii="仿宋" w:hAnsi="仿宋" w:eastAsia="仿宋" w:cs="宋体"/>
          <w:kern w:val="1"/>
          <w:sz w:val="28"/>
          <w:szCs w:val="28"/>
        </w:rPr>
        <w:t>月3</w:t>
      </w:r>
      <w:r>
        <w:rPr>
          <w:rFonts w:ascii="仿宋" w:hAnsi="仿宋" w:eastAsia="仿宋" w:cs="宋体"/>
          <w:kern w:val="1"/>
          <w:sz w:val="28"/>
          <w:szCs w:val="28"/>
        </w:rPr>
        <w:t>1</w:t>
      </w:r>
      <w:r>
        <w:rPr>
          <w:rFonts w:hint="eastAsia" w:ascii="仿宋" w:hAnsi="仿宋" w:eastAsia="仿宋" w:cs="宋体"/>
          <w:kern w:val="1"/>
          <w:sz w:val="28"/>
          <w:szCs w:val="28"/>
        </w:rPr>
        <w:t>日资产负债表和利润表，成立不满1年无须提供。）</w:t>
      </w:r>
    </w:p>
    <w:p w14:paraId="2AE4CA71">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5.缴纳税收</w:t>
      </w:r>
      <w:r>
        <w:rPr>
          <w:rFonts w:hint="eastAsia" w:ascii="仿宋" w:hAnsi="仿宋" w:eastAsia="仿宋" w:cs="宋体"/>
          <w:bCs/>
          <w:kern w:val="1"/>
          <w:sz w:val="28"/>
          <w:szCs w:val="28"/>
        </w:rPr>
        <w:t>和</w:t>
      </w:r>
      <w:r>
        <w:rPr>
          <w:rFonts w:hint="eastAsia" w:ascii="仿宋" w:hAnsi="仿宋" w:eastAsia="仿宋" w:cs="宋体"/>
          <w:kern w:val="1"/>
          <w:sz w:val="28"/>
          <w:szCs w:val="28"/>
        </w:rPr>
        <w:t>社会保障资金证明。（供应商须提供近6个月任意一个月的缴纳税收证明材料，和社会保障资金证明，可以是税务和社保部门出具的证明文件，也可以是供应商银行基本户代缴代扣的电子回单。）</w:t>
      </w:r>
    </w:p>
    <w:p w14:paraId="263726EC">
      <w:pPr>
        <w:autoSpaceDE w:val="0"/>
        <w:autoSpaceDN w:val="0"/>
        <w:adjustRightInd w:val="0"/>
        <w:spacing w:line="480" w:lineRule="exact"/>
        <w:ind w:firstLine="560" w:firstLineChars="200"/>
        <w:rPr>
          <w:rFonts w:hint="eastAsia" w:ascii="仿宋" w:hAnsi="仿宋" w:eastAsia="仿宋"/>
          <w:sz w:val="28"/>
          <w:szCs w:val="28"/>
        </w:rPr>
      </w:pPr>
      <w:r>
        <w:rPr>
          <w:rFonts w:hint="eastAsia" w:ascii="仿宋" w:hAnsi="仿宋" w:eastAsia="仿宋" w:cs="宋体"/>
          <w:kern w:val="1"/>
          <w:sz w:val="28"/>
          <w:szCs w:val="28"/>
        </w:rPr>
        <w:t>6.</w:t>
      </w:r>
      <w:r>
        <w:rPr>
          <w:rFonts w:ascii="仿宋" w:hAnsi="仿宋" w:eastAsia="仿宋"/>
          <w:sz w:val="28"/>
          <w:szCs w:val="28"/>
        </w:rPr>
        <w:t>履行合同所必需的设备和专业技术能力</w:t>
      </w:r>
      <w:r>
        <w:rPr>
          <w:rFonts w:hint="eastAsia" w:ascii="仿宋" w:hAnsi="仿宋" w:eastAsia="仿宋"/>
          <w:sz w:val="28"/>
          <w:szCs w:val="28"/>
        </w:rPr>
        <w:t>。</w:t>
      </w:r>
    </w:p>
    <w:p w14:paraId="2CDCE55B">
      <w:pPr>
        <w:autoSpaceDE w:val="0"/>
        <w:autoSpaceDN w:val="0"/>
        <w:adjustRightIn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7</w:t>
      </w:r>
      <w:r>
        <w:rPr>
          <w:rFonts w:hint="eastAsia" w:ascii="仿宋" w:hAnsi="仿宋" w:eastAsia="仿宋" w:cs="宋体"/>
          <w:kern w:val="1"/>
          <w:sz w:val="28"/>
          <w:szCs w:val="28"/>
        </w:rPr>
        <w:t>.</w:t>
      </w:r>
      <w:r>
        <w:rPr>
          <w:rFonts w:hint="eastAsia" w:ascii="仿宋" w:hAnsi="仿宋" w:eastAsia="仿宋"/>
          <w:sz w:val="28"/>
          <w:szCs w:val="28"/>
        </w:rPr>
        <w:t>参加政府采购活动前三年内，在经营活动中没有重大违法记录</w:t>
      </w:r>
    </w:p>
    <w:p w14:paraId="3157A1AF">
      <w:pPr>
        <w:autoSpaceDE w:val="0"/>
        <w:autoSpaceDN w:val="0"/>
        <w:adjustRightInd w:val="0"/>
        <w:spacing w:line="480" w:lineRule="exact"/>
        <w:ind w:firstLine="560" w:firstLineChars="200"/>
        <w:jc w:val="left"/>
        <w:rPr>
          <w:rFonts w:hint="eastAsia" w:ascii="仿宋" w:hAnsi="仿宋" w:eastAsia="仿宋"/>
          <w:color w:val="FF0000"/>
          <w:sz w:val="28"/>
          <w:szCs w:val="28"/>
        </w:rPr>
      </w:pPr>
      <w:r>
        <w:rPr>
          <w:rFonts w:hint="eastAsia" w:ascii="仿宋" w:hAnsi="仿宋" w:eastAsia="仿宋"/>
          <w:sz w:val="28"/>
          <w:szCs w:val="28"/>
        </w:rPr>
        <w:t>8.供应商未被“信用中国”网站（www.creditchina.gov.cn）列入失信被执行人、重大税收违法案件当事人名单、政府采购严重失信行为记录名单。（提供信用中国网页查询截图）</w:t>
      </w:r>
    </w:p>
    <w:p w14:paraId="09E2974F">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9. 供应商信用承诺书。</w:t>
      </w:r>
    </w:p>
    <w:p w14:paraId="54D37848">
      <w:pPr>
        <w:autoSpaceDE w:val="0"/>
        <w:autoSpaceDN w:val="0"/>
        <w:adjustRightInd w:val="0"/>
        <w:spacing w:line="48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以上材料为复印件的均需加盖供应商公章。</w:t>
      </w:r>
    </w:p>
    <w:p w14:paraId="4FBA400A">
      <w:pPr>
        <w:autoSpaceDE w:val="0"/>
        <w:autoSpaceDN w:val="0"/>
        <w:adjustRightInd w:val="0"/>
        <w:spacing w:line="48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二、商务技术文件</w:t>
      </w:r>
    </w:p>
    <w:p w14:paraId="3737B053">
      <w:pPr>
        <w:autoSpaceDE w:val="0"/>
        <w:autoSpaceDN w:val="0"/>
        <w:adjustRightIn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1、技术部分正负偏离表。</w:t>
      </w:r>
    </w:p>
    <w:p w14:paraId="6E74412F">
      <w:pPr>
        <w:autoSpaceDE w:val="0"/>
        <w:autoSpaceDN w:val="0"/>
        <w:adjustRightIn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、根据评分标准提供相应证明材料。</w:t>
      </w:r>
    </w:p>
    <w:p w14:paraId="7CF58A87">
      <w:pPr>
        <w:autoSpaceDE w:val="0"/>
        <w:autoSpaceDN w:val="0"/>
        <w:adjustRightInd w:val="0"/>
        <w:spacing w:line="480" w:lineRule="exact"/>
        <w:ind w:firstLine="562" w:firstLineChars="200"/>
        <w:rPr>
          <w:rFonts w:hint="eastAsia" w:ascii="仿宋" w:hAnsi="仿宋" w:eastAsia="仿宋" w:cs="宋体"/>
          <w:kern w:val="1"/>
          <w:sz w:val="28"/>
          <w:szCs w:val="28"/>
        </w:rPr>
      </w:pPr>
      <w:r>
        <w:rPr>
          <w:rFonts w:hint="eastAsia" w:ascii="仿宋" w:hAnsi="仿宋" w:eastAsia="仿宋" w:cs="宋体"/>
          <w:b/>
          <w:sz w:val="28"/>
          <w:szCs w:val="28"/>
        </w:rPr>
        <w:t>三、价格文件</w:t>
      </w:r>
    </w:p>
    <w:p w14:paraId="72D050F4">
      <w:pPr>
        <w:autoSpaceDE w:val="0"/>
        <w:autoSpaceDN w:val="0"/>
        <w:adjustRightInd w:val="0"/>
        <w:spacing w:line="480" w:lineRule="exact"/>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1、报价函</w:t>
      </w:r>
    </w:p>
    <w:p w14:paraId="3CBEA0D8">
      <w:pPr>
        <w:autoSpaceDE w:val="0"/>
        <w:autoSpaceDN w:val="0"/>
        <w:adjustRightInd w:val="0"/>
        <w:spacing w:line="48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2、分项报价明细表</w:t>
      </w:r>
    </w:p>
    <w:p w14:paraId="782D5036">
      <w:pPr>
        <w:autoSpaceDE w:val="0"/>
        <w:autoSpaceDN w:val="0"/>
        <w:adjustRightInd w:val="0"/>
        <w:spacing w:line="480" w:lineRule="exact"/>
        <w:rPr>
          <w:rFonts w:hint="eastAsia" w:ascii="仿宋" w:hAnsi="仿宋" w:eastAsia="仿宋" w:cs="宋体"/>
          <w:b/>
          <w:bCs/>
          <w:sz w:val="28"/>
          <w:szCs w:val="28"/>
        </w:rPr>
      </w:pPr>
    </w:p>
    <w:p w14:paraId="7D6B2E56">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14:paraId="13DD89DD">
      <w:pPr>
        <w:adjustRightInd w:val="0"/>
        <w:snapToGrid w:val="0"/>
        <w:spacing w:line="480" w:lineRule="exact"/>
        <w:jc w:val="left"/>
        <w:rPr>
          <w:rFonts w:hint="eastAsia" w:ascii="仿宋" w:hAnsi="仿宋" w:eastAsia="仿宋" w:cs="宋体"/>
          <w:bCs/>
          <w:sz w:val="28"/>
          <w:szCs w:val="28"/>
        </w:rPr>
      </w:pPr>
      <w:r>
        <w:rPr>
          <w:rFonts w:hint="eastAsia" w:ascii="仿宋" w:hAnsi="仿宋" w:eastAsia="仿宋" w:cs="宋体"/>
          <w:bCs/>
          <w:sz w:val="28"/>
          <w:szCs w:val="28"/>
        </w:rPr>
        <w:t>附件1</w:t>
      </w:r>
    </w:p>
    <w:p w14:paraId="34FE9710">
      <w:pPr>
        <w:spacing w:line="480" w:lineRule="exact"/>
        <w:jc w:val="center"/>
        <w:rPr>
          <w:rFonts w:hint="eastAsia" w:ascii="仿宋" w:hAnsi="仿宋" w:eastAsia="仿宋" w:cs="宋体"/>
          <w:b/>
          <w:sz w:val="30"/>
          <w:szCs w:val="30"/>
        </w:rPr>
      </w:pPr>
      <w:r>
        <w:rPr>
          <w:rFonts w:hint="eastAsia" w:ascii="仿宋" w:hAnsi="仿宋" w:eastAsia="仿宋" w:cs="宋体"/>
          <w:b/>
          <w:sz w:val="30"/>
          <w:szCs w:val="30"/>
        </w:rPr>
        <w:t>法定代表人身份证明</w:t>
      </w:r>
    </w:p>
    <w:p w14:paraId="25F607FF">
      <w:pPr>
        <w:spacing w:line="480" w:lineRule="exact"/>
        <w:jc w:val="center"/>
        <w:rPr>
          <w:rFonts w:hint="eastAsia" w:ascii="仿宋" w:hAnsi="仿宋" w:eastAsia="仿宋" w:cs="宋体"/>
          <w:sz w:val="28"/>
          <w:szCs w:val="28"/>
        </w:rPr>
      </w:pPr>
      <w:r>
        <w:rPr>
          <w:rFonts w:hint="eastAsia" w:ascii="仿宋" w:hAnsi="仿宋" w:eastAsia="仿宋" w:cs="宋体"/>
          <w:sz w:val="28"/>
          <w:szCs w:val="28"/>
        </w:rPr>
        <w:t>（法定代表人参加投标，须出示此证明）</w:t>
      </w:r>
    </w:p>
    <w:p w14:paraId="6A9D8A8A">
      <w:pPr>
        <w:spacing w:line="480" w:lineRule="exact"/>
        <w:rPr>
          <w:rFonts w:hint="eastAsia" w:ascii="仿宋" w:hAnsi="仿宋" w:eastAsia="仿宋" w:cs="宋体"/>
          <w:sz w:val="28"/>
          <w:szCs w:val="28"/>
          <w:u w:val="single"/>
        </w:rPr>
      </w:pPr>
      <w:r>
        <w:rPr>
          <w:rFonts w:hint="eastAsia" w:ascii="仿宋" w:hAnsi="仿宋" w:eastAsia="仿宋" w:cs="宋体"/>
          <w:sz w:val="28"/>
          <w:szCs w:val="28"/>
          <w:u w:val="single"/>
        </w:rPr>
        <w:t>南通市通州区第二人民医院：</w:t>
      </w:r>
    </w:p>
    <w:p w14:paraId="38D8C638">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我公司法定代表人参加贵单位组织的</w:t>
      </w:r>
      <w:r>
        <w:rPr>
          <w:rFonts w:hint="eastAsia" w:ascii="仿宋" w:hAnsi="仿宋" w:eastAsia="仿宋" w:cs="宋体"/>
          <w:sz w:val="28"/>
          <w:szCs w:val="28"/>
          <w:u w:val="single"/>
        </w:rPr>
        <w:t>（采购项目名称及项目编号）</w:t>
      </w:r>
      <w:r>
        <w:rPr>
          <w:rFonts w:hint="eastAsia" w:ascii="仿宋" w:hAnsi="仿宋" w:eastAsia="仿宋" w:cs="宋体"/>
          <w:sz w:val="28"/>
          <w:szCs w:val="28"/>
        </w:rPr>
        <w:t>项目招标采购活动，全权代表我公司处理响应的有关事宜。</w:t>
      </w:r>
    </w:p>
    <w:p w14:paraId="6F39365F">
      <w:pPr>
        <w:spacing w:line="480" w:lineRule="exact"/>
        <w:rPr>
          <w:rFonts w:hint="eastAsia" w:ascii="仿宋" w:hAnsi="仿宋" w:eastAsia="仿宋" w:cs="宋体"/>
          <w:sz w:val="28"/>
          <w:szCs w:val="28"/>
        </w:rPr>
      </w:pPr>
      <w:r>
        <w:rPr>
          <w:rFonts w:hint="eastAsia" w:ascii="仿宋" w:hAnsi="仿宋" w:eastAsia="仿宋" w:cs="宋体"/>
          <w:sz w:val="28"/>
          <w:szCs w:val="28"/>
        </w:rPr>
        <w:t>附：法定代表人情况：</w:t>
      </w:r>
    </w:p>
    <w:p w14:paraId="00E7C729">
      <w:pPr>
        <w:spacing w:line="480" w:lineRule="exact"/>
        <w:rPr>
          <w:rFonts w:hint="eastAsia" w:ascii="仿宋" w:hAnsi="仿宋" w:eastAsia="仿宋" w:cs="宋体"/>
          <w:sz w:val="28"/>
          <w:szCs w:val="28"/>
          <w:u w:val="single"/>
        </w:rPr>
      </w:pPr>
      <w:r>
        <w:rPr>
          <w:rFonts w:hint="eastAsia" w:ascii="仿宋" w:hAnsi="仿宋" w:eastAsia="仿宋" w:cs="宋体"/>
          <w:sz w:val="28"/>
          <w:szCs w:val="28"/>
        </w:rPr>
        <w:t>姓名：       性别：     年龄：       职务：</w:t>
      </w:r>
    </w:p>
    <w:p w14:paraId="56D0320E">
      <w:pPr>
        <w:spacing w:line="480" w:lineRule="exact"/>
        <w:rPr>
          <w:rFonts w:hint="eastAsia" w:ascii="仿宋" w:hAnsi="仿宋" w:eastAsia="仿宋" w:cs="宋体"/>
          <w:sz w:val="28"/>
          <w:szCs w:val="28"/>
        </w:rPr>
      </w:pPr>
      <w:r>
        <w:rPr>
          <w:rFonts w:hint="eastAsia" w:ascii="仿宋" w:hAnsi="仿宋" w:eastAsia="仿宋" w:cs="宋体"/>
          <w:sz w:val="28"/>
          <w:szCs w:val="28"/>
        </w:rPr>
        <w:t>身份证号码：</w:t>
      </w:r>
    </w:p>
    <w:p w14:paraId="0C1D2BD7">
      <w:pPr>
        <w:spacing w:line="480" w:lineRule="exact"/>
        <w:rPr>
          <w:rFonts w:hint="eastAsia" w:ascii="仿宋" w:hAnsi="仿宋" w:eastAsia="仿宋" w:cs="宋体"/>
          <w:sz w:val="28"/>
          <w:szCs w:val="28"/>
        </w:rPr>
      </w:pPr>
      <w:r>
        <w:rPr>
          <w:rFonts w:hint="eastAsia" w:ascii="仿宋" w:hAnsi="仿宋" w:eastAsia="仿宋" w:cs="宋体"/>
          <w:sz w:val="28"/>
          <w:szCs w:val="28"/>
        </w:rPr>
        <w:t>手机：                   传真：</w:t>
      </w:r>
    </w:p>
    <w:p w14:paraId="5627937F">
      <w:pPr>
        <w:spacing w:line="480" w:lineRule="exact"/>
        <w:rPr>
          <w:rFonts w:hint="eastAsia" w:ascii="仿宋" w:hAnsi="仿宋" w:eastAsia="仿宋" w:cs="宋体"/>
          <w:sz w:val="28"/>
          <w:szCs w:val="28"/>
        </w:rPr>
      </w:pPr>
    </w:p>
    <w:p w14:paraId="47525869">
      <w:pPr>
        <w:spacing w:line="480" w:lineRule="exact"/>
        <w:rPr>
          <w:rFonts w:hint="eastAsia" w:ascii="仿宋" w:hAnsi="仿宋" w:eastAsia="仿宋" w:cs="宋体"/>
          <w:sz w:val="28"/>
          <w:szCs w:val="28"/>
        </w:rPr>
      </w:pPr>
    </w:p>
    <w:p w14:paraId="3D1695DA">
      <w:pPr>
        <w:spacing w:line="480" w:lineRule="exact"/>
        <w:jc w:val="right"/>
        <w:rPr>
          <w:rFonts w:hint="eastAsia" w:ascii="仿宋" w:hAnsi="仿宋" w:eastAsia="仿宋" w:cs="宋体"/>
          <w:sz w:val="28"/>
          <w:szCs w:val="28"/>
        </w:rPr>
      </w:pPr>
      <w:r>
        <w:rPr>
          <w:rFonts w:hint="eastAsia" w:ascii="仿宋" w:hAnsi="仿宋" w:eastAsia="仿宋" w:cs="宋体"/>
          <w:sz w:val="28"/>
          <w:szCs w:val="28"/>
        </w:rPr>
        <w:t xml:space="preserve">单位名称（公章）             法定代表人（签字或盖章）       </w:t>
      </w:r>
    </w:p>
    <w:p w14:paraId="267FA0A4">
      <w:pPr>
        <w:spacing w:line="480" w:lineRule="exact"/>
        <w:ind w:firstLine="1400" w:firstLineChars="500"/>
        <w:jc w:val="right"/>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14:paraId="09428242">
      <w:pPr>
        <w:spacing w:line="480" w:lineRule="exact"/>
        <w:ind w:firstLine="1400" w:firstLineChars="500"/>
        <w:jc w:val="right"/>
        <w:rPr>
          <w:rFonts w:hint="eastAsia" w:ascii="仿宋" w:hAnsi="仿宋" w:eastAsia="仿宋" w:cs="宋体"/>
          <w:sz w:val="28"/>
          <w:szCs w:val="28"/>
        </w:rPr>
      </w:pPr>
    </w:p>
    <w:p w14:paraId="578BC6D0">
      <w:pPr>
        <w:spacing w:line="480" w:lineRule="exact"/>
        <w:rPr>
          <w:rFonts w:hint="eastAsia" w:ascii="仿宋" w:hAnsi="仿宋" w:eastAsia="仿宋" w:cs="宋体"/>
          <w:sz w:val="28"/>
          <w:szCs w:val="28"/>
        </w:rPr>
      </w:pPr>
      <w:r>
        <w:rPr>
          <w:rFonts w:hint="eastAsia" w:ascii="仿宋" w:hAnsi="仿宋" w:eastAsia="仿宋" w:cs="宋体"/>
          <w:sz w:val="28"/>
          <w:szCs w:val="28"/>
        </w:rPr>
        <w:t>法定代表人身份证复印件：</w:t>
      </w:r>
    </w:p>
    <w:p w14:paraId="2856F32E">
      <w:pPr>
        <w:spacing w:line="480" w:lineRule="exact"/>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14:paraId="2ABBE87B">
      <w:pPr>
        <w:spacing w:line="480" w:lineRule="exact"/>
        <w:ind w:firstLine="2660" w:firstLineChars="950"/>
        <w:rPr>
          <w:rFonts w:hint="eastAsia" w:ascii="仿宋" w:hAnsi="仿宋" w:eastAsia="仿宋" w:cs="宋体"/>
          <w:sz w:val="28"/>
          <w:szCs w:val="28"/>
        </w:rPr>
      </w:pPr>
    </w:p>
    <w:p w14:paraId="05D27614">
      <w:pPr>
        <w:spacing w:line="480" w:lineRule="exact"/>
        <w:rPr>
          <w:rFonts w:hint="eastAsia" w:ascii="仿宋" w:hAnsi="仿宋" w:eastAsia="仿宋" w:cs="宋体"/>
          <w:b/>
          <w:bCs/>
          <w:sz w:val="28"/>
          <w:szCs w:val="28"/>
        </w:rPr>
      </w:pPr>
    </w:p>
    <w:p w14:paraId="76088400">
      <w:pPr>
        <w:spacing w:line="480" w:lineRule="exact"/>
        <w:rPr>
          <w:rFonts w:hint="eastAsia" w:ascii="仿宋" w:hAnsi="仿宋" w:eastAsia="仿宋" w:cs="宋体"/>
          <w:b/>
          <w:bCs/>
          <w:sz w:val="28"/>
          <w:szCs w:val="28"/>
        </w:rPr>
      </w:pPr>
    </w:p>
    <w:p w14:paraId="3FBCF0AE">
      <w:pPr>
        <w:spacing w:line="480" w:lineRule="exact"/>
        <w:rPr>
          <w:rFonts w:hint="eastAsia" w:ascii="仿宋" w:hAnsi="仿宋" w:eastAsia="仿宋" w:cs="宋体"/>
          <w:b/>
          <w:bCs/>
          <w:sz w:val="28"/>
          <w:szCs w:val="28"/>
        </w:rPr>
      </w:pPr>
    </w:p>
    <w:p w14:paraId="4E6A26A4">
      <w:pPr>
        <w:spacing w:line="480" w:lineRule="exact"/>
        <w:rPr>
          <w:rFonts w:hint="eastAsia" w:ascii="仿宋" w:hAnsi="仿宋" w:eastAsia="仿宋" w:cs="宋体"/>
          <w:b/>
          <w:bCs/>
          <w:sz w:val="28"/>
          <w:szCs w:val="28"/>
        </w:rPr>
      </w:pPr>
    </w:p>
    <w:p w14:paraId="59593CD7">
      <w:pPr>
        <w:spacing w:line="480" w:lineRule="exact"/>
        <w:rPr>
          <w:rFonts w:hint="eastAsia" w:ascii="仿宋" w:hAnsi="仿宋" w:eastAsia="仿宋" w:cs="宋体"/>
          <w:b/>
          <w:bCs/>
          <w:sz w:val="28"/>
          <w:szCs w:val="28"/>
        </w:rPr>
      </w:pPr>
    </w:p>
    <w:p w14:paraId="4F7FE716">
      <w:pPr>
        <w:spacing w:line="480" w:lineRule="exact"/>
        <w:rPr>
          <w:rFonts w:hint="eastAsia" w:ascii="仿宋" w:hAnsi="仿宋" w:eastAsia="仿宋" w:cs="宋体"/>
          <w:b/>
          <w:bCs/>
          <w:sz w:val="28"/>
          <w:szCs w:val="28"/>
        </w:rPr>
      </w:pPr>
    </w:p>
    <w:p w14:paraId="78D10ECE">
      <w:pPr>
        <w:spacing w:line="480" w:lineRule="exact"/>
        <w:rPr>
          <w:rFonts w:hint="eastAsia" w:ascii="仿宋" w:hAnsi="仿宋" w:eastAsia="仿宋" w:cs="宋体"/>
          <w:b/>
          <w:bCs/>
          <w:sz w:val="28"/>
          <w:szCs w:val="28"/>
        </w:rPr>
      </w:pPr>
    </w:p>
    <w:p w14:paraId="0731F08C">
      <w:pPr>
        <w:spacing w:line="480" w:lineRule="exact"/>
        <w:rPr>
          <w:rFonts w:hint="eastAsia" w:ascii="仿宋" w:hAnsi="仿宋" w:eastAsia="仿宋" w:cs="宋体"/>
          <w:b/>
          <w:bCs/>
          <w:sz w:val="28"/>
          <w:szCs w:val="28"/>
        </w:rPr>
      </w:pPr>
    </w:p>
    <w:p w14:paraId="21E5DA24">
      <w:pPr>
        <w:spacing w:line="480" w:lineRule="exact"/>
        <w:rPr>
          <w:rFonts w:hint="eastAsia" w:ascii="仿宋" w:hAnsi="仿宋" w:eastAsia="仿宋" w:cs="宋体"/>
          <w:b/>
          <w:bCs/>
          <w:sz w:val="28"/>
          <w:szCs w:val="28"/>
        </w:rPr>
      </w:pPr>
    </w:p>
    <w:p w14:paraId="09EE6229">
      <w:pPr>
        <w:spacing w:line="480" w:lineRule="exact"/>
        <w:rPr>
          <w:rFonts w:hint="eastAsia" w:ascii="仿宋" w:hAnsi="仿宋" w:eastAsia="仿宋" w:cs="宋体"/>
          <w:b/>
          <w:bCs/>
          <w:sz w:val="28"/>
          <w:szCs w:val="28"/>
        </w:rPr>
      </w:pPr>
    </w:p>
    <w:p w14:paraId="19387286">
      <w:pPr>
        <w:spacing w:line="480" w:lineRule="exact"/>
        <w:rPr>
          <w:rFonts w:hint="eastAsia" w:ascii="仿宋" w:hAnsi="仿宋" w:eastAsia="仿宋" w:cs="宋体"/>
          <w:b/>
          <w:bCs/>
          <w:sz w:val="28"/>
          <w:szCs w:val="28"/>
        </w:rPr>
      </w:pPr>
    </w:p>
    <w:p w14:paraId="258E37ED">
      <w:pPr>
        <w:adjustRightInd w:val="0"/>
        <w:snapToGrid w:val="0"/>
        <w:spacing w:line="480" w:lineRule="exact"/>
        <w:jc w:val="left"/>
        <w:rPr>
          <w:rFonts w:hint="eastAsia" w:ascii="仿宋" w:hAnsi="仿宋" w:eastAsia="仿宋" w:cs="宋体"/>
          <w:bCs/>
          <w:sz w:val="28"/>
          <w:szCs w:val="28"/>
        </w:rPr>
      </w:pPr>
      <w:r>
        <w:rPr>
          <w:rFonts w:hint="eastAsia" w:ascii="仿宋" w:hAnsi="仿宋" w:eastAsia="仿宋" w:cs="宋体"/>
          <w:bCs/>
          <w:sz w:val="28"/>
          <w:szCs w:val="28"/>
        </w:rPr>
        <w:t>附件2</w:t>
      </w:r>
    </w:p>
    <w:p w14:paraId="5C04503E">
      <w:pPr>
        <w:spacing w:line="480" w:lineRule="exact"/>
        <w:ind w:firstLine="3433" w:firstLineChars="1140"/>
        <w:rPr>
          <w:rFonts w:hint="eastAsia" w:ascii="仿宋" w:hAnsi="仿宋" w:eastAsia="仿宋" w:cs="宋体"/>
          <w:b/>
          <w:sz w:val="30"/>
          <w:szCs w:val="30"/>
        </w:rPr>
      </w:pPr>
      <w:r>
        <w:rPr>
          <w:rFonts w:hint="eastAsia" w:ascii="仿宋" w:hAnsi="仿宋" w:eastAsia="仿宋" w:cs="宋体"/>
          <w:b/>
          <w:sz w:val="30"/>
          <w:szCs w:val="30"/>
        </w:rPr>
        <w:t>授权委托书</w:t>
      </w:r>
    </w:p>
    <w:p w14:paraId="2C874FDD">
      <w:pPr>
        <w:spacing w:line="480" w:lineRule="exact"/>
        <w:jc w:val="center"/>
        <w:rPr>
          <w:rFonts w:hint="eastAsia" w:ascii="仿宋" w:hAnsi="仿宋" w:eastAsia="仿宋" w:cs="宋体"/>
          <w:sz w:val="28"/>
          <w:szCs w:val="28"/>
        </w:rPr>
      </w:pPr>
      <w:r>
        <w:rPr>
          <w:rFonts w:hint="eastAsia" w:ascii="仿宋" w:hAnsi="仿宋" w:eastAsia="仿宋" w:cs="宋体"/>
          <w:sz w:val="28"/>
          <w:szCs w:val="28"/>
        </w:rPr>
        <w:t>（非法定代表人参加投标，须出示此证明）</w:t>
      </w:r>
    </w:p>
    <w:p w14:paraId="5E0F95FE">
      <w:pPr>
        <w:spacing w:line="480" w:lineRule="exact"/>
        <w:rPr>
          <w:rFonts w:hint="eastAsia" w:ascii="仿宋" w:hAnsi="仿宋" w:eastAsia="仿宋" w:cs="宋体"/>
          <w:sz w:val="28"/>
          <w:szCs w:val="28"/>
          <w:u w:val="single"/>
        </w:rPr>
      </w:pPr>
    </w:p>
    <w:p w14:paraId="16FA20C5">
      <w:pPr>
        <w:spacing w:line="480" w:lineRule="exact"/>
        <w:rPr>
          <w:rFonts w:hint="eastAsia" w:ascii="仿宋" w:hAnsi="仿宋" w:eastAsia="仿宋" w:cs="宋体"/>
          <w:sz w:val="28"/>
          <w:szCs w:val="28"/>
          <w:u w:val="single"/>
        </w:rPr>
      </w:pPr>
      <w:r>
        <w:rPr>
          <w:rFonts w:hint="eastAsia" w:ascii="仿宋" w:hAnsi="仿宋" w:eastAsia="仿宋" w:cs="宋体"/>
          <w:sz w:val="28"/>
          <w:szCs w:val="28"/>
          <w:u w:val="single"/>
        </w:rPr>
        <w:t>南通市通州区第二人民医院：</w:t>
      </w:r>
    </w:p>
    <w:p w14:paraId="14C7E3D6">
      <w:pPr>
        <w:snapToGrid w:val="0"/>
        <w:spacing w:line="480" w:lineRule="exact"/>
        <w:rPr>
          <w:rFonts w:hint="eastAsia" w:ascii="仿宋" w:hAnsi="仿宋" w:eastAsia="仿宋" w:cs="宋体"/>
          <w:b/>
          <w:sz w:val="28"/>
          <w:szCs w:val="28"/>
        </w:rPr>
      </w:pPr>
    </w:p>
    <w:p w14:paraId="537C3A0B">
      <w:pPr>
        <w:pStyle w:val="22"/>
        <w:adjustRightInd w:val="0"/>
        <w:snapToGrid w:val="0"/>
        <w:spacing w:line="48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兹授权</w:t>
      </w:r>
      <w:r>
        <w:rPr>
          <w:rFonts w:hint="eastAsia" w:ascii="仿宋" w:hAnsi="仿宋" w:eastAsia="仿宋" w:cs="宋体"/>
          <w:sz w:val="28"/>
          <w:szCs w:val="28"/>
          <w:u w:val="single"/>
        </w:rPr>
        <w:t xml:space="preserve">       （</w:t>
      </w:r>
      <w:r>
        <w:rPr>
          <w:rFonts w:hint="eastAsia" w:ascii="仿宋" w:hAnsi="仿宋" w:eastAsia="仿宋" w:cs="宋体"/>
          <w:sz w:val="28"/>
          <w:szCs w:val="28"/>
        </w:rPr>
        <w:t>被授权人的姓名）代表我公司参加</w:t>
      </w:r>
      <w:r>
        <w:rPr>
          <w:rFonts w:hint="eastAsia" w:ascii="仿宋" w:hAnsi="仿宋" w:eastAsia="仿宋" w:cs="宋体"/>
          <w:sz w:val="28"/>
          <w:szCs w:val="28"/>
          <w:u w:val="single"/>
        </w:rPr>
        <w:t xml:space="preserve">（采购项目名称及项目编号）  </w:t>
      </w:r>
      <w:r>
        <w:rPr>
          <w:rFonts w:hint="eastAsia" w:ascii="仿宋" w:hAnsi="仿宋" w:eastAsia="仿宋" w:cs="宋体"/>
          <w:sz w:val="28"/>
          <w:szCs w:val="28"/>
        </w:rPr>
        <w:t>的政府采购活动，全权处理一切与该项目招标有关的事务。其在办理上述事宜过程中所签署的所有文件我公司均予以承认。</w:t>
      </w:r>
    </w:p>
    <w:p w14:paraId="5FCBA5C4">
      <w:pPr>
        <w:pStyle w:val="22"/>
        <w:adjustRightInd w:val="0"/>
        <w:snapToGrid w:val="0"/>
        <w:spacing w:line="48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被授权人无转委托权，特此委托。</w:t>
      </w:r>
    </w:p>
    <w:p w14:paraId="22A32E04">
      <w:pPr>
        <w:pStyle w:val="22"/>
        <w:adjustRightInd w:val="0"/>
        <w:snapToGrid w:val="0"/>
        <w:spacing w:line="480" w:lineRule="exact"/>
        <w:ind w:firstLine="560" w:firstLineChars="200"/>
        <w:jc w:val="left"/>
        <w:rPr>
          <w:rFonts w:hint="eastAsia" w:ascii="仿宋" w:hAnsi="仿宋" w:eastAsia="仿宋" w:cs="宋体"/>
          <w:sz w:val="28"/>
          <w:szCs w:val="28"/>
        </w:rPr>
      </w:pPr>
    </w:p>
    <w:p w14:paraId="692912D0">
      <w:pPr>
        <w:spacing w:line="480" w:lineRule="exact"/>
        <w:rPr>
          <w:rFonts w:hint="eastAsia" w:ascii="仿宋" w:hAnsi="仿宋" w:eastAsia="仿宋" w:cs="宋体"/>
          <w:sz w:val="28"/>
          <w:szCs w:val="28"/>
        </w:rPr>
      </w:pPr>
      <w:r>
        <w:rPr>
          <w:rFonts w:hint="eastAsia" w:ascii="仿宋" w:hAnsi="仿宋" w:eastAsia="仿宋" w:cs="宋体"/>
          <w:sz w:val="28"/>
          <w:szCs w:val="28"/>
        </w:rPr>
        <w:t>附：被授权人情况：</w:t>
      </w:r>
    </w:p>
    <w:p w14:paraId="67C39AB7">
      <w:pPr>
        <w:spacing w:line="480" w:lineRule="exact"/>
        <w:rPr>
          <w:rFonts w:hint="eastAsia" w:ascii="仿宋" w:hAnsi="仿宋" w:eastAsia="仿宋" w:cs="宋体"/>
          <w:sz w:val="28"/>
          <w:szCs w:val="28"/>
          <w:u w:val="single"/>
        </w:rPr>
      </w:pPr>
      <w:r>
        <w:rPr>
          <w:rFonts w:hint="eastAsia" w:ascii="仿宋" w:hAnsi="仿宋" w:eastAsia="仿宋" w:cs="宋体"/>
          <w:sz w:val="28"/>
          <w:szCs w:val="28"/>
        </w:rPr>
        <w:t>姓名：          性别：      年龄：       职务：</w:t>
      </w:r>
    </w:p>
    <w:p w14:paraId="56134090">
      <w:pPr>
        <w:spacing w:line="480" w:lineRule="exact"/>
        <w:rPr>
          <w:rFonts w:hint="eastAsia" w:ascii="仿宋" w:hAnsi="仿宋" w:eastAsia="仿宋" w:cs="宋体"/>
          <w:sz w:val="28"/>
          <w:szCs w:val="28"/>
        </w:rPr>
      </w:pPr>
      <w:r>
        <w:rPr>
          <w:rFonts w:hint="eastAsia" w:ascii="仿宋" w:hAnsi="仿宋" w:eastAsia="仿宋" w:cs="宋体"/>
          <w:sz w:val="28"/>
          <w:szCs w:val="28"/>
        </w:rPr>
        <w:t>身份证号码：</w:t>
      </w:r>
    </w:p>
    <w:p w14:paraId="3BA0A53C">
      <w:pPr>
        <w:spacing w:line="480" w:lineRule="exact"/>
        <w:rPr>
          <w:rFonts w:hint="eastAsia" w:ascii="仿宋" w:hAnsi="仿宋" w:eastAsia="仿宋" w:cs="宋体"/>
          <w:sz w:val="28"/>
          <w:szCs w:val="28"/>
        </w:rPr>
      </w:pPr>
      <w:r>
        <w:rPr>
          <w:rFonts w:hint="eastAsia" w:ascii="仿宋" w:hAnsi="仿宋" w:eastAsia="仿宋" w:cs="宋体"/>
          <w:sz w:val="28"/>
          <w:szCs w:val="28"/>
        </w:rPr>
        <w:t>手机：                       传真：</w:t>
      </w:r>
    </w:p>
    <w:p w14:paraId="1CEFCF3B">
      <w:pPr>
        <w:spacing w:line="480" w:lineRule="exact"/>
        <w:rPr>
          <w:rFonts w:hint="eastAsia" w:ascii="仿宋" w:hAnsi="仿宋" w:eastAsia="仿宋" w:cs="宋体"/>
          <w:sz w:val="28"/>
          <w:szCs w:val="28"/>
        </w:rPr>
      </w:pPr>
    </w:p>
    <w:p w14:paraId="36EDDB82">
      <w:pPr>
        <w:spacing w:line="480" w:lineRule="exact"/>
        <w:jc w:val="right"/>
        <w:rPr>
          <w:rFonts w:hint="eastAsia" w:ascii="仿宋" w:hAnsi="仿宋" w:eastAsia="仿宋" w:cs="宋体"/>
          <w:sz w:val="28"/>
          <w:szCs w:val="28"/>
        </w:rPr>
      </w:pPr>
      <w:r>
        <w:rPr>
          <w:rFonts w:hint="eastAsia" w:ascii="仿宋" w:hAnsi="仿宋" w:eastAsia="仿宋" w:cs="宋体"/>
          <w:sz w:val="28"/>
          <w:szCs w:val="28"/>
        </w:rPr>
        <w:t>单位名称（公章）             法定代表人（签字或盖章）</w:t>
      </w:r>
    </w:p>
    <w:p w14:paraId="5E0AD23B">
      <w:pPr>
        <w:spacing w:line="480" w:lineRule="exact"/>
        <w:jc w:val="right"/>
        <w:rPr>
          <w:rFonts w:hint="eastAsia" w:ascii="仿宋" w:hAnsi="仿宋" w:eastAsia="仿宋" w:cs="宋体"/>
          <w:sz w:val="28"/>
          <w:szCs w:val="28"/>
        </w:rPr>
      </w:pPr>
    </w:p>
    <w:p w14:paraId="603010A0">
      <w:pPr>
        <w:spacing w:line="480" w:lineRule="exact"/>
        <w:ind w:firstLine="1400" w:firstLineChars="500"/>
        <w:jc w:val="right"/>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14:paraId="2EFAB93F">
      <w:pPr>
        <w:spacing w:line="480" w:lineRule="exact"/>
        <w:rPr>
          <w:rFonts w:hint="eastAsia" w:ascii="仿宋" w:hAnsi="仿宋" w:eastAsia="仿宋" w:cs="宋体"/>
          <w:sz w:val="28"/>
          <w:szCs w:val="28"/>
        </w:rPr>
      </w:pPr>
    </w:p>
    <w:p w14:paraId="63A167AC">
      <w:pPr>
        <w:spacing w:line="480" w:lineRule="exact"/>
        <w:rPr>
          <w:rFonts w:hint="eastAsia" w:ascii="仿宋" w:hAnsi="仿宋" w:eastAsia="仿宋" w:cs="宋体"/>
          <w:sz w:val="28"/>
          <w:szCs w:val="28"/>
        </w:rPr>
      </w:pPr>
    </w:p>
    <w:p w14:paraId="42131DC2">
      <w:pPr>
        <w:spacing w:line="480" w:lineRule="exact"/>
        <w:rPr>
          <w:rFonts w:hint="eastAsia" w:ascii="仿宋" w:hAnsi="仿宋" w:eastAsia="仿宋" w:cs="宋体"/>
          <w:sz w:val="28"/>
          <w:szCs w:val="28"/>
        </w:rPr>
      </w:pPr>
      <w:r>
        <w:rPr>
          <w:rFonts w:hint="eastAsia" w:ascii="仿宋" w:hAnsi="仿宋" w:eastAsia="仿宋" w:cs="宋体"/>
          <w:sz w:val="28"/>
          <w:szCs w:val="28"/>
        </w:rPr>
        <w:t>法定代表人和被授权人身份证复印件</w:t>
      </w:r>
    </w:p>
    <w:p w14:paraId="72696102">
      <w:pPr>
        <w:spacing w:line="480" w:lineRule="exact"/>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14:paraId="4FBB7925">
      <w:pPr>
        <w:spacing w:line="480" w:lineRule="exact"/>
        <w:rPr>
          <w:rFonts w:hint="eastAsia" w:ascii="仿宋" w:hAnsi="仿宋" w:eastAsia="仿宋" w:cs="宋体"/>
          <w:sz w:val="28"/>
          <w:szCs w:val="28"/>
        </w:rPr>
      </w:pPr>
    </w:p>
    <w:p w14:paraId="66235E2D">
      <w:pPr>
        <w:spacing w:line="480" w:lineRule="exact"/>
        <w:ind w:firstLine="562" w:firstLineChars="200"/>
        <w:rPr>
          <w:rFonts w:hint="eastAsia" w:ascii="仿宋" w:hAnsi="仿宋" w:eastAsia="仿宋" w:cs="宋体"/>
          <w:b/>
          <w:bCs/>
          <w:sz w:val="28"/>
          <w:szCs w:val="28"/>
        </w:rPr>
      </w:pPr>
    </w:p>
    <w:p w14:paraId="75E0C71A">
      <w:pPr>
        <w:widowControl/>
        <w:tabs>
          <w:tab w:val="left" w:pos="0"/>
          <w:tab w:val="left" w:pos="993"/>
          <w:tab w:val="left" w:pos="1134"/>
        </w:tabs>
        <w:spacing w:line="480" w:lineRule="exact"/>
        <w:jc w:val="center"/>
        <w:rPr>
          <w:rFonts w:hint="eastAsia" w:ascii="仿宋" w:hAnsi="仿宋" w:eastAsia="仿宋"/>
          <w:b/>
          <w:sz w:val="28"/>
          <w:szCs w:val="28"/>
        </w:rPr>
      </w:pPr>
      <w:r>
        <w:rPr>
          <w:rFonts w:hint="eastAsia" w:ascii="仿宋" w:hAnsi="仿宋" w:eastAsia="仿宋" w:cs="宋体"/>
          <w:b/>
          <w:sz w:val="28"/>
          <w:szCs w:val="28"/>
        </w:rPr>
        <w:br w:type="page"/>
      </w:r>
    </w:p>
    <w:p w14:paraId="4B4319B8">
      <w:pPr>
        <w:spacing w:line="480" w:lineRule="exact"/>
        <w:rPr>
          <w:rFonts w:hint="eastAsia" w:ascii="仿宋" w:hAnsi="仿宋" w:eastAsia="仿宋"/>
          <w:sz w:val="28"/>
          <w:szCs w:val="28"/>
        </w:rPr>
      </w:pPr>
      <w:r>
        <w:rPr>
          <w:rFonts w:hint="eastAsia" w:ascii="仿宋" w:hAnsi="仿宋" w:eastAsia="仿宋"/>
          <w:sz w:val="28"/>
          <w:szCs w:val="28"/>
        </w:rPr>
        <w:t xml:space="preserve">附件3                </w:t>
      </w:r>
    </w:p>
    <w:p w14:paraId="683E899F">
      <w:pPr>
        <w:spacing w:line="480" w:lineRule="exact"/>
        <w:ind w:firstLine="4186" w:firstLineChars="1390"/>
        <w:rPr>
          <w:rFonts w:hint="eastAsia" w:ascii="仿宋" w:hAnsi="仿宋" w:eastAsia="仿宋" w:cs="宋体"/>
          <w:b/>
          <w:sz w:val="30"/>
          <w:szCs w:val="30"/>
        </w:rPr>
      </w:pPr>
      <w:r>
        <w:rPr>
          <w:rFonts w:hint="eastAsia" w:ascii="仿宋" w:hAnsi="仿宋" w:eastAsia="仿宋" w:cs="宋体"/>
          <w:b/>
          <w:sz w:val="30"/>
          <w:szCs w:val="30"/>
        </w:rPr>
        <w:t>投标声明函</w:t>
      </w:r>
    </w:p>
    <w:p w14:paraId="42329A8A">
      <w:pPr>
        <w:spacing w:line="440" w:lineRule="exact"/>
        <w:rPr>
          <w:rFonts w:hint="eastAsia" w:ascii="仿宋" w:hAnsi="仿宋" w:eastAsia="仿宋" w:cs="宋体"/>
          <w:sz w:val="28"/>
          <w:szCs w:val="28"/>
          <w:u w:val="single"/>
        </w:rPr>
      </w:pPr>
      <w:bookmarkStart w:id="26" w:name="OLE_LINK8"/>
      <w:r>
        <w:rPr>
          <w:rFonts w:hint="eastAsia" w:ascii="仿宋" w:hAnsi="仿宋" w:eastAsia="仿宋" w:cs="宋体"/>
          <w:sz w:val="28"/>
          <w:szCs w:val="28"/>
          <w:u w:val="single"/>
        </w:rPr>
        <w:t>（采购单位名称）</w:t>
      </w:r>
    </w:p>
    <w:bookmarkEnd w:id="26"/>
    <w:p w14:paraId="2A5F6AB0">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根据贵方</w:t>
      </w:r>
      <w:r>
        <w:rPr>
          <w:rFonts w:hint="eastAsia" w:ascii="仿宋" w:hAnsi="仿宋" w:eastAsia="仿宋" w:cs="宋体"/>
          <w:kern w:val="0"/>
          <w:sz w:val="28"/>
          <w:szCs w:val="28"/>
          <w:u w:val="single"/>
        </w:rPr>
        <w:t>（项目名称）</w:t>
      </w:r>
      <w:r>
        <w:rPr>
          <w:rFonts w:hint="eastAsia" w:ascii="仿宋" w:hAnsi="仿宋" w:eastAsia="仿宋" w:cs="宋体"/>
          <w:kern w:val="0"/>
          <w:sz w:val="28"/>
          <w:szCs w:val="28"/>
        </w:rPr>
        <w:t>磋商邀请，正式授权下述签字人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（姓名和职务）代表供应商</w:t>
      </w:r>
      <w:r>
        <w:rPr>
          <w:rFonts w:hint="eastAsia" w:ascii="仿宋" w:hAnsi="仿宋" w:eastAsia="仿宋" w:cs="宋体"/>
          <w:kern w:val="0"/>
          <w:sz w:val="28"/>
          <w:szCs w:val="28"/>
          <w:u w:val="single"/>
        </w:rPr>
        <w:t>（供应商名称）</w:t>
      </w:r>
      <w:r>
        <w:rPr>
          <w:rFonts w:hint="eastAsia" w:ascii="仿宋" w:hAnsi="仿宋" w:eastAsia="仿宋" w:cs="宋体"/>
          <w:kern w:val="0"/>
          <w:sz w:val="28"/>
          <w:szCs w:val="28"/>
        </w:rPr>
        <w:t>，提交磋商响应文件。</w:t>
      </w:r>
    </w:p>
    <w:p w14:paraId="298CB183">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据此函，</w:t>
      </w:r>
      <w:r>
        <w:rPr>
          <w:rFonts w:hint="eastAsia" w:ascii="仿宋" w:hAnsi="仿宋" w:eastAsia="仿宋" w:cs="宋体"/>
          <w:kern w:val="0"/>
          <w:sz w:val="28"/>
          <w:szCs w:val="28"/>
          <w:u w:val="single"/>
        </w:rPr>
        <w:t>签字人</w:t>
      </w:r>
      <w:r>
        <w:rPr>
          <w:rFonts w:hint="eastAsia" w:ascii="仿宋" w:hAnsi="仿宋" w:eastAsia="仿宋" w:cs="宋体"/>
          <w:kern w:val="0"/>
          <w:sz w:val="28"/>
          <w:szCs w:val="28"/>
        </w:rPr>
        <w:t>兹宣布声明和承诺如下</w:t>
      </w:r>
    </w:p>
    <w:p w14:paraId="1582C4AF">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1、我们的资格条件完全符合政府采购法和本次磋商文件要求，我们同意并向贵方提供了与投标有关的所有证据和资料。</w:t>
      </w:r>
    </w:p>
    <w:p w14:paraId="54C03C19">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2、我们已详细审核全部磋商文件及其有效补充文件，我们放弃对磋商文件任何误解的权利，提交响应文件后，不对磋商文件本身提出质疑。</w:t>
      </w:r>
    </w:p>
    <w:p w14:paraId="6DCE72B5">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3、我们同意从规定的开标日期起遵循本响应文件，并在规定的投标有效期期满之前均具有约束力。</w:t>
      </w:r>
    </w:p>
    <w:p w14:paraId="24136B9D">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18142235">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5、一旦我方中标，我方将根据磋商文件的规定严格履行合同。</w:t>
      </w:r>
    </w:p>
    <w:p w14:paraId="5770F942">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2417470C">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7、与本投标有关的正式联系方式为：</w:t>
      </w:r>
    </w:p>
    <w:p w14:paraId="2C0D6AAE">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地   址：                            </w:t>
      </w:r>
    </w:p>
    <w:p w14:paraId="19C26E74">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电   话：                           </w:t>
      </w:r>
    </w:p>
    <w:p w14:paraId="5314186E">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传   真：                            </w:t>
      </w:r>
    </w:p>
    <w:p w14:paraId="44FA07F5">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开户银行：</w:t>
      </w:r>
    </w:p>
    <w:p w14:paraId="47100D3B">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银行账号：</w:t>
      </w:r>
    </w:p>
    <w:p w14:paraId="4DD8785C">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供应商授权代表姓名（签字）：          </w:t>
      </w:r>
    </w:p>
    <w:p w14:paraId="048E38CB">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供应商名称：                 （盖章）</w:t>
      </w:r>
    </w:p>
    <w:p w14:paraId="5F256F47">
      <w:pPr>
        <w:widowControl/>
        <w:spacing w:line="4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日    期：       年    月    日</w:t>
      </w:r>
    </w:p>
    <w:p w14:paraId="3A2AE517">
      <w:pPr>
        <w:widowControl/>
        <w:spacing w:line="48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附件4</w:t>
      </w:r>
    </w:p>
    <w:p w14:paraId="1AA36538">
      <w:pPr>
        <w:snapToGrid w:val="0"/>
        <w:spacing w:line="480" w:lineRule="exact"/>
        <w:contextualSpacing/>
        <w:jc w:val="center"/>
        <w:rPr>
          <w:rFonts w:hint="eastAsia" w:ascii="仿宋" w:hAnsi="仿宋" w:eastAsia="仿宋" w:cs="宋体"/>
          <w:b/>
          <w:sz w:val="30"/>
          <w:szCs w:val="30"/>
        </w:rPr>
      </w:pPr>
      <w:r>
        <w:rPr>
          <w:rFonts w:hint="eastAsia" w:ascii="仿宋" w:hAnsi="仿宋" w:eastAsia="仿宋" w:cs="宋体"/>
          <w:b/>
          <w:sz w:val="30"/>
          <w:szCs w:val="30"/>
        </w:rPr>
        <w:t>技术部分正负偏离表</w:t>
      </w:r>
    </w:p>
    <w:p w14:paraId="096EE239">
      <w:pPr>
        <w:spacing w:line="480" w:lineRule="exact"/>
        <w:ind w:firstLine="560" w:firstLineChars="200"/>
        <w:jc w:val="center"/>
        <w:rPr>
          <w:rFonts w:hint="eastAsia" w:ascii="仿宋" w:hAnsi="仿宋" w:eastAsia="仿宋"/>
          <w:sz w:val="28"/>
          <w:szCs w:val="28"/>
        </w:rPr>
      </w:pPr>
      <w:r>
        <w:rPr>
          <w:rFonts w:hint="eastAsia" w:ascii="仿宋" w:hAnsi="仿宋" w:eastAsia="仿宋"/>
          <w:sz w:val="28"/>
          <w:szCs w:val="28"/>
        </w:rPr>
        <w:t>（由投标人据实填写，表格不够自行添加）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2258"/>
        <w:gridCol w:w="1972"/>
        <w:gridCol w:w="2544"/>
        <w:gridCol w:w="1401"/>
      </w:tblGrid>
      <w:tr w14:paraId="440DC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DE9661E">
            <w:pPr>
              <w:spacing w:line="480" w:lineRule="exact"/>
              <w:jc w:val="center"/>
              <w:rPr>
                <w:rFonts w:hint="eastAsia" w:ascii="仿宋" w:hAnsi="仿宋" w:eastAsia="仿宋"/>
                <w:sz w:val="28"/>
                <w:szCs w:val="28"/>
              </w:rPr>
            </w:pPr>
            <w:r>
              <w:rPr>
                <w:rFonts w:hint="eastAsia" w:ascii="仿宋" w:hAnsi="仿宋" w:eastAsia="仿宋"/>
                <w:sz w:val="28"/>
                <w:szCs w:val="28"/>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DFF7CB0">
            <w:pPr>
              <w:spacing w:line="480" w:lineRule="exact"/>
              <w:jc w:val="center"/>
              <w:rPr>
                <w:rFonts w:hint="eastAsia" w:ascii="仿宋" w:hAnsi="仿宋" w:eastAsia="仿宋"/>
                <w:sz w:val="28"/>
                <w:szCs w:val="28"/>
              </w:rPr>
            </w:pPr>
            <w:r>
              <w:rPr>
                <w:rFonts w:hint="eastAsia" w:ascii="仿宋" w:hAnsi="仿宋" w:eastAsia="仿宋"/>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D5F6C70">
            <w:pPr>
              <w:spacing w:line="480" w:lineRule="exact"/>
              <w:jc w:val="center"/>
              <w:rPr>
                <w:rFonts w:hint="eastAsia" w:ascii="仿宋" w:hAnsi="仿宋" w:eastAsia="仿宋"/>
                <w:sz w:val="28"/>
                <w:szCs w:val="28"/>
              </w:rPr>
            </w:pPr>
            <w:r>
              <w:rPr>
                <w:rFonts w:hint="eastAsia" w:ascii="仿宋" w:hAnsi="仿宋" w:eastAsia="仿宋"/>
                <w:sz w:val="28"/>
                <w:szCs w:val="28"/>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0CFF24E">
            <w:pPr>
              <w:spacing w:line="480" w:lineRule="exact"/>
              <w:jc w:val="center"/>
              <w:rPr>
                <w:rFonts w:hint="eastAsia" w:ascii="仿宋" w:hAnsi="仿宋" w:eastAsia="仿宋"/>
                <w:sz w:val="28"/>
                <w:szCs w:val="28"/>
              </w:rPr>
            </w:pPr>
            <w:r>
              <w:rPr>
                <w:rFonts w:hint="eastAsia" w:ascii="仿宋" w:hAnsi="仿宋" w:eastAsia="仿宋"/>
                <w:sz w:val="28"/>
                <w:szCs w:val="28"/>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248F9093">
            <w:pPr>
              <w:spacing w:line="480" w:lineRule="exact"/>
              <w:jc w:val="center"/>
              <w:rPr>
                <w:rFonts w:hint="eastAsia" w:ascii="仿宋" w:hAnsi="仿宋" w:eastAsia="仿宋"/>
                <w:sz w:val="28"/>
                <w:szCs w:val="28"/>
              </w:rPr>
            </w:pPr>
          </w:p>
          <w:p w14:paraId="32AA2302">
            <w:pPr>
              <w:spacing w:line="480" w:lineRule="exact"/>
              <w:jc w:val="center"/>
              <w:rPr>
                <w:rFonts w:hint="eastAsia" w:ascii="仿宋" w:hAnsi="仿宋" w:eastAsia="仿宋"/>
                <w:sz w:val="28"/>
                <w:szCs w:val="28"/>
              </w:rPr>
            </w:pPr>
            <w:r>
              <w:rPr>
                <w:rFonts w:hint="eastAsia" w:ascii="仿宋" w:hAnsi="仿宋" w:eastAsia="仿宋"/>
                <w:sz w:val="28"/>
                <w:szCs w:val="28"/>
              </w:rPr>
              <w:t>偏离说明</w:t>
            </w:r>
          </w:p>
        </w:tc>
      </w:tr>
      <w:tr w14:paraId="5E760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ECF6553">
            <w:pPr>
              <w:spacing w:line="480" w:lineRule="exact"/>
              <w:jc w:val="center"/>
              <w:rPr>
                <w:rFonts w:hint="eastAsia" w:ascii="仿宋" w:hAnsi="仿宋" w:eastAsia="仿宋"/>
                <w:sz w:val="28"/>
                <w:szCs w:val="28"/>
              </w:rPr>
            </w:pPr>
            <w:r>
              <w:rPr>
                <w:rFonts w:hint="eastAsia" w:ascii="仿宋" w:hAnsi="仿宋" w:eastAsia="仿宋"/>
                <w:sz w:val="28"/>
                <w:szCs w:val="28"/>
              </w:rPr>
              <w:t>1</w:t>
            </w:r>
          </w:p>
        </w:tc>
        <w:tc>
          <w:tcPr>
            <w:tcW w:w="1254" w:type="pct"/>
            <w:tcBorders>
              <w:top w:val="single" w:color="auto" w:sz="6" w:space="0"/>
              <w:left w:val="single" w:color="auto" w:sz="6" w:space="0"/>
              <w:bottom w:val="single" w:color="auto" w:sz="6" w:space="0"/>
              <w:right w:val="single" w:color="auto" w:sz="6" w:space="0"/>
            </w:tcBorders>
            <w:vAlign w:val="center"/>
          </w:tcPr>
          <w:p w14:paraId="556F1B49">
            <w:pPr>
              <w:spacing w:line="480" w:lineRule="exact"/>
              <w:jc w:val="left"/>
              <w:rPr>
                <w:rFonts w:hint="eastAsia" w:ascii="仿宋" w:hAnsi="仿宋" w:eastAsia="仿宋"/>
                <w:sz w:val="28"/>
                <w:szCs w:val="28"/>
              </w:rPr>
            </w:pPr>
          </w:p>
        </w:tc>
        <w:tc>
          <w:tcPr>
            <w:tcW w:w="1095" w:type="pct"/>
            <w:tcBorders>
              <w:top w:val="single" w:color="auto" w:sz="6" w:space="0"/>
              <w:left w:val="single" w:color="auto" w:sz="6" w:space="0"/>
              <w:bottom w:val="single" w:color="auto" w:sz="6" w:space="0"/>
              <w:right w:val="single" w:color="auto" w:sz="6" w:space="0"/>
            </w:tcBorders>
            <w:vAlign w:val="center"/>
          </w:tcPr>
          <w:p w14:paraId="22769C35">
            <w:pPr>
              <w:spacing w:line="480" w:lineRule="exact"/>
              <w:jc w:val="left"/>
              <w:rPr>
                <w:rFonts w:hint="eastAsia" w:ascii="仿宋" w:hAnsi="仿宋" w:eastAsia="仿宋"/>
                <w:sz w:val="28"/>
                <w:szCs w:val="28"/>
              </w:rPr>
            </w:pPr>
          </w:p>
        </w:tc>
        <w:tc>
          <w:tcPr>
            <w:tcW w:w="1413" w:type="pct"/>
            <w:tcBorders>
              <w:top w:val="single" w:color="auto" w:sz="6" w:space="0"/>
              <w:left w:val="single" w:color="auto" w:sz="6" w:space="0"/>
              <w:bottom w:val="single" w:color="auto" w:sz="6" w:space="0"/>
              <w:right w:val="single" w:color="auto" w:sz="6" w:space="0"/>
            </w:tcBorders>
            <w:vAlign w:val="center"/>
          </w:tcPr>
          <w:p w14:paraId="3B536B2E">
            <w:pPr>
              <w:spacing w:line="480" w:lineRule="exact"/>
              <w:jc w:val="left"/>
              <w:rPr>
                <w:rFonts w:hint="eastAsia" w:ascii="仿宋" w:hAnsi="仿宋" w:eastAsia="仿宋"/>
                <w:sz w:val="28"/>
                <w:szCs w:val="28"/>
              </w:rPr>
            </w:pPr>
          </w:p>
        </w:tc>
        <w:tc>
          <w:tcPr>
            <w:tcW w:w="778" w:type="pct"/>
            <w:tcBorders>
              <w:top w:val="single" w:color="auto" w:sz="6" w:space="0"/>
              <w:left w:val="single" w:color="auto" w:sz="6" w:space="0"/>
              <w:bottom w:val="single" w:color="auto" w:sz="6" w:space="0"/>
              <w:right w:val="single" w:color="auto" w:sz="12" w:space="0"/>
            </w:tcBorders>
          </w:tcPr>
          <w:p w14:paraId="0A4399F5">
            <w:pPr>
              <w:spacing w:line="480" w:lineRule="exact"/>
              <w:jc w:val="left"/>
              <w:rPr>
                <w:rFonts w:hint="eastAsia" w:ascii="仿宋" w:hAnsi="仿宋" w:eastAsia="仿宋"/>
                <w:sz w:val="28"/>
                <w:szCs w:val="28"/>
              </w:rPr>
            </w:pPr>
          </w:p>
        </w:tc>
      </w:tr>
      <w:tr w14:paraId="57AA3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03B7ED4">
            <w:pPr>
              <w:spacing w:line="480" w:lineRule="exact"/>
              <w:jc w:val="center"/>
              <w:rPr>
                <w:rFonts w:hint="eastAsia" w:ascii="仿宋" w:hAnsi="仿宋" w:eastAsia="仿宋"/>
                <w:sz w:val="28"/>
                <w:szCs w:val="28"/>
              </w:rPr>
            </w:pPr>
            <w:r>
              <w:rPr>
                <w:rFonts w:hint="eastAsia" w:ascii="仿宋" w:hAnsi="仿宋" w:eastAsia="仿宋"/>
                <w:sz w:val="28"/>
                <w:szCs w:val="28"/>
              </w:rPr>
              <w:t>2</w:t>
            </w:r>
          </w:p>
        </w:tc>
        <w:tc>
          <w:tcPr>
            <w:tcW w:w="1254" w:type="pct"/>
            <w:tcBorders>
              <w:top w:val="single" w:color="auto" w:sz="6" w:space="0"/>
              <w:left w:val="single" w:color="auto" w:sz="6" w:space="0"/>
              <w:bottom w:val="single" w:color="auto" w:sz="6" w:space="0"/>
              <w:right w:val="single" w:color="auto" w:sz="6" w:space="0"/>
            </w:tcBorders>
            <w:vAlign w:val="center"/>
          </w:tcPr>
          <w:p w14:paraId="357D6D9F">
            <w:pPr>
              <w:spacing w:line="480" w:lineRule="exact"/>
              <w:jc w:val="left"/>
              <w:rPr>
                <w:rFonts w:hint="eastAsia" w:ascii="仿宋" w:hAnsi="仿宋" w:eastAsia="仿宋"/>
                <w:sz w:val="28"/>
                <w:szCs w:val="28"/>
              </w:rPr>
            </w:pPr>
          </w:p>
        </w:tc>
        <w:tc>
          <w:tcPr>
            <w:tcW w:w="1095" w:type="pct"/>
            <w:tcBorders>
              <w:top w:val="single" w:color="auto" w:sz="6" w:space="0"/>
              <w:left w:val="single" w:color="auto" w:sz="6" w:space="0"/>
              <w:bottom w:val="single" w:color="auto" w:sz="6" w:space="0"/>
              <w:right w:val="single" w:color="auto" w:sz="6" w:space="0"/>
            </w:tcBorders>
            <w:vAlign w:val="center"/>
          </w:tcPr>
          <w:p w14:paraId="27E3481A">
            <w:pPr>
              <w:spacing w:line="480" w:lineRule="exact"/>
              <w:jc w:val="left"/>
              <w:rPr>
                <w:rFonts w:hint="eastAsia" w:ascii="仿宋" w:hAnsi="仿宋" w:eastAsia="仿宋"/>
                <w:sz w:val="28"/>
                <w:szCs w:val="28"/>
              </w:rPr>
            </w:pPr>
          </w:p>
        </w:tc>
        <w:tc>
          <w:tcPr>
            <w:tcW w:w="1413" w:type="pct"/>
            <w:tcBorders>
              <w:top w:val="single" w:color="auto" w:sz="6" w:space="0"/>
              <w:left w:val="single" w:color="auto" w:sz="6" w:space="0"/>
              <w:bottom w:val="single" w:color="auto" w:sz="6" w:space="0"/>
              <w:right w:val="single" w:color="auto" w:sz="6" w:space="0"/>
            </w:tcBorders>
            <w:vAlign w:val="center"/>
          </w:tcPr>
          <w:p w14:paraId="5551D108">
            <w:pPr>
              <w:spacing w:line="480" w:lineRule="exact"/>
              <w:jc w:val="left"/>
              <w:rPr>
                <w:rFonts w:hint="eastAsia" w:ascii="仿宋" w:hAnsi="仿宋" w:eastAsia="仿宋"/>
                <w:sz w:val="28"/>
                <w:szCs w:val="28"/>
              </w:rPr>
            </w:pPr>
          </w:p>
        </w:tc>
        <w:tc>
          <w:tcPr>
            <w:tcW w:w="778" w:type="pct"/>
            <w:tcBorders>
              <w:top w:val="single" w:color="auto" w:sz="6" w:space="0"/>
              <w:left w:val="single" w:color="auto" w:sz="6" w:space="0"/>
              <w:bottom w:val="single" w:color="auto" w:sz="6" w:space="0"/>
              <w:right w:val="single" w:color="auto" w:sz="12" w:space="0"/>
            </w:tcBorders>
          </w:tcPr>
          <w:p w14:paraId="3ECCF39A">
            <w:pPr>
              <w:spacing w:line="480" w:lineRule="exact"/>
              <w:jc w:val="left"/>
              <w:rPr>
                <w:rFonts w:hint="eastAsia" w:ascii="仿宋" w:hAnsi="仿宋" w:eastAsia="仿宋"/>
                <w:sz w:val="28"/>
                <w:szCs w:val="28"/>
              </w:rPr>
            </w:pPr>
          </w:p>
        </w:tc>
      </w:tr>
      <w:tr w14:paraId="1B93A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19BBCE">
            <w:pPr>
              <w:spacing w:line="480" w:lineRule="exact"/>
              <w:jc w:val="center"/>
              <w:rPr>
                <w:rFonts w:hint="eastAsia" w:ascii="仿宋" w:hAnsi="仿宋" w:eastAsia="仿宋"/>
                <w:sz w:val="28"/>
                <w:szCs w:val="28"/>
              </w:rPr>
            </w:pPr>
            <w:r>
              <w:rPr>
                <w:rFonts w:hint="eastAsia" w:ascii="仿宋" w:hAnsi="仿宋" w:eastAsia="仿宋"/>
                <w:sz w:val="28"/>
                <w:szCs w:val="28"/>
              </w:rPr>
              <w:t>3</w:t>
            </w:r>
          </w:p>
        </w:tc>
        <w:tc>
          <w:tcPr>
            <w:tcW w:w="1254" w:type="pct"/>
            <w:tcBorders>
              <w:top w:val="single" w:color="auto" w:sz="6" w:space="0"/>
              <w:left w:val="single" w:color="auto" w:sz="6" w:space="0"/>
              <w:bottom w:val="single" w:color="auto" w:sz="6" w:space="0"/>
              <w:right w:val="single" w:color="auto" w:sz="6" w:space="0"/>
            </w:tcBorders>
            <w:vAlign w:val="center"/>
          </w:tcPr>
          <w:p w14:paraId="7146A3B3">
            <w:pPr>
              <w:spacing w:line="480" w:lineRule="exact"/>
              <w:jc w:val="left"/>
              <w:rPr>
                <w:rFonts w:hint="eastAsia" w:ascii="仿宋" w:hAnsi="仿宋" w:eastAsia="仿宋"/>
                <w:sz w:val="28"/>
                <w:szCs w:val="28"/>
              </w:rPr>
            </w:pPr>
          </w:p>
        </w:tc>
        <w:tc>
          <w:tcPr>
            <w:tcW w:w="1095" w:type="pct"/>
            <w:tcBorders>
              <w:top w:val="single" w:color="auto" w:sz="6" w:space="0"/>
              <w:left w:val="single" w:color="auto" w:sz="6" w:space="0"/>
              <w:bottom w:val="single" w:color="auto" w:sz="6" w:space="0"/>
              <w:right w:val="single" w:color="auto" w:sz="6" w:space="0"/>
            </w:tcBorders>
            <w:vAlign w:val="center"/>
          </w:tcPr>
          <w:p w14:paraId="3E031060">
            <w:pPr>
              <w:spacing w:line="480" w:lineRule="exact"/>
              <w:jc w:val="left"/>
              <w:rPr>
                <w:rFonts w:hint="eastAsia" w:ascii="仿宋" w:hAnsi="仿宋" w:eastAsia="仿宋"/>
                <w:sz w:val="28"/>
                <w:szCs w:val="28"/>
              </w:rPr>
            </w:pPr>
          </w:p>
        </w:tc>
        <w:tc>
          <w:tcPr>
            <w:tcW w:w="1413" w:type="pct"/>
            <w:tcBorders>
              <w:top w:val="single" w:color="auto" w:sz="6" w:space="0"/>
              <w:left w:val="single" w:color="auto" w:sz="6" w:space="0"/>
              <w:bottom w:val="single" w:color="auto" w:sz="6" w:space="0"/>
              <w:right w:val="single" w:color="auto" w:sz="6" w:space="0"/>
            </w:tcBorders>
            <w:vAlign w:val="center"/>
          </w:tcPr>
          <w:p w14:paraId="16980094">
            <w:pPr>
              <w:spacing w:line="480" w:lineRule="exact"/>
              <w:jc w:val="left"/>
              <w:rPr>
                <w:rFonts w:hint="eastAsia" w:ascii="仿宋" w:hAnsi="仿宋" w:eastAsia="仿宋"/>
                <w:sz w:val="28"/>
                <w:szCs w:val="28"/>
              </w:rPr>
            </w:pPr>
          </w:p>
        </w:tc>
        <w:tc>
          <w:tcPr>
            <w:tcW w:w="778" w:type="pct"/>
            <w:tcBorders>
              <w:top w:val="single" w:color="auto" w:sz="6" w:space="0"/>
              <w:left w:val="single" w:color="auto" w:sz="6" w:space="0"/>
              <w:bottom w:val="single" w:color="auto" w:sz="6" w:space="0"/>
              <w:right w:val="single" w:color="auto" w:sz="12" w:space="0"/>
            </w:tcBorders>
          </w:tcPr>
          <w:p w14:paraId="605AEF1A">
            <w:pPr>
              <w:spacing w:line="480" w:lineRule="exact"/>
              <w:jc w:val="left"/>
              <w:rPr>
                <w:rFonts w:hint="eastAsia" w:ascii="仿宋" w:hAnsi="仿宋" w:eastAsia="仿宋"/>
                <w:sz w:val="28"/>
                <w:szCs w:val="28"/>
              </w:rPr>
            </w:pPr>
          </w:p>
        </w:tc>
      </w:tr>
      <w:tr w14:paraId="183AC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99EB254">
            <w:pPr>
              <w:spacing w:line="480" w:lineRule="exact"/>
              <w:jc w:val="center"/>
              <w:rPr>
                <w:rFonts w:hint="eastAsia" w:ascii="仿宋" w:hAnsi="仿宋" w:eastAsia="仿宋"/>
                <w:sz w:val="28"/>
                <w:szCs w:val="28"/>
              </w:rPr>
            </w:pPr>
            <w:r>
              <w:rPr>
                <w:rFonts w:hint="eastAsia" w:ascii="仿宋" w:hAnsi="仿宋" w:eastAsia="仿宋"/>
                <w:sz w:val="28"/>
                <w:szCs w:val="28"/>
              </w:rPr>
              <w:t>4</w:t>
            </w:r>
          </w:p>
        </w:tc>
        <w:tc>
          <w:tcPr>
            <w:tcW w:w="1254" w:type="pct"/>
            <w:tcBorders>
              <w:top w:val="single" w:color="auto" w:sz="6" w:space="0"/>
              <w:left w:val="single" w:color="auto" w:sz="6" w:space="0"/>
              <w:bottom w:val="single" w:color="auto" w:sz="6" w:space="0"/>
              <w:right w:val="single" w:color="auto" w:sz="6" w:space="0"/>
            </w:tcBorders>
            <w:vAlign w:val="center"/>
          </w:tcPr>
          <w:p w14:paraId="282C0753">
            <w:pPr>
              <w:spacing w:line="480" w:lineRule="exact"/>
              <w:jc w:val="left"/>
              <w:rPr>
                <w:rFonts w:hint="eastAsia" w:ascii="仿宋" w:hAnsi="仿宋" w:eastAsia="仿宋"/>
                <w:sz w:val="28"/>
                <w:szCs w:val="28"/>
              </w:rPr>
            </w:pPr>
          </w:p>
        </w:tc>
        <w:tc>
          <w:tcPr>
            <w:tcW w:w="1095" w:type="pct"/>
            <w:tcBorders>
              <w:top w:val="single" w:color="auto" w:sz="6" w:space="0"/>
              <w:left w:val="single" w:color="auto" w:sz="6" w:space="0"/>
              <w:bottom w:val="single" w:color="auto" w:sz="6" w:space="0"/>
              <w:right w:val="single" w:color="auto" w:sz="6" w:space="0"/>
            </w:tcBorders>
            <w:vAlign w:val="center"/>
          </w:tcPr>
          <w:p w14:paraId="3C21C794">
            <w:pPr>
              <w:spacing w:line="480" w:lineRule="exact"/>
              <w:jc w:val="left"/>
              <w:rPr>
                <w:rFonts w:hint="eastAsia" w:ascii="仿宋" w:hAnsi="仿宋" w:eastAsia="仿宋"/>
                <w:sz w:val="28"/>
                <w:szCs w:val="28"/>
              </w:rPr>
            </w:pPr>
          </w:p>
        </w:tc>
        <w:tc>
          <w:tcPr>
            <w:tcW w:w="1413" w:type="pct"/>
            <w:tcBorders>
              <w:top w:val="single" w:color="auto" w:sz="6" w:space="0"/>
              <w:left w:val="single" w:color="auto" w:sz="6" w:space="0"/>
              <w:bottom w:val="single" w:color="auto" w:sz="6" w:space="0"/>
              <w:right w:val="single" w:color="auto" w:sz="6" w:space="0"/>
            </w:tcBorders>
            <w:vAlign w:val="center"/>
          </w:tcPr>
          <w:p w14:paraId="76F25D17">
            <w:pPr>
              <w:spacing w:line="480" w:lineRule="exact"/>
              <w:jc w:val="left"/>
              <w:rPr>
                <w:rFonts w:hint="eastAsia" w:ascii="仿宋" w:hAnsi="仿宋" w:eastAsia="仿宋"/>
                <w:sz w:val="28"/>
                <w:szCs w:val="28"/>
              </w:rPr>
            </w:pPr>
          </w:p>
        </w:tc>
        <w:tc>
          <w:tcPr>
            <w:tcW w:w="778" w:type="pct"/>
            <w:tcBorders>
              <w:top w:val="single" w:color="auto" w:sz="6" w:space="0"/>
              <w:left w:val="single" w:color="auto" w:sz="6" w:space="0"/>
              <w:bottom w:val="single" w:color="auto" w:sz="6" w:space="0"/>
              <w:right w:val="single" w:color="auto" w:sz="12" w:space="0"/>
            </w:tcBorders>
          </w:tcPr>
          <w:p w14:paraId="4AEA43E0">
            <w:pPr>
              <w:spacing w:line="480" w:lineRule="exact"/>
              <w:jc w:val="left"/>
              <w:rPr>
                <w:rFonts w:hint="eastAsia" w:ascii="仿宋" w:hAnsi="仿宋" w:eastAsia="仿宋"/>
                <w:sz w:val="28"/>
                <w:szCs w:val="28"/>
              </w:rPr>
            </w:pPr>
          </w:p>
        </w:tc>
      </w:tr>
    </w:tbl>
    <w:p w14:paraId="20F48CC2">
      <w:pPr>
        <w:snapToGrid w:val="0"/>
        <w:spacing w:line="480" w:lineRule="exact"/>
        <w:contextualSpacing/>
        <w:rPr>
          <w:rFonts w:hint="eastAsia" w:ascii="仿宋" w:hAnsi="仿宋" w:eastAsia="仿宋"/>
          <w:b/>
          <w:sz w:val="28"/>
          <w:szCs w:val="28"/>
        </w:rPr>
      </w:pPr>
      <w:r>
        <w:rPr>
          <w:rFonts w:hint="eastAsia" w:ascii="仿宋" w:hAnsi="仿宋" w:eastAsia="仿宋"/>
          <w:b/>
          <w:sz w:val="28"/>
          <w:szCs w:val="28"/>
        </w:rPr>
        <w:t>注：</w:t>
      </w:r>
    </w:p>
    <w:p w14:paraId="60C8B7AE">
      <w:pPr>
        <w:snapToGrid w:val="0"/>
        <w:spacing w:line="480" w:lineRule="exact"/>
        <w:ind w:firstLine="560" w:firstLineChars="200"/>
        <w:contextualSpacing/>
        <w:rPr>
          <w:rFonts w:hint="eastAsia" w:ascii="仿宋" w:hAnsi="仿宋" w:eastAsia="仿宋"/>
          <w:color w:val="000000"/>
          <w:sz w:val="28"/>
          <w:szCs w:val="28"/>
        </w:rPr>
      </w:pPr>
      <w:r>
        <w:rPr>
          <w:rFonts w:hint="eastAsia" w:ascii="仿宋" w:hAnsi="仿宋" w:eastAsia="仿宋"/>
          <w:sz w:val="28"/>
          <w:szCs w:val="28"/>
        </w:rPr>
        <w:t>1.</w:t>
      </w:r>
      <w:r>
        <w:rPr>
          <w:rFonts w:hint="eastAsia" w:ascii="仿宋" w:hAnsi="仿宋" w:eastAsia="仿宋"/>
          <w:color w:val="000000"/>
          <w:sz w:val="28"/>
          <w:szCs w:val="28"/>
        </w:rPr>
        <w:t>投标人提交的投标文件中与招标文件第三部分“项目需求”中的技术部分的要求，应填列在偏离表中。</w:t>
      </w:r>
      <w:r>
        <w:rPr>
          <w:rFonts w:hint="eastAsia" w:ascii="仿宋" w:hAnsi="仿宋" w:eastAsia="仿宋"/>
          <w:b/>
          <w:bCs/>
          <w:sz w:val="24"/>
        </w:rPr>
        <w:t>当本表为空时，视为投标人的投标文件对技术服务条款全部满足，无偏离；</w:t>
      </w:r>
    </w:p>
    <w:p w14:paraId="0F3B79D0">
      <w:pPr>
        <w:snapToGrid w:val="0"/>
        <w:spacing w:line="480" w:lineRule="exact"/>
        <w:ind w:firstLine="560" w:firstLineChars="200"/>
        <w:contextualSpacing/>
        <w:rPr>
          <w:rFonts w:hint="eastAsia" w:ascii="仿宋" w:hAnsi="仿宋" w:eastAsia="仿宋"/>
          <w:sz w:val="28"/>
          <w:szCs w:val="28"/>
        </w:rPr>
      </w:pPr>
      <w:r>
        <w:rPr>
          <w:rFonts w:hint="eastAsia" w:ascii="仿宋" w:hAnsi="仿宋" w:eastAsia="仿宋"/>
          <w:color w:val="000000"/>
          <w:sz w:val="28"/>
          <w:szCs w:val="28"/>
        </w:rPr>
        <w:t>2.</w:t>
      </w:r>
      <w:r>
        <w:rPr>
          <w:rFonts w:hint="eastAsia" w:ascii="仿宋" w:hAnsi="仿宋" w:eastAsia="仿宋"/>
          <w:sz w:val="28"/>
          <w:szCs w:val="28"/>
        </w:rPr>
        <w:t>“偏离说明”一栏选择“正偏离”、“无偏离”、“负偏离”进行填写。正偏离的确认和</w:t>
      </w:r>
      <w:r>
        <w:rPr>
          <w:rFonts w:hint="eastAsia" w:ascii="仿宋" w:hAnsi="仿宋" w:eastAsia="仿宋"/>
          <w:color w:val="000000"/>
          <w:sz w:val="28"/>
          <w:szCs w:val="28"/>
        </w:rPr>
        <w:t>负偏离的是否响应招标文件，由评委认定。</w:t>
      </w:r>
    </w:p>
    <w:p w14:paraId="77BCCDBE">
      <w:pPr>
        <w:snapToGrid w:val="0"/>
        <w:spacing w:line="480" w:lineRule="exact"/>
        <w:ind w:firstLine="560" w:firstLineChars="200"/>
        <w:contextualSpacing/>
        <w:rPr>
          <w:rFonts w:hint="eastAsia" w:ascii="仿宋" w:hAnsi="仿宋" w:eastAsia="仿宋"/>
          <w:bCs/>
          <w:sz w:val="28"/>
          <w:szCs w:val="28"/>
        </w:rPr>
      </w:pPr>
      <w:r>
        <w:rPr>
          <w:rFonts w:hint="eastAsia" w:ascii="仿宋" w:hAnsi="仿宋" w:eastAsia="仿宋"/>
          <w:bCs/>
          <w:sz w:val="28"/>
          <w:szCs w:val="28"/>
        </w:rPr>
        <w:t>3.供应商若提供其他增值服务，可以在表中自行据实填写。</w:t>
      </w:r>
    </w:p>
    <w:p w14:paraId="212DE02C">
      <w:pPr>
        <w:spacing w:line="480" w:lineRule="exact"/>
        <w:rPr>
          <w:rFonts w:hint="eastAsia"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 xml:space="preserve"> </w:t>
      </w:r>
    </w:p>
    <w:p w14:paraId="77FDAC0E">
      <w:pPr>
        <w:widowControl/>
        <w:spacing w:line="480" w:lineRule="exact"/>
        <w:ind w:firstLine="560" w:firstLineChars="200"/>
        <w:jc w:val="left"/>
        <w:rPr>
          <w:rFonts w:hint="eastAsia" w:ascii="仿宋" w:hAnsi="仿宋" w:eastAsia="仿宋" w:cs="宋体"/>
          <w:kern w:val="0"/>
          <w:sz w:val="28"/>
          <w:szCs w:val="28"/>
        </w:rPr>
      </w:pPr>
    </w:p>
    <w:p w14:paraId="59BE9E81">
      <w:pPr>
        <w:widowControl/>
        <w:spacing w:line="480" w:lineRule="exact"/>
        <w:ind w:firstLine="560" w:firstLineChars="200"/>
        <w:jc w:val="left"/>
        <w:rPr>
          <w:rFonts w:hint="eastAsia" w:ascii="仿宋" w:hAnsi="仿宋" w:eastAsia="仿宋" w:cs="宋体"/>
          <w:kern w:val="0"/>
          <w:sz w:val="28"/>
          <w:szCs w:val="28"/>
        </w:rPr>
      </w:pPr>
    </w:p>
    <w:p w14:paraId="00D399CD">
      <w:pPr>
        <w:widowControl/>
        <w:spacing w:line="480" w:lineRule="exact"/>
        <w:ind w:firstLine="560" w:firstLineChars="200"/>
        <w:jc w:val="left"/>
        <w:rPr>
          <w:rFonts w:hint="eastAsia" w:ascii="仿宋" w:hAnsi="仿宋" w:eastAsia="仿宋" w:cs="宋体"/>
          <w:kern w:val="0"/>
          <w:sz w:val="28"/>
          <w:szCs w:val="28"/>
        </w:rPr>
      </w:pPr>
    </w:p>
    <w:p w14:paraId="50C00645">
      <w:pPr>
        <w:widowControl/>
        <w:spacing w:line="480" w:lineRule="exact"/>
        <w:ind w:firstLine="560" w:firstLineChars="200"/>
        <w:jc w:val="left"/>
        <w:rPr>
          <w:rFonts w:hint="eastAsia" w:ascii="仿宋" w:hAnsi="仿宋" w:eastAsia="仿宋" w:cs="宋体"/>
          <w:kern w:val="0"/>
          <w:sz w:val="28"/>
          <w:szCs w:val="28"/>
        </w:rPr>
      </w:pPr>
    </w:p>
    <w:p w14:paraId="71BD52C4">
      <w:pPr>
        <w:widowControl/>
        <w:spacing w:line="480" w:lineRule="exact"/>
        <w:ind w:firstLine="560" w:firstLineChars="200"/>
        <w:jc w:val="left"/>
        <w:rPr>
          <w:rFonts w:hint="eastAsia" w:ascii="仿宋" w:hAnsi="仿宋" w:eastAsia="仿宋" w:cs="宋体"/>
          <w:kern w:val="0"/>
          <w:sz w:val="28"/>
          <w:szCs w:val="28"/>
        </w:rPr>
      </w:pPr>
    </w:p>
    <w:p w14:paraId="071D1C5F">
      <w:pPr>
        <w:widowControl/>
        <w:spacing w:line="480" w:lineRule="exact"/>
        <w:ind w:firstLine="560" w:firstLineChars="200"/>
        <w:jc w:val="left"/>
        <w:rPr>
          <w:rFonts w:hint="eastAsia" w:ascii="仿宋" w:hAnsi="仿宋" w:eastAsia="仿宋" w:cs="宋体"/>
          <w:kern w:val="0"/>
          <w:sz w:val="28"/>
          <w:szCs w:val="28"/>
        </w:rPr>
      </w:pPr>
    </w:p>
    <w:p w14:paraId="02D62309">
      <w:pPr>
        <w:widowControl/>
        <w:spacing w:line="480" w:lineRule="exact"/>
        <w:ind w:firstLine="560" w:firstLineChars="200"/>
        <w:jc w:val="left"/>
        <w:rPr>
          <w:rFonts w:hint="eastAsia" w:ascii="仿宋" w:hAnsi="仿宋" w:eastAsia="仿宋" w:cs="宋体"/>
          <w:kern w:val="0"/>
          <w:sz w:val="28"/>
          <w:szCs w:val="28"/>
        </w:rPr>
      </w:pPr>
    </w:p>
    <w:p w14:paraId="6C0ABE6C">
      <w:pPr>
        <w:widowControl/>
        <w:spacing w:line="480" w:lineRule="exact"/>
        <w:ind w:firstLine="560" w:firstLineChars="200"/>
        <w:jc w:val="left"/>
        <w:rPr>
          <w:rFonts w:hint="eastAsia" w:ascii="仿宋" w:hAnsi="仿宋" w:eastAsia="仿宋" w:cs="宋体"/>
          <w:kern w:val="0"/>
          <w:sz w:val="28"/>
          <w:szCs w:val="28"/>
        </w:rPr>
      </w:pPr>
    </w:p>
    <w:p w14:paraId="7338313E">
      <w:pPr>
        <w:widowControl/>
        <w:spacing w:line="480" w:lineRule="exact"/>
        <w:ind w:firstLine="560" w:firstLineChars="200"/>
        <w:jc w:val="left"/>
        <w:rPr>
          <w:rFonts w:hint="eastAsia" w:ascii="仿宋" w:hAnsi="仿宋" w:eastAsia="仿宋" w:cs="宋体"/>
          <w:kern w:val="0"/>
          <w:sz w:val="28"/>
          <w:szCs w:val="28"/>
        </w:rPr>
      </w:pPr>
    </w:p>
    <w:p w14:paraId="4DC5F99B">
      <w:pPr>
        <w:widowControl/>
        <w:spacing w:line="480" w:lineRule="exact"/>
        <w:ind w:firstLine="560" w:firstLineChars="200"/>
        <w:jc w:val="left"/>
        <w:rPr>
          <w:rFonts w:hint="eastAsia" w:ascii="仿宋" w:hAnsi="仿宋" w:eastAsia="仿宋" w:cs="宋体"/>
          <w:kern w:val="0"/>
          <w:sz w:val="28"/>
          <w:szCs w:val="28"/>
        </w:rPr>
      </w:pPr>
    </w:p>
    <w:p w14:paraId="3F05804E">
      <w:pPr>
        <w:widowControl/>
        <w:spacing w:line="480" w:lineRule="exact"/>
        <w:ind w:firstLine="560" w:firstLineChars="200"/>
        <w:jc w:val="left"/>
        <w:rPr>
          <w:rFonts w:hint="eastAsia" w:ascii="仿宋" w:hAnsi="仿宋" w:eastAsia="仿宋" w:cs="宋体"/>
          <w:kern w:val="0"/>
          <w:sz w:val="28"/>
          <w:szCs w:val="28"/>
        </w:rPr>
      </w:pPr>
    </w:p>
    <w:p w14:paraId="511817BC">
      <w:pPr>
        <w:widowControl/>
        <w:spacing w:line="48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附件5</w:t>
      </w:r>
    </w:p>
    <w:p w14:paraId="24537A9D">
      <w:pPr>
        <w:widowControl/>
        <w:tabs>
          <w:tab w:val="left" w:pos="0"/>
          <w:tab w:val="left" w:pos="993"/>
          <w:tab w:val="left" w:pos="1134"/>
        </w:tabs>
        <w:spacing w:line="480" w:lineRule="exact"/>
        <w:jc w:val="center"/>
        <w:rPr>
          <w:rFonts w:hint="eastAsia" w:ascii="仿宋" w:hAnsi="仿宋" w:eastAsia="仿宋" w:cs="宋体"/>
          <w:b/>
          <w:sz w:val="30"/>
          <w:szCs w:val="30"/>
        </w:rPr>
      </w:pPr>
      <w:r>
        <w:rPr>
          <w:rFonts w:hint="eastAsia" w:ascii="仿宋" w:hAnsi="仿宋" w:eastAsia="仿宋" w:cs="宋体"/>
          <w:b/>
          <w:sz w:val="30"/>
          <w:szCs w:val="30"/>
        </w:rPr>
        <w:t xml:space="preserve">报价函 </w:t>
      </w:r>
    </w:p>
    <w:p w14:paraId="3193A16B">
      <w:pPr>
        <w:spacing w:line="440" w:lineRule="exact"/>
        <w:rPr>
          <w:rFonts w:hint="eastAsia" w:ascii="仿宋" w:hAnsi="仿宋" w:eastAsia="仿宋" w:cs="宋体"/>
          <w:sz w:val="28"/>
          <w:szCs w:val="28"/>
          <w:u w:val="single"/>
        </w:rPr>
      </w:pPr>
      <w:r>
        <w:rPr>
          <w:rFonts w:hint="eastAsia" w:ascii="仿宋" w:hAnsi="仿宋" w:eastAsia="仿宋" w:cs="宋体"/>
          <w:sz w:val="28"/>
          <w:szCs w:val="28"/>
          <w:u w:val="single"/>
        </w:rPr>
        <w:t xml:space="preserve">（采购单位名称） </w:t>
      </w:r>
    </w:p>
    <w:p w14:paraId="07A44B2F">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（一）根据已收到的</w:t>
      </w:r>
      <w:r>
        <w:rPr>
          <w:rFonts w:hint="eastAsia" w:ascii="仿宋" w:hAnsi="仿宋" w:eastAsia="仿宋"/>
          <w:sz w:val="28"/>
          <w:szCs w:val="28"/>
          <w:u w:val="single"/>
        </w:rPr>
        <w:t>（项目名称）</w:t>
      </w:r>
      <w:r>
        <w:rPr>
          <w:rFonts w:hint="eastAsia" w:ascii="仿宋" w:hAnsi="仿宋" w:eastAsia="仿宋"/>
          <w:sz w:val="28"/>
          <w:szCs w:val="28"/>
        </w:rPr>
        <w:t>磋商文件，我单位经研究磋商文件和有关资料后，愿意按磋商文件规定的内容承担该项目的运行维护服务任务，严格执行供应商所承担的责任和义务。</w:t>
      </w:r>
    </w:p>
    <w:p w14:paraId="44E4FE3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u w:val="single"/>
        </w:rPr>
        <w:t>（项目名称）</w:t>
      </w:r>
      <w:r>
        <w:rPr>
          <w:rFonts w:hint="eastAsia" w:ascii="仿宋" w:hAnsi="仿宋" w:eastAsia="仿宋"/>
          <w:sz w:val="28"/>
          <w:szCs w:val="28"/>
        </w:rPr>
        <w:t>项目投标金额为人民币</w:t>
      </w:r>
      <w:r>
        <w:rPr>
          <w:rFonts w:hint="eastAsia" w:ascii="仿宋" w:hAnsi="仿宋" w:eastAsia="仿宋"/>
          <w:sz w:val="28"/>
          <w:szCs w:val="28"/>
          <w:u w:val="single"/>
        </w:rPr>
        <w:t xml:space="preserve">大写          </w:t>
      </w:r>
      <w:r>
        <w:rPr>
          <w:rFonts w:hint="eastAsia" w:ascii="仿宋" w:hAnsi="仿宋" w:eastAsia="仿宋"/>
          <w:sz w:val="28"/>
          <w:szCs w:val="28"/>
        </w:rPr>
        <w:t>元（小写</w:t>
      </w:r>
      <w:r>
        <w:rPr>
          <w:rFonts w:hint="eastAsia" w:ascii="仿宋" w:hAnsi="仿宋" w:eastAsia="仿宋"/>
          <w:sz w:val="28"/>
          <w:szCs w:val="28"/>
          <w:u w:val="single"/>
        </w:rPr>
        <w:t xml:space="preserve">        </w:t>
      </w:r>
      <w:r>
        <w:rPr>
          <w:rFonts w:hint="eastAsia" w:ascii="仿宋" w:hAnsi="仿宋" w:eastAsia="仿宋"/>
          <w:sz w:val="28"/>
          <w:szCs w:val="28"/>
        </w:rPr>
        <w:t xml:space="preserve">元）。 </w:t>
      </w:r>
    </w:p>
    <w:p w14:paraId="1FF9BABC">
      <w:pPr>
        <w:spacing w:line="480" w:lineRule="exact"/>
        <w:ind w:firstLine="480"/>
        <w:rPr>
          <w:rFonts w:hint="eastAsia" w:ascii="仿宋" w:hAnsi="仿宋" w:eastAsia="仿宋"/>
          <w:sz w:val="28"/>
          <w:szCs w:val="28"/>
        </w:rPr>
      </w:pPr>
      <w:r>
        <w:rPr>
          <w:rFonts w:hint="eastAsia" w:ascii="仿宋" w:hAnsi="仿宋" w:eastAsia="仿宋"/>
          <w:sz w:val="28"/>
          <w:szCs w:val="28"/>
        </w:rPr>
        <w:t>（三）如果我方中标，我们保证按磋商文件的要求和采购人签订货物采购合同，选派项目负责人（经理）</w:t>
      </w:r>
      <w:r>
        <w:rPr>
          <w:rFonts w:hint="eastAsia" w:ascii="仿宋" w:hAnsi="仿宋" w:eastAsia="仿宋"/>
          <w:sz w:val="28"/>
          <w:szCs w:val="28"/>
          <w:u w:val="single"/>
        </w:rPr>
        <w:t xml:space="preserve">（姓名） </w:t>
      </w:r>
      <w:r>
        <w:rPr>
          <w:rFonts w:hint="eastAsia" w:ascii="仿宋" w:hAnsi="仿宋" w:eastAsia="仿宋"/>
          <w:sz w:val="28"/>
          <w:szCs w:val="28"/>
        </w:rPr>
        <w:t>负责运维工作。</w:t>
      </w:r>
    </w:p>
    <w:p w14:paraId="4A7D7299">
      <w:pPr>
        <w:spacing w:line="480" w:lineRule="exact"/>
        <w:ind w:firstLine="480"/>
        <w:rPr>
          <w:rFonts w:hint="eastAsia" w:ascii="仿宋" w:hAnsi="仿宋" w:eastAsia="仿宋"/>
          <w:sz w:val="28"/>
          <w:szCs w:val="28"/>
        </w:rPr>
      </w:pPr>
      <w:r>
        <w:rPr>
          <w:rFonts w:hint="eastAsia" w:ascii="仿宋" w:hAnsi="仿宋" w:eastAsia="仿宋"/>
          <w:sz w:val="28"/>
          <w:szCs w:val="28"/>
        </w:rPr>
        <w:t>（四）贵单位的磋商文件及其附件、中标通知书和本响应文件将构成约束我们双方的合同。</w:t>
      </w:r>
    </w:p>
    <w:p w14:paraId="49A2292E">
      <w:pPr>
        <w:spacing w:line="480" w:lineRule="exact"/>
        <w:rPr>
          <w:rFonts w:hint="eastAsia" w:ascii="仿宋" w:hAnsi="仿宋" w:eastAsia="仿宋"/>
          <w:sz w:val="28"/>
          <w:szCs w:val="28"/>
        </w:rPr>
      </w:pPr>
    </w:p>
    <w:p w14:paraId="6D129C21">
      <w:pPr>
        <w:spacing w:line="480" w:lineRule="exact"/>
        <w:rPr>
          <w:rFonts w:hint="eastAsia" w:ascii="仿宋" w:hAnsi="仿宋" w:eastAsia="仿宋"/>
          <w:sz w:val="28"/>
          <w:szCs w:val="28"/>
        </w:rPr>
      </w:pPr>
      <w:r>
        <w:rPr>
          <w:rFonts w:hint="eastAsia" w:ascii="仿宋" w:hAnsi="仿宋" w:eastAsia="仿宋"/>
          <w:sz w:val="28"/>
          <w:szCs w:val="28"/>
        </w:rPr>
        <w:t>供应商（法人盖章）：</w:t>
      </w:r>
    </w:p>
    <w:p w14:paraId="7DFC96B2">
      <w:pPr>
        <w:spacing w:line="480" w:lineRule="exact"/>
        <w:rPr>
          <w:rFonts w:hint="eastAsia" w:ascii="仿宋" w:hAnsi="仿宋" w:eastAsia="仿宋"/>
          <w:sz w:val="28"/>
          <w:szCs w:val="28"/>
          <w:u w:val="single"/>
        </w:rPr>
      </w:pPr>
    </w:p>
    <w:p w14:paraId="5E2E1C7B">
      <w:pPr>
        <w:spacing w:line="480" w:lineRule="exact"/>
        <w:rPr>
          <w:rFonts w:hint="eastAsia" w:ascii="仿宋" w:hAnsi="仿宋" w:eastAsia="仿宋"/>
          <w:sz w:val="28"/>
          <w:szCs w:val="28"/>
        </w:rPr>
      </w:pPr>
      <w:r>
        <w:rPr>
          <w:rFonts w:hint="eastAsia" w:ascii="仿宋" w:hAnsi="仿宋" w:eastAsia="仿宋"/>
          <w:sz w:val="28"/>
          <w:szCs w:val="28"/>
        </w:rPr>
        <w:t>法定代表人或授权委托人（签字或盖章）</w:t>
      </w:r>
    </w:p>
    <w:p w14:paraId="2A07713A">
      <w:pPr>
        <w:spacing w:line="480" w:lineRule="exact"/>
        <w:rPr>
          <w:rFonts w:hint="eastAsia" w:ascii="仿宋" w:hAnsi="仿宋" w:eastAsia="仿宋"/>
          <w:sz w:val="28"/>
          <w:szCs w:val="28"/>
        </w:rPr>
      </w:pPr>
    </w:p>
    <w:p w14:paraId="7A8F900A">
      <w:pPr>
        <w:spacing w:line="480" w:lineRule="exact"/>
        <w:rPr>
          <w:rFonts w:hint="eastAsia" w:ascii="仿宋" w:hAnsi="仿宋" w:eastAsia="仿宋"/>
          <w:sz w:val="28"/>
          <w:szCs w:val="28"/>
          <w:u w:val="single"/>
        </w:rPr>
      </w:pPr>
    </w:p>
    <w:p w14:paraId="7095C4E5">
      <w:pPr>
        <w:spacing w:line="480" w:lineRule="exact"/>
        <w:jc w:val="right"/>
        <w:rPr>
          <w:rFonts w:hint="eastAsia" w:ascii="仿宋" w:hAnsi="仿宋" w:eastAsia="仿宋"/>
          <w:sz w:val="28"/>
          <w:szCs w:val="28"/>
        </w:rPr>
      </w:pPr>
      <w:r>
        <w:rPr>
          <w:rFonts w:hint="eastAsia" w:ascii="仿宋" w:hAnsi="仿宋" w:eastAsia="仿宋"/>
          <w:sz w:val="28"/>
          <w:szCs w:val="28"/>
        </w:rPr>
        <w:t>日期：      年     月     日</w:t>
      </w:r>
    </w:p>
    <w:p w14:paraId="3CAF695F">
      <w:pPr>
        <w:widowControl/>
        <w:spacing w:line="480" w:lineRule="exact"/>
        <w:jc w:val="left"/>
        <w:rPr>
          <w:rFonts w:hint="eastAsia" w:ascii="仿宋" w:hAnsi="仿宋" w:eastAsia="仿宋"/>
          <w:b/>
          <w:sz w:val="28"/>
          <w:szCs w:val="28"/>
        </w:rPr>
      </w:pPr>
      <w:r>
        <w:rPr>
          <w:rFonts w:ascii="仿宋" w:hAnsi="仿宋" w:eastAsia="仿宋"/>
          <w:b/>
          <w:sz w:val="28"/>
          <w:szCs w:val="28"/>
        </w:rPr>
        <w:br w:type="page"/>
      </w:r>
    </w:p>
    <w:p w14:paraId="306A35CF">
      <w:pPr>
        <w:widowControl/>
        <w:spacing w:line="48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附件6</w:t>
      </w:r>
    </w:p>
    <w:p w14:paraId="759F06EF">
      <w:pPr>
        <w:snapToGrid w:val="0"/>
        <w:spacing w:line="480" w:lineRule="exact"/>
        <w:contextualSpacing/>
        <w:rPr>
          <w:rFonts w:hint="eastAsia" w:ascii="仿宋" w:hAnsi="仿宋" w:eastAsia="仿宋" w:cs="宋体"/>
          <w:kern w:val="0"/>
          <w:sz w:val="28"/>
          <w:szCs w:val="28"/>
        </w:rPr>
      </w:pPr>
    </w:p>
    <w:p w14:paraId="70D9FCA0">
      <w:pPr>
        <w:spacing w:line="480" w:lineRule="exact"/>
        <w:jc w:val="center"/>
        <w:rPr>
          <w:rFonts w:hint="eastAsia" w:ascii="仿宋" w:hAnsi="仿宋" w:eastAsia="仿宋" w:cs="宋体"/>
          <w:b/>
          <w:sz w:val="30"/>
          <w:szCs w:val="30"/>
        </w:rPr>
      </w:pPr>
      <w:r>
        <w:rPr>
          <w:rFonts w:hint="eastAsia" w:ascii="仿宋" w:hAnsi="仿宋" w:eastAsia="仿宋" w:cs="宋体"/>
          <w:b/>
          <w:sz w:val="30"/>
          <w:szCs w:val="30"/>
        </w:rPr>
        <w:t>分项报价明细表（服务类）</w:t>
      </w:r>
    </w:p>
    <w:p w14:paraId="75BD856D">
      <w:pPr>
        <w:snapToGrid w:val="0"/>
        <w:spacing w:line="480" w:lineRule="exact"/>
        <w:rPr>
          <w:rFonts w:hint="eastAsia" w:ascii="仿宋" w:hAnsi="仿宋" w:eastAsia="仿宋"/>
          <w:sz w:val="28"/>
          <w:szCs w:val="28"/>
        </w:rPr>
      </w:pPr>
      <w:r>
        <w:rPr>
          <w:rFonts w:hint="eastAsia" w:ascii="仿宋" w:hAnsi="仿宋" w:eastAsia="仿宋"/>
          <w:sz w:val="28"/>
          <w:szCs w:val="28"/>
        </w:rPr>
        <w:t>供应商（盖章）：</w:t>
      </w:r>
    </w:p>
    <w:tbl>
      <w:tblPr>
        <w:tblStyle w:val="3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17"/>
        <w:gridCol w:w="1276"/>
        <w:gridCol w:w="1276"/>
        <w:gridCol w:w="1276"/>
        <w:gridCol w:w="1275"/>
        <w:gridCol w:w="1560"/>
        <w:gridCol w:w="869"/>
      </w:tblGrid>
      <w:tr w14:paraId="6214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731" w:type="dxa"/>
            <w:vAlign w:val="center"/>
          </w:tcPr>
          <w:p w14:paraId="02B497D2">
            <w:pPr>
              <w:snapToGrid w:val="0"/>
              <w:spacing w:line="480" w:lineRule="exact"/>
              <w:jc w:val="center"/>
              <w:rPr>
                <w:rFonts w:hint="eastAsia" w:ascii="仿宋" w:hAnsi="仿宋" w:eastAsia="仿宋"/>
                <w:b/>
                <w:szCs w:val="21"/>
              </w:rPr>
            </w:pPr>
            <w:r>
              <w:rPr>
                <w:rFonts w:hint="eastAsia" w:ascii="仿宋" w:hAnsi="仿宋" w:eastAsia="仿宋"/>
                <w:b/>
                <w:szCs w:val="21"/>
              </w:rPr>
              <w:t>序号</w:t>
            </w:r>
          </w:p>
        </w:tc>
        <w:tc>
          <w:tcPr>
            <w:tcW w:w="1417" w:type="dxa"/>
            <w:vAlign w:val="center"/>
          </w:tcPr>
          <w:p w14:paraId="6530F215">
            <w:pPr>
              <w:snapToGrid w:val="0"/>
              <w:spacing w:line="480" w:lineRule="exact"/>
              <w:jc w:val="center"/>
              <w:rPr>
                <w:rFonts w:hint="eastAsia" w:ascii="仿宋" w:hAnsi="仿宋" w:eastAsia="仿宋"/>
                <w:b/>
                <w:szCs w:val="21"/>
              </w:rPr>
            </w:pPr>
            <w:r>
              <w:rPr>
                <w:rFonts w:hint="eastAsia" w:ascii="仿宋" w:hAnsi="仿宋" w:eastAsia="仿宋"/>
                <w:b/>
                <w:szCs w:val="21"/>
              </w:rPr>
              <w:t>项目名称</w:t>
            </w:r>
          </w:p>
        </w:tc>
        <w:tc>
          <w:tcPr>
            <w:tcW w:w="1276" w:type="dxa"/>
            <w:vAlign w:val="center"/>
          </w:tcPr>
          <w:p w14:paraId="21C40293">
            <w:pPr>
              <w:snapToGrid w:val="0"/>
              <w:spacing w:line="480" w:lineRule="exact"/>
              <w:jc w:val="center"/>
              <w:rPr>
                <w:rFonts w:hint="eastAsia" w:ascii="仿宋" w:hAnsi="仿宋" w:eastAsia="仿宋"/>
                <w:b/>
                <w:szCs w:val="21"/>
              </w:rPr>
            </w:pPr>
            <w:r>
              <w:rPr>
                <w:rFonts w:hint="eastAsia" w:ascii="仿宋" w:hAnsi="仿宋" w:eastAsia="仿宋"/>
                <w:b/>
                <w:szCs w:val="21"/>
              </w:rPr>
              <w:t>服务范围</w:t>
            </w:r>
          </w:p>
        </w:tc>
        <w:tc>
          <w:tcPr>
            <w:tcW w:w="1276" w:type="dxa"/>
            <w:vAlign w:val="center"/>
          </w:tcPr>
          <w:p w14:paraId="77A37DF1">
            <w:pPr>
              <w:snapToGrid w:val="0"/>
              <w:spacing w:line="480" w:lineRule="exact"/>
              <w:jc w:val="center"/>
              <w:rPr>
                <w:rFonts w:hint="eastAsia" w:ascii="仿宋" w:hAnsi="仿宋" w:eastAsia="仿宋"/>
                <w:b/>
                <w:szCs w:val="21"/>
              </w:rPr>
            </w:pPr>
            <w:r>
              <w:rPr>
                <w:rFonts w:hint="eastAsia" w:ascii="仿宋" w:hAnsi="仿宋" w:eastAsia="仿宋"/>
                <w:b/>
                <w:szCs w:val="21"/>
              </w:rPr>
              <w:t>服务要求</w:t>
            </w:r>
          </w:p>
        </w:tc>
        <w:tc>
          <w:tcPr>
            <w:tcW w:w="1276" w:type="dxa"/>
            <w:vAlign w:val="center"/>
          </w:tcPr>
          <w:p w14:paraId="56237DC3">
            <w:pPr>
              <w:snapToGrid w:val="0"/>
              <w:spacing w:line="480" w:lineRule="exact"/>
              <w:jc w:val="center"/>
              <w:rPr>
                <w:rFonts w:hint="eastAsia" w:ascii="仿宋" w:hAnsi="仿宋" w:eastAsia="仿宋"/>
                <w:b/>
                <w:szCs w:val="21"/>
              </w:rPr>
            </w:pPr>
            <w:r>
              <w:rPr>
                <w:rFonts w:hint="eastAsia" w:ascii="仿宋" w:hAnsi="仿宋" w:eastAsia="仿宋"/>
                <w:b/>
                <w:szCs w:val="21"/>
              </w:rPr>
              <w:t>服务时间</w:t>
            </w:r>
          </w:p>
        </w:tc>
        <w:tc>
          <w:tcPr>
            <w:tcW w:w="1275" w:type="dxa"/>
            <w:vAlign w:val="center"/>
          </w:tcPr>
          <w:p w14:paraId="2A9C7B61">
            <w:pPr>
              <w:snapToGrid w:val="0"/>
              <w:jc w:val="center"/>
              <w:rPr>
                <w:rFonts w:hint="eastAsia" w:ascii="仿宋" w:hAnsi="仿宋" w:eastAsia="仿宋"/>
                <w:b/>
                <w:szCs w:val="21"/>
              </w:rPr>
            </w:pPr>
            <w:r>
              <w:rPr>
                <w:rFonts w:hint="eastAsia" w:ascii="仿宋" w:hAnsi="仿宋" w:eastAsia="仿宋"/>
                <w:b/>
                <w:szCs w:val="21"/>
              </w:rPr>
              <w:t>单价（元）</w:t>
            </w:r>
          </w:p>
          <w:p w14:paraId="50361466">
            <w:pPr>
              <w:snapToGrid w:val="0"/>
              <w:jc w:val="center"/>
              <w:rPr>
                <w:rFonts w:hint="eastAsia" w:ascii="仿宋" w:hAnsi="仿宋" w:eastAsia="仿宋"/>
                <w:b/>
                <w:szCs w:val="21"/>
              </w:rPr>
            </w:pPr>
            <w:r>
              <w:rPr>
                <w:rFonts w:hint="eastAsia" w:ascii="仿宋" w:hAnsi="仿宋" w:eastAsia="仿宋"/>
                <w:b/>
                <w:szCs w:val="21"/>
              </w:rPr>
              <w:t>（每年度）</w:t>
            </w:r>
          </w:p>
        </w:tc>
        <w:tc>
          <w:tcPr>
            <w:tcW w:w="1560" w:type="dxa"/>
            <w:vAlign w:val="center"/>
          </w:tcPr>
          <w:p w14:paraId="45B976EE">
            <w:pPr>
              <w:snapToGrid w:val="0"/>
              <w:spacing w:line="480" w:lineRule="exact"/>
              <w:jc w:val="center"/>
              <w:rPr>
                <w:rFonts w:hint="eastAsia" w:ascii="仿宋" w:hAnsi="仿宋" w:eastAsia="仿宋"/>
                <w:b/>
                <w:szCs w:val="21"/>
              </w:rPr>
            </w:pPr>
            <w:r>
              <w:rPr>
                <w:rFonts w:hint="eastAsia" w:ascii="仿宋" w:hAnsi="仿宋" w:eastAsia="仿宋"/>
                <w:b/>
                <w:szCs w:val="21"/>
              </w:rPr>
              <w:t>合计金额（元）</w:t>
            </w:r>
          </w:p>
        </w:tc>
        <w:tc>
          <w:tcPr>
            <w:tcW w:w="869" w:type="dxa"/>
            <w:vAlign w:val="center"/>
          </w:tcPr>
          <w:p w14:paraId="7714552F">
            <w:pPr>
              <w:snapToGrid w:val="0"/>
              <w:spacing w:line="480" w:lineRule="exact"/>
              <w:ind w:firstLine="105" w:firstLineChars="50"/>
              <w:jc w:val="center"/>
              <w:rPr>
                <w:rFonts w:hint="eastAsia" w:ascii="仿宋" w:hAnsi="仿宋" w:eastAsia="仿宋"/>
                <w:b/>
                <w:szCs w:val="21"/>
              </w:rPr>
            </w:pPr>
            <w:r>
              <w:rPr>
                <w:rFonts w:hint="eastAsia" w:ascii="仿宋" w:hAnsi="仿宋" w:eastAsia="仿宋"/>
                <w:b/>
                <w:szCs w:val="21"/>
              </w:rPr>
              <w:t>备注</w:t>
            </w:r>
          </w:p>
        </w:tc>
      </w:tr>
      <w:tr w14:paraId="0AB0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Align w:val="center"/>
          </w:tcPr>
          <w:p w14:paraId="57B9318A">
            <w:pPr>
              <w:snapToGrid w:val="0"/>
              <w:spacing w:line="48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76AE5B7D">
            <w:pPr>
              <w:snapToGrid w:val="0"/>
              <w:spacing w:line="480" w:lineRule="exact"/>
              <w:jc w:val="center"/>
              <w:rPr>
                <w:rFonts w:hint="eastAsia" w:ascii="仿宋" w:hAnsi="仿宋" w:eastAsia="仿宋"/>
                <w:sz w:val="24"/>
              </w:rPr>
            </w:pPr>
          </w:p>
        </w:tc>
        <w:tc>
          <w:tcPr>
            <w:tcW w:w="1276" w:type="dxa"/>
            <w:vAlign w:val="center"/>
          </w:tcPr>
          <w:p w14:paraId="19F8BAE1">
            <w:pPr>
              <w:snapToGrid w:val="0"/>
              <w:spacing w:line="480" w:lineRule="exact"/>
              <w:jc w:val="center"/>
              <w:rPr>
                <w:rFonts w:hint="eastAsia" w:ascii="仿宋" w:hAnsi="仿宋" w:eastAsia="仿宋"/>
                <w:sz w:val="24"/>
              </w:rPr>
            </w:pPr>
          </w:p>
        </w:tc>
        <w:tc>
          <w:tcPr>
            <w:tcW w:w="1276" w:type="dxa"/>
            <w:vAlign w:val="center"/>
          </w:tcPr>
          <w:p w14:paraId="762615F0">
            <w:pPr>
              <w:snapToGrid w:val="0"/>
              <w:spacing w:line="480" w:lineRule="exact"/>
              <w:jc w:val="center"/>
              <w:rPr>
                <w:rFonts w:hint="eastAsia" w:ascii="仿宋" w:hAnsi="仿宋" w:eastAsia="仿宋"/>
                <w:sz w:val="24"/>
              </w:rPr>
            </w:pPr>
          </w:p>
        </w:tc>
        <w:tc>
          <w:tcPr>
            <w:tcW w:w="1276" w:type="dxa"/>
            <w:vAlign w:val="center"/>
          </w:tcPr>
          <w:p w14:paraId="2E248DFA">
            <w:pPr>
              <w:snapToGrid w:val="0"/>
              <w:spacing w:line="480" w:lineRule="exact"/>
              <w:jc w:val="center"/>
              <w:rPr>
                <w:rFonts w:hint="eastAsia" w:ascii="仿宋" w:hAnsi="仿宋" w:eastAsia="仿宋"/>
                <w:sz w:val="24"/>
              </w:rPr>
            </w:pPr>
          </w:p>
        </w:tc>
        <w:tc>
          <w:tcPr>
            <w:tcW w:w="1275" w:type="dxa"/>
            <w:vAlign w:val="center"/>
          </w:tcPr>
          <w:p w14:paraId="4B6777FA">
            <w:pPr>
              <w:snapToGrid w:val="0"/>
              <w:spacing w:line="480" w:lineRule="exact"/>
              <w:jc w:val="center"/>
              <w:rPr>
                <w:rFonts w:hint="eastAsia" w:ascii="仿宋" w:hAnsi="仿宋" w:eastAsia="仿宋"/>
                <w:sz w:val="24"/>
              </w:rPr>
            </w:pPr>
          </w:p>
        </w:tc>
        <w:tc>
          <w:tcPr>
            <w:tcW w:w="1560" w:type="dxa"/>
            <w:vAlign w:val="center"/>
          </w:tcPr>
          <w:p w14:paraId="5B728896">
            <w:pPr>
              <w:snapToGrid w:val="0"/>
              <w:spacing w:line="480" w:lineRule="exact"/>
              <w:jc w:val="center"/>
              <w:rPr>
                <w:rFonts w:hint="eastAsia" w:ascii="仿宋" w:hAnsi="仿宋" w:eastAsia="仿宋"/>
                <w:sz w:val="24"/>
              </w:rPr>
            </w:pPr>
          </w:p>
        </w:tc>
        <w:tc>
          <w:tcPr>
            <w:tcW w:w="869" w:type="dxa"/>
            <w:vAlign w:val="center"/>
          </w:tcPr>
          <w:p w14:paraId="53EEC95E">
            <w:pPr>
              <w:snapToGrid w:val="0"/>
              <w:spacing w:line="480" w:lineRule="exact"/>
              <w:jc w:val="center"/>
              <w:rPr>
                <w:rFonts w:hint="eastAsia" w:ascii="仿宋" w:hAnsi="仿宋" w:eastAsia="仿宋"/>
                <w:sz w:val="24"/>
              </w:rPr>
            </w:pPr>
          </w:p>
        </w:tc>
      </w:tr>
      <w:tr w14:paraId="6917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31" w:type="dxa"/>
            <w:vAlign w:val="center"/>
          </w:tcPr>
          <w:p w14:paraId="1D982597">
            <w:pPr>
              <w:snapToGrid w:val="0"/>
              <w:spacing w:line="480" w:lineRule="exact"/>
              <w:jc w:val="center"/>
              <w:rPr>
                <w:rFonts w:hint="eastAsia" w:ascii="仿宋" w:hAnsi="仿宋" w:eastAsia="仿宋"/>
                <w:sz w:val="24"/>
              </w:rPr>
            </w:pPr>
          </w:p>
        </w:tc>
        <w:tc>
          <w:tcPr>
            <w:tcW w:w="1417" w:type="dxa"/>
            <w:vAlign w:val="center"/>
          </w:tcPr>
          <w:p w14:paraId="70E6D48A">
            <w:pPr>
              <w:snapToGrid w:val="0"/>
              <w:spacing w:line="480" w:lineRule="exact"/>
              <w:jc w:val="center"/>
              <w:rPr>
                <w:rFonts w:hint="eastAsia" w:ascii="仿宋" w:hAnsi="仿宋" w:eastAsia="仿宋"/>
                <w:sz w:val="24"/>
              </w:rPr>
            </w:pPr>
          </w:p>
        </w:tc>
        <w:tc>
          <w:tcPr>
            <w:tcW w:w="1276" w:type="dxa"/>
            <w:vAlign w:val="center"/>
          </w:tcPr>
          <w:p w14:paraId="6274A54C">
            <w:pPr>
              <w:snapToGrid w:val="0"/>
              <w:spacing w:line="480" w:lineRule="exact"/>
              <w:jc w:val="center"/>
              <w:rPr>
                <w:rFonts w:hint="eastAsia" w:ascii="仿宋" w:hAnsi="仿宋" w:eastAsia="仿宋"/>
                <w:sz w:val="24"/>
              </w:rPr>
            </w:pPr>
          </w:p>
        </w:tc>
        <w:tc>
          <w:tcPr>
            <w:tcW w:w="1276" w:type="dxa"/>
            <w:vAlign w:val="center"/>
          </w:tcPr>
          <w:p w14:paraId="2FF6357E">
            <w:pPr>
              <w:snapToGrid w:val="0"/>
              <w:spacing w:line="480" w:lineRule="exact"/>
              <w:jc w:val="center"/>
              <w:rPr>
                <w:rFonts w:hint="eastAsia" w:ascii="仿宋" w:hAnsi="仿宋" w:eastAsia="仿宋"/>
                <w:sz w:val="24"/>
              </w:rPr>
            </w:pPr>
          </w:p>
        </w:tc>
        <w:tc>
          <w:tcPr>
            <w:tcW w:w="1276" w:type="dxa"/>
            <w:vAlign w:val="center"/>
          </w:tcPr>
          <w:p w14:paraId="136EF74C">
            <w:pPr>
              <w:snapToGrid w:val="0"/>
              <w:spacing w:line="480" w:lineRule="exact"/>
              <w:jc w:val="center"/>
              <w:rPr>
                <w:rFonts w:hint="eastAsia" w:ascii="仿宋" w:hAnsi="仿宋" w:eastAsia="仿宋"/>
                <w:sz w:val="24"/>
              </w:rPr>
            </w:pPr>
          </w:p>
        </w:tc>
        <w:tc>
          <w:tcPr>
            <w:tcW w:w="1275" w:type="dxa"/>
            <w:vAlign w:val="center"/>
          </w:tcPr>
          <w:p w14:paraId="2311CDE4">
            <w:pPr>
              <w:snapToGrid w:val="0"/>
              <w:spacing w:line="480" w:lineRule="exact"/>
              <w:jc w:val="center"/>
              <w:rPr>
                <w:rFonts w:hint="eastAsia" w:ascii="仿宋" w:hAnsi="仿宋" w:eastAsia="仿宋"/>
                <w:sz w:val="24"/>
              </w:rPr>
            </w:pPr>
          </w:p>
        </w:tc>
        <w:tc>
          <w:tcPr>
            <w:tcW w:w="1560" w:type="dxa"/>
            <w:vAlign w:val="center"/>
          </w:tcPr>
          <w:p w14:paraId="7D146EE7">
            <w:pPr>
              <w:snapToGrid w:val="0"/>
              <w:spacing w:line="480" w:lineRule="exact"/>
              <w:jc w:val="center"/>
              <w:rPr>
                <w:rFonts w:hint="eastAsia" w:ascii="仿宋" w:hAnsi="仿宋" w:eastAsia="仿宋"/>
                <w:sz w:val="24"/>
              </w:rPr>
            </w:pPr>
          </w:p>
        </w:tc>
        <w:tc>
          <w:tcPr>
            <w:tcW w:w="869" w:type="dxa"/>
            <w:vAlign w:val="center"/>
          </w:tcPr>
          <w:p w14:paraId="13EF9446">
            <w:pPr>
              <w:snapToGrid w:val="0"/>
              <w:spacing w:line="480" w:lineRule="exact"/>
              <w:jc w:val="center"/>
              <w:rPr>
                <w:rFonts w:hint="eastAsia" w:ascii="仿宋" w:hAnsi="仿宋" w:eastAsia="仿宋"/>
                <w:sz w:val="24"/>
              </w:rPr>
            </w:pPr>
          </w:p>
        </w:tc>
      </w:tr>
      <w:tr w14:paraId="01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31" w:type="dxa"/>
            <w:vAlign w:val="center"/>
          </w:tcPr>
          <w:p w14:paraId="57FB6FDD">
            <w:pPr>
              <w:snapToGrid w:val="0"/>
              <w:spacing w:line="480" w:lineRule="exact"/>
              <w:jc w:val="center"/>
              <w:rPr>
                <w:rFonts w:hint="eastAsia" w:ascii="仿宋" w:hAnsi="仿宋" w:eastAsia="仿宋"/>
                <w:sz w:val="24"/>
              </w:rPr>
            </w:pPr>
          </w:p>
        </w:tc>
        <w:tc>
          <w:tcPr>
            <w:tcW w:w="1417" w:type="dxa"/>
            <w:vAlign w:val="center"/>
          </w:tcPr>
          <w:p w14:paraId="63FF6280">
            <w:pPr>
              <w:snapToGrid w:val="0"/>
              <w:spacing w:line="480" w:lineRule="exact"/>
              <w:jc w:val="center"/>
              <w:rPr>
                <w:rFonts w:hint="eastAsia" w:ascii="仿宋" w:hAnsi="仿宋" w:eastAsia="仿宋"/>
                <w:sz w:val="24"/>
              </w:rPr>
            </w:pPr>
          </w:p>
        </w:tc>
        <w:tc>
          <w:tcPr>
            <w:tcW w:w="1276" w:type="dxa"/>
            <w:vAlign w:val="center"/>
          </w:tcPr>
          <w:p w14:paraId="5772B3F2">
            <w:pPr>
              <w:snapToGrid w:val="0"/>
              <w:spacing w:line="480" w:lineRule="exact"/>
              <w:jc w:val="center"/>
              <w:rPr>
                <w:rFonts w:hint="eastAsia" w:ascii="仿宋" w:hAnsi="仿宋" w:eastAsia="仿宋"/>
                <w:sz w:val="24"/>
              </w:rPr>
            </w:pPr>
          </w:p>
        </w:tc>
        <w:tc>
          <w:tcPr>
            <w:tcW w:w="1276" w:type="dxa"/>
            <w:vAlign w:val="center"/>
          </w:tcPr>
          <w:p w14:paraId="666E36E2">
            <w:pPr>
              <w:snapToGrid w:val="0"/>
              <w:spacing w:line="480" w:lineRule="exact"/>
              <w:jc w:val="center"/>
              <w:rPr>
                <w:rFonts w:hint="eastAsia" w:ascii="仿宋" w:hAnsi="仿宋" w:eastAsia="仿宋"/>
                <w:sz w:val="24"/>
              </w:rPr>
            </w:pPr>
          </w:p>
        </w:tc>
        <w:tc>
          <w:tcPr>
            <w:tcW w:w="1276" w:type="dxa"/>
            <w:vAlign w:val="center"/>
          </w:tcPr>
          <w:p w14:paraId="2D3C727D">
            <w:pPr>
              <w:snapToGrid w:val="0"/>
              <w:spacing w:line="480" w:lineRule="exact"/>
              <w:jc w:val="center"/>
              <w:rPr>
                <w:rFonts w:hint="eastAsia" w:ascii="仿宋" w:hAnsi="仿宋" w:eastAsia="仿宋"/>
                <w:sz w:val="24"/>
              </w:rPr>
            </w:pPr>
          </w:p>
        </w:tc>
        <w:tc>
          <w:tcPr>
            <w:tcW w:w="1275" w:type="dxa"/>
            <w:vAlign w:val="center"/>
          </w:tcPr>
          <w:p w14:paraId="0300FEF4">
            <w:pPr>
              <w:snapToGrid w:val="0"/>
              <w:spacing w:line="480" w:lineRule="exact"/>
              <w:jc w:val="center"/>
              <w:rPr>
                <w:rFonts w:hint="eastAsia" w:ascii="仿宋" w:hAnsi="仿宋" w:eastAsia="仿宋"/>
                <w:sz w:val="24"/>
              </w:rPr>
            </w:pPr>
          </w:p>
        </w:tc>
        <w:tc>
          <w:tcPr>
            <w:tcW w:w="1560" w:type="dxa"/>
            <w:vAlign w:val="center"/>
          </w:tcPr>
          <w:p w14:paraId="58418C70">
            <w:pPr>
              <w:snapToGrid w:val="0"/>
              <w:spacing w:line="480" w:lineRule="exact"/>
              <w:jc w:val="center"/>
              <w:rPr>
                <w:rFonts w:hint="eastAsia" w:ascii="仿宋" w:hAnsi="仿宋" w:eastAsia="仿宋"/>
                <w:sz w:val="24"/>
              </w:rPr>
            </w:pPr>
          </w:p>
        </w:tc>
        <w:tc>
          <w:tcPr>
            <w:tcW w:w="869" w:type="dxa"/>
            <w:vAlign w:val="center"/>
          </w:tcPr>
          <w:p w14:paraId="65B58E90">
            <w:pPr>
              <w:snapToGrid w:val="0"/>
              <w:spacing w:line="480" w:lineRule="exact"/>
              <w:jc w:val="center"/>
              <w:rPr>
                <w:rFonts w:hint="eastAsia" w:ascii="仿宋" w:hAnsi="仿宋" w:eastAsia="仿宋"/>
                <w:sz w:val="24"/>
              </w:rPr>
            </w:pPr>
          </w:p>
        </w:tc>
      </w:tr>
      <w:tr w14:paraId="476C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31" w:type="dxa"/>
            <w:vAlign w:val="center"/>
          </w:tcPr>
          <w:p w14:paraId="6BC68CC4">
            <w:pPr>
              <w:snapToGrid w:val="0"/>
              <w:spacing w:line="480" w:lineRule="exact"/>
              <w:jc w:val="center"/>
              <w:rPr>
                <w:rFonts w:hint="eastAsia" w:ascii="仿宋" w:hAnsi="仿宋" w:eastAsia="仿宋"/>
                <w:sz w:val="24"/>
              </w:rPr>
            </w:pPr>
          </w:p>
        </w:tc>
        <w:tc>
          <w:tcPr>
            <w:tcW w:w="1417" w:type="dxa"/>
            <w:vAlign w:val="center"/>
          </w:tcPr>
          <w:p w14:paraId="3B133410">
            <w:pPr>
              <w:snapToGrid w:val="0"/>
              <w:spacing w:line="480" w:lineRule="exact"/>
              <w:jc w:val="center"/>
              <w:rPr>
                <w:rFonts w:hint="eastAsia" w:ascii="仿宋" w:hAnsi="仿宋" w:eastAsia="仿宋"/>
                <w:sz w:val="24"/>
              </w:rPr>
            </w:pPr>
          </w:p>
        </w:tc>
        <w:tc>
          <w:tcPr>
            <w:tcW w:w="1276" w:type="dxa"/>
            <w:vAlign w:val="center"/>
          </w:tcPr>
          <w:p w14:paraId="6AC12EBD">
            <w:pPr>
              <w:snapToGrid w:val="0"/>
              <w:spacing w:line="480" w:lineRule="exact"/>
              <w:jc w:val="center"/>
              <w:rPr>
                <w:rFonts w:hint="eastAsia" w:ascii="仿宋" w:hAnsi="仿宋" w:eastAsia="仿宋"/>
                <w:sz w:val="24"/>
              </w:rPr>
            </w:pPr>
          </w:p>
        </w:tc>
        <w:tc>
          <w:tcPr>
            <w:tcW w:w="1276" w:type="dxa"/>
            <w:vAlign w:val="center"/>
          </w:tcPr>
          <w:p w14:paraId="102AFC34">
            <w:pPr>
              <w:snapToGrid w:val="0"/>
              <w:spacing w:line="480" w:lineRule="exact"/>
              <w:jc w:val="center"/>
              <w:rPr>
                <w:rFonts w:hint="eastAsia" w:ascii="仿宋" w:hAnsi="仿宋" w:eastAsia="仿宋"/>
                <w:sz w:val="24"/>
              </w:rPr>
            </w:pPr>
          </w:p>
        </w:tc>
        <w:tc>
          <w:tcPr>
            <w:tcW w:w="1276" w:type="dxa"/>
            <w:vAlign w:val="center"/>
          </w:tcPr>
          <w:p w14:paraId="5C1A0DD0">
            <w:pPr>
              <w:snapToGrid w:val="0"/>
              <w:spacing w:line="480" w:lineRule="exact"/>
              <w:jc w:val="center"/>
              <w:rPr>
                <w:rFonts w:hint="eastAsia" w:ascii="仿宋" w:hAnsi="仿宋" w:eastAsia="仿宋"/>
                <w:sz w:val="24"/>
              </w:rPr>
            </w:pPr>
          </w:p>
        </w:tc>
        <w:tc>
          <w:tcPr>
            <w:tcW w:w="1275" w:type="dxa"/>
            <w:vAlign w:val="center"/>
          </w:tcPr>
          <w:p w14:paraId="6E90C3DE">
            <w:pPr>
              <w:snapToGrid w:val="0"/>
              <w:spacing w:line="480" w:lineRule="exact"/>
              <w:jc w:val="center"/>
              <w:rPr>
                <w:rFonts w:hint="eastAsia" w:ascii="仿宋" w:hAnsi="仿宋" w:eastAsia="仿宋"/>
                <w:sz w:val="24"/>
              </w:rPr>
            </w:pPr>
          </w:p>
        </w:tc>
        <w:tc>
          <w:tcPr>
            <w:tcW w:w="1560" w:type="dxa"/>
            <w:vAlign w:val="center"/>
          </w:tcPr>
          <w:p w14:paraId="42B71DA6">
            <w:pPr>
              <w:snapToGrid w:val="0"/>
              <w:spacing w:line="480" w:lineRule="exact"/>
              <w:jc w:val="center"/>
              <w:rPr>
                <w:rFonts w:hint="eastAsia" w:ascii="仿宋" w:hAnsi="仿宋" w:eastAsia="仿宋"/>
                <w:sz w:val="24"/>
              </w:rPr>
            </w:pPr>
          </w:p>
        </w:tc>
        <w:tc>
          <w:tcPr>
            <w:tcW w:w="869" w:type="dxa"/>
            <w:vAlign w:val="center"/>
          </w:tcPr>
          <w:p w14:paraId="05F948D8">
            <w:pPr>
              <w:snapToGrid w:val="0"/>
              <w:spacing w:line="480" w:lineRule="exact"/>
              <w:jc w:val="center"/>
              <w:rPr>
                <w:rFonts w:hint="eastAsia" w:ascii="仿宋" w:hAnsi="仿宋" w:eastAsia="仿宋"/>
                <w:sz w:val="24"/>
              </w:rPr>
            </w:pPr>
          </w:p>
        </w:tc>
      </w:tr>
      <w:tr w14:paraId="621E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31" w:type="dxa"/>
            <w:vAlign w:val="center"/>
          </w:tcPr>
          <w:p w14:paraId="1B9F059E">
            <w:pPr>
              <w:snapToGrid w:val="0"/>
              <w:spacing w:line="480" w:lineRule="exact"/>
              <w:jc w:val="center"/>
              <w:rPr>
                <w:rFonts w:hint="eastAsia" w:ascii="仿宋" w:hAnsi="仿宋" w:eastAsia="仿宋"/>
                <w:sz w:val="24"/>
              </w:rPr>
            </w:pPr>
          </w:p>
        </w:tc>
        <w:tc>
          <w:tcPr>
            <w:tcW w:w="1417" w:type="dxa"/>
            <w:vAlign w:val="center"/>
          </w:tcPr>
          <w:p w14:paraId="3EA742BC">
            <w:pPr>
              <w:snapToGrid w:val="0"/>
              <w:spacing w:line="480" w:lineRule="exact"/>
              <w:jc w:val="center"/>
              <w:rPr>
                <w:rFonts w:hint="eastAsia" w:ascii="仿宋" w:hAnsi="仿宋" w:eastAsia="仿宋"/>
                <w:sz w:val="24"/>
              </w:rPr>
            </w:pPr>
          </w:p>
        </w:tc>
        <w:tc>
          <w:tcPr>
            <w:tcW w:w="1276" w:type="dxa"/>
            <w:vAlign w:val="center"/>
          </w:tcPr>
          <w:p w14:paraId="31B7F2F3">
            <w:pPr>
              <w:snapToGrid w:val="0"/>
              <w:spacing w:line="480" w:lineRule="exact"/>
              <w:jc w:val="center"/>
              <w:rPr>
                <w:rFonts w:hint="eastAsia" w:ascii="仿宋" w:hAnsi="仿宋" w:eastAsia="仿宋"/>
                <w:sz w:val="24"/>
              </w:rPr>
            </w:pPr>
          </w:p>
        </w:tc>
        <w:tc>
          <w:tcPr>
            <w:tcW w:w="1276" w:type="dxa"/>
            <w:vAlign w:val="center"/>
          </w:tcPr>
          <w:p w14:paraId="78F02725">
            <w:pPr>
              <w:snapToGrid w:val="0"/>
              <w:spacing w:line="480" w:lineRule="exact"/>
              <w:jc w:val="center"/>
              <w:rPr>
                <w:rFonts w:hint="eastAsia" w:ascii="仿宋" w:hAnsi="仿宋" w:eastAsia="仿宋"/>
                <w:sz w:val="24"/>
              </w:rPr>
            </w:pPr>
          </w:p>
        </w:tc>
        <w:tc>
          <w:tcPr>
            <w:tcW w:w="1276" w:type="dxa"/>
            <w:vAlign w:val="center"/>
          </w:tcPr>
          <w:p w14:paraId="301AB299">
            <w:pPr>
              <w:snapToGrid w:val="0"/>
              <w:spacing w:line="480" w:lineRule="exact"/>
              <w:jc w:val="center"/>
              <w:rPr>
                <w:rFonts w:hint="eastAsia" w:ascii="仿宋" w:hAnsi="仿宋" w:eastAsia="仿宋"/>
                <w:sz w:val="24"/>
              </w:rPr>
            </w:pPr>
          </w:p>
        </w:tc>
        <w:tc>
          <w:tcPr>
            <w:tcW w:w="1275" w:type="dxa"/>
            <w:vAlign w:val="center"/>
          </w:tcPr>
          <w:p w14:paraId="0B4270AD">
            <w:pPr>
              <w:snapToGrid w:val="0"/>
              <w:spacing w:line="480" w:lineRule="exact"/>
              <w:jc w:val="center"/>
              <w:rPr>
                <w:rFonts w:hint="eastAsia" w:ascii="仿宋" w:hAnsi="仿宋" w:eastAsia="仿宋"/>
                <w:sz w:val="24"/>
              </w:rPr>
            </w:pPr>
          </w:p>
        </w:tc>
        <w:tc>
          <w:tcPr>
            <w:tcW w:w="1560" w:type="dxa"/>
            <w:vAlign w:val="center"/>
          </w:tcPr>
          <w:p w14:paraId="0EE94F34">
            <w:pPr>
              <w:snapToGrid w:val="0"/>
              <w:spacing w:line="480" w:lineRule="exact"/>
              <w:jc w:val="center"/>
              <w:rPr>
                <w:rFonts w:hint="eastAsia" w:ascii="仿宋" w:hAnsi="仿宋" w:eastAsia="仿宋"/>
                <w:sz w:val="24"/>
              </w:rPr>
            </w:pPr>
          </w:p>
        </w:tc>
        <w:tc>
          <w:tcPr>
            <w:tcW w:w="869" w:type="dxa"/>
            <w:vAlign w:val="center"/>
          </w:tcPr>
          <w:p w14:paraId="279033C4">
            <w:pPr>
              <w:snapToGrid w:val="0"/>
              <w:spacing w:line="480" w:lineRule="exact"/>
              <w:jc w:val="center"/>
              <w:rPr>
                <w:rFonts w:hint="eastAsia" w:ascii="仿宋" w:hAnsi="仿宋" w:eastAsia="仿宋"/>
                <w:sz w:val="24"/>
              </w:rPr>
            </w:pPr>
          </w:p>
        </w:tc>
      </w:tr>
      <w:tr w14:paraId="6FC4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31" w:type="dxa"/>
            <w:vAlign w:val="center"/>
          </w:tcPr>
          <w:p w14:paraId="4E6CF22E">
            <w:pPr>
              <w:snapToGrid w:val="0"/>
              <w:spacing w:line="480" w:lineRule="exact"/>
              <w:jc w:val="center"/>
              <w:rPr>
                <w:rFonts w:hint="eastAsia" w:ascii="仿宋" w:hAnsi="仿宋" w:eastAsia="仿宋"/>
                <w:sz w:val="24"/>
              </w:rPr>
            </w:pPr>
            <w:r>
              <w:rPr>
                <w:rFonts w:hint="eastAsia" w:ascii="仿宋" w:hAnsi="仿宋" w:eastAsia="仿宋"/>
                <w:sz w:val="24"/>
              </w:rPr>
              <w:t>合计</w:t>
            </w:r>
          </w:p>
        </w:tc>
        <w:tc>
          <w:tcPr>
            <w:tcW w:w="8949" w:type="dxa"/>
            <w:gridSpan w:val="7"/>
            <w:vAlign w:val="center"/>
          </w:tcPr>
          <w:p w14:paraId="4493A8ED">
            <w:pPr>
              <w:snapToGrid w:val="0"/>
              <w:spacing w:line="480" w:lineRule="exact"/>
              <w:jc w:val="center"/>
              <w:rPr>
                <w:rFonts w:hint="eastAsia" w:ascii="仿宋" w:hAnsi="仿宋" w:eastAsia="仿宋"/>
                <w:sz w:val="24"/>
              </w:rPr>
            </w:pPr>
          </w:p>
        </w:tc>
      </w:tr>
    </w:tbl>
    <w:p w14:paraId="5AC70E08">
      <w:pPr>
        <w:snapToGrid w:val="0"/>
        <w:spacing w:line="480" w:lineRule="exact"/>
        <w:ind w:firstLine="560" w:firstLineChars="200"/>
        <w:contextualSpacing/>
        <w:rPr>
          <w:rFonts w:hint="eastAsia" w:ascii="仿宋" w:hAnsi="仿宋" w:eastAsia="仿宋"/>
          <w:color w:val="000000"/>
          <w:sz w:val="28"/>
          <w:szCs w:val="28"/>
        </w:rPr>
      </w:pPr>
    </w:p>
    <w:p w14:paraId="21723F85">
      <w:pPr>
        <w:widowControl/>
        <w:jc w:val="left"/>
        <w:rPr>
          <w:rFonts w:hint="eastAsia" w:ascii="仿宋" w:hAnsi="仿宋" w:eastAsia="仿宋"/>
          <w:color w:val="000000"/>
          <w:sz w:val="28"/>
          <w:szCs w:val="28"/>
        </w:rPr>
      </w:pPr>
      <w:r>
        <w:rPr>
          <w:rFonts w:ascii="仿宋" w:hAnsi="仿宋" w:eastAsia="仿宋"/>
          <w:color w:val="000000"/>
          <w:sz w:val="28"/>
          <w:szCs w:val="28"/>
        </w:rPr>
        <w:br w:type="page"/>
      </w:r>
    </w:p>
    <w:p w14:paraId="36FB9966">
      <w:pPr>
        <w:widowControl/>
        <w:spacing w:line="480" w:lineRule="exact"/>
        <w:jc w:val="left"/>
        <w:rPr>
          <w:rFonts w:hint="eastAsia" w:ascii="仿宋" w:hAnsi="仿宋" w:eastAsia="仿宋" w:cs="宋体"/>
          <w:kern w:val="0"/>
          <w:sz w:val="28"/>
          <w:szCs w:val="28"/>
        </w:rPr>
      </w:pPr>
      <w:r>
        <w:rPr>
          <w:rFonts w:ascii="仿宋" w:hAnsi="仿宋" w:eastAsia="仿宋" w:cs="宋体"/>
          <w:kern w:val="0"/>
          <w:sz w:val="28"/>
          <w:szCs w:val="28"/>
        </w:rPr>
        <w:t>附件</w:t>
      </w:r>
      <w:r>
        <w:rPr>
          <w:rFonts w:hint="eastAsia" w:ascii="仿宋" w:hAnsi="仿宋" w:eastAsia="仿宋" w:cs="宋体"/>
          <w:kern w:val="0"/>
          <w:sz w:val="28"/>
          <w:szCs w:val="28"/>
        </w:rPr>
        <w:t>7</w:t>
      </w:r>
    </w:p>
    <w:p w14:paraId="6D38ADDA">
      <w:pPr>
        <w:snapToGrid w:val="0"/>
        <w:spacing w:line="480" w:lineRule="exact"/>
        <w:jc w:val="center"/>
        <w:outlineLvl w:val="0"/>
        <w:rPr>
          <w:rFonts w:hint="eastAsia" w:ascii="仿宋" w:hAnsi="仿宋" w:eastAsia="仿宋" w:cs="宋体"/>
          <w:b/>
          <w:sz w:val="30"/>
          <w:szCs w:val="30"/>
        </w:rPr>
      </w:pPr>
      <w:r>
        <w:rPr>
          <w:rFonts w:ascii="仿宋" w:hAnsi="仿宋" w:eastAsia="仿宋" w:cs="宋体"/>
          <w:b/>
          <w:sz w:val="30"/>
          <w:szCs w:val="30"/>
        </w:rPr>
        <w:t>中小企业声明函（服务）</w:t>
      </w:r>
    </w:p>
    <w:p w14:paraId="32726F32">
      <w:pPr>
        <w:snapToGrid w:val="0"/>
        <w:spacing w:line="480" w:lineRule="exact"/>
        <w:ind w:firstLine="480" w:firstLineChars="200"/>
        <w:outlineLvl w:val="0"/>
        <w:rPr>
          <w:rFonts w:hint="eastAsia" w:ascii="仿宋" w:hAnsi="仿宋" w:eastAsia="仿宋"/>
          <w:sz w:val="24"/>
          <w:szCs w:val="28"/>
          <w:lang w:bidi="zh-CN"/>
        </w:rPr>
      </w:pPr>
      <w:r>
        <w:rPr>
          <w:rFonts w:ascii="仿宋" w:hAnsi="仿宋" w:eastAsia="仿宋"/>
          <w:sz w:val="24"/>
          <w:szCs w:val="28"/>
          <w:lang w:bidi="zh-CN"/>
        </w:rPr>
        <w:t>本公司（联合体）郑重声明，根据《政府采购促进中小企业发展管理办法》（财库</w:t>
      </w:r>
      <w:r>
        <w:rPr>
          <w:rFonts w:hint="eastAsia" w:ascii="仿宋" w:hAnsi="仿宋" w:eastAsia="仿宋"/>
          <w:sz w:val="24"/>
          <w:szCs w:val="28"/>
          <w:lang w:bidi="zh-CN"/>
        </w:rPr>
        <w:t>﹝</w:t>
      </w:r>
      <w:r>
        <w:rPr>
          <w:rFonts w:ascii="仿宋" w:hAnsi="仿宋" w:eastAsia="仿宋"/>
          <w:sz w:val="24"/>
          <w:szCs w:val="28"/>
          <w:lang w:bidi="zh-CN"/>
        </w:rPr>
        <w:t>2020</w:t>
      </w:r>
      <w:r>
        <w:rPr>
          <w:rFonts w:hint="eastAsia" w:ascii="仿宋" w:hAnsi="仿宋" w:eastAsia="仿宋"/>
          <w:sz w:val="24"/>
          <w:szCs w:val="28"/>
          <w:lang w:bidi="zh-CN"/>
        </w:rPr>
        <w:t>﹞</w:t>
      </w:r>
      <w:r>
        <w:rPr>
          <w:rFonts w:ascii="仿宋" w:hAnsi="仿宋" w:eastAsia="仿宋"/>
          <w:sz w:val="24"/>
          <w:szCs w:val="28"/>
          <w:lang w:bidi="zh-CN"/>
        </w:rPr>
        <w:t>46 号）的规定，本公司（联合体）参加</w:t>
      </w:r>
      <w:r>
        <w:rPr>
          <w:rFonts w:ascii="仿宋" w:hAnsi="仿宋" w:eastAsia="仿宋"/>
          <w:sz w:val="24"/>
          <w:szCs w:val="28"/>
          <w:u w:val="single"/>
          <w:lang w:bidi="zh-CN"/>
        </w:rPr>
        <w:t>（单位名称）</w:t>
      </w:r>
      <w:r>
        <w:rPr>
          <w:rFonts w:ascii="仿宋" w:hAnsi="仿宋" w:eastAsia="仿宋"/>
          <w:sz w:val="24"/>
          <w:szCs w:val="28"/>
          <w:lang w:bidi="zh-CN"/>
        </w:rPr>
        <w:t>的</w:t>
      </w:r>
      <w:r>
        <w:rPr>
          <w:rFonts w:ascii="仿宋" w:hAnsi="仿宋" w:eastAsia="仿宋"/>
          <w:sz w:val="24"/>
          <w:szCs w:val="28"/>
          <w:u w:val="single"/>
          <w:lang w:bidi="zh-CN"/>
        </w:rPr>
        <w:t>（项目名称）</w:t>
      </w:r>
      <w:r>
        <w:rPr>
          <w:rFonts w:ascii="仿宋" w:hAnsi="仿宋" w:eastAsia="仿宋"/>
          <w:sz w:val="24"/>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6B209353">
      <w:pPr>
        <w:snapToGrid w:val="0"/>
        <w:spacing w:line="480" w:lineRule="exact"/>
        <w:jc w:val="left"/>
        <w:outlineLvl w:val="0"/>
        <w:rPr>
          <w:rFonts w:hint="eastAsia" w:ascii="仿宋" w:hAnsi="仿宋" w:eastAsia="仿宋"/>
          <w:sz w:val="24"/>
          <w:szCs w:val="28"/>
          <w:lang w:bidi="zh-CN"/>
        </w:rPr>
      </w:pPr>
      <w:r>
        <w:rPr>
          <w:rFonts w:hint="eastAsia" w:ascii="仿宋" w:hAnsi="仿宋" w:eastAsia="仿宋"/>
          <w:sz w:val="24"/>
          <w:szCs w:val="28"/>
          <w:lang w:bidi="zh-CN"/>
        </w:rPr>
        <w:t>1.</w:t>
      </w:r>
      <w:r>
        <w:rPr>
          <w:rFonts w:ascii="仿宋" w:hAnsi="仿宋" w:eastAsia="仿宋"/>
          <w:sz w:val="24"/>
          <w:szCs w:val="28"/>
          <w:u w:val="single"/>
          <w:lang w:bidi="zh-CN"/>
        </w:rPr>
        <w:t>（标的名称）</w:t>
      </w:r>
      <w:r>
        <w:rPr>
          <w:rFonts w:ascii="仿宋" w:hAnsi="仿宋" w:eastAsia="仿宋"/>
          <w:sz w:val="24"/>
          <w:szCs w:val="28"/>
          <w:lang w:bidi="zh-CN"/>
        </w:rPr>
        <w:t>，属于（</w:t>
      </w:r>
      <w:r>
        <w:rPr>
          <w:rFonts w:ascii="仿宋" w:hAnsi="仿宋" w:eastAsia="仿宋"/>
          <w:sz w:val="24"/>
          <w:szCs w:val="28"/>
          <w:u w:val="single"/>
          <w:lang w:bidi="zh-CN"/>
        </w:rPr>
        <w:t>采购文件中明确的所属行业）</w:t>
      </w:r>
      <w:r>
        <w:rPr>
          <w:rFonts w:ascii="仿宋" w:hAnsi="仿宋" w:eastAsia="仿宋"/>
          <w:sz w:val="24"/>
          <w:szCs w:val="28"/>
          <w:lang w:bidi="zh-CN"/>
        </w:rPr>
        <w:t>；承建（承接）企业为</w:t>
      </w:r>
      <w:r>
        <w:rPr>
          <w:rFonts w:ascii="仿宋" w:hAnsi="仿宋" w:eastAsia="仿宋"/>
          <w:sz w:val="24"/>
          <w:szCs w:val="28"/>
          <w:u w:val="single"/>
          <w:lang w:bidi="zh-CN"/>
        </w:rPr>
        <w:t>（企业名称）</w:t>
      </w:r>
      <w:r>
        <w:rPr>
          <w:rFonts w:ascii="仿宋" w:hAnsi="仿宋" w:eastAsia="仿宋"/>
          <w:sz w:val="24"/>
          <w:szCs w:val="28"/>
          <w:lang w:bidi="zh-CN"/>
        </w:rPr>
        <w:t>，从业人员</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人，营业收入为</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万元，资产总额为</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万元，属于</w:t>
      </w:r>
      <w:r>
        <w:rPr>
          <w:rFonts w:ascii="仿宋" w:hAnsi="仿宋" w:eastAsia="仿宋"/>
          <w:sz w:val="24"/>
          <w:szCs w:val="28"/>
          <w:u w:val="single"/>
          <w:lang w:bidi="zh-CN"/>
        </w:rPr>
        <w:t>（中型企业、小型企业、微型企业）</w:t>
      </w:r>
      <w:r>
        <w:rPr>
          <w:rFonts w:ascii="仿宋" w:hAnsi="仿宋" w:eastAsia="仿宋"/>
          <w:sz w:val="24"/>
          <w:szCs w:val="28"/>
          <w:lang w:bidi="zh-CN"/>
        </w:rPr>
        <w:t>；</w:t>
      </w:r>
    </w:p>
    <w:p w14:paraId="5BC0BFE7">
      <w:pPr>
        <w:snapToGrid w:val="0"/>
        <w:spacing w:line="480" w:lineRule="exact"/>
        <w:jc w:val="left"/>
        <w:outlineLvl w:val="0"/>
        <w:rPr>
          <w:rFonts w:hint="eastAsia" w:ascii="仿宋" w:hAnsi="仿宋" w:eastAsia="仿宋"/>
          <w:sz w:val="24"/>
          <w:szCs w:val="28"/>
          <w:lang w:bidi="zh-CN"/>
        </w:rPr>
      </w:pPr>
      <w:r>
        <w:rPr>
          <w:rFonts w:hint="eastAsia" w:ascii="仿宋" w:hAnsi="仿宋" w:eastAsia="仿宋"/>
          <w:sz w:val="24"/>
          <w:szCs w:val="28"/>
          <w:lang w:bidi="zh-CN"/>
        </w:rPr>
        <w:t>2.</w:t>
      </w:r>
      <w:r>
        <w:rPr>
          <w:rFonts w:ascii="仿宋" w:hAnsi="仿宋" w:eastAsia="仿宋"/>
          <w:sz w:val="24"/>
          <w:szCs w:val="28"/>
          <w:u w:val="single"/>
          <w:lang w:bidi="zh-CN"/>
        </w:rPr>
        <w:t>（标的名称）</w:t>
      </w:r>
      <w:r>
        <w:rPr>
          <w:rFonts w:ascii="仿宋" w:hAnsi="仿宋" w:eastAsia="仿宋"/>
          <w:sz w:val="24"/>
          <w:szCs w:val="28"/>
          <w:lang w:bidi="zh-CN"/>
        </w:rPr>
        <w:t>，属于（</w:t>
      </w:r>
      <w:r>
        <w:rPr>
          <w:rFonts w:ascii="仿宋" w:hAnsi="仿宋" w:eastAsia="仿宋"/>
          <w:sz w:val="24"/>
          <w:szCs w:val="28"/>
          <w:u w:val="single"/>
          <w:lang w:bidi="zh-CN"/>
        </w:rPr>
        <w:t>采购文件中明确的所属行业）</w:t>
      </w:r>
      <w:r>
        <w:rPr>
          <w:rFonts w:ascii="仿宋" w:hAnsi="仿宋" w:eastAsia="仿宋"/>
          <w:sz w:val="24"/>
          <w:szCs w:val="28"/>
          <w:lang w:bidi="zh-CN"/>
        </w:rPr>
        <w:t>；承建（承接）企业为</w:t>
      </w:r>
      <w:r>
        <w:rPr>
          <w:rFonts w:ascii="仿宋" w:hAnsi="仿宋" w:eastAsia="仿宋"/>
          <w:sz w:val="24"/>
          <w:szCs w:val="28"/>
          <w:u w:val="single"/>
          <w:lang w:bidi="zh-CN"/>
        </w:rPr>
        <w:t>（企业名称）</w:t>
      </w:r>
      <w:r>
        <w:rPr>
          <w:rFonts w:ascii="仿宋" w:hAnsi="仿宋" w:eastAsia="仿宋"/>
          <w:sz w:val="24"/>
          <w:szCs w:val="28"/>
          <w:lang w:bidi="zh-CN"/>
        </w:rPr>
        <w:t>，从业人员</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人，营业收入为</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万元，资产总额为</w:t>
      </w:r>
      <w:r>
        <w:rPr>
          <w:rFonts w:ascii="仿宋" w:hAnsi="仿宋" w:eastAsia="仿宋"/>
          <w:sz w:val="24"/>
          <w:szCs w:val="28"/>
          <w:u w:val="single"/>
          <w:lang w:bidi="zh-CN"/>
        </w:rPr>
        <w:t xml:space="preserve"> </w:t>
      </w:r>
      <w:r>
        <w:rPr>
          <w:rFonts w:ascii="仿宋" w:hAnsi="仿宋" w:eastAsia="仿宋"/>
          <w:sz w:val="24"/>
          <w:szCs w:val="28"/>
          <w:u w:val="single"/>
          <w:lang w:bidi="zh-CN"/>
        </w:rPr>
        <w:tab/>
      </w:r>
      <w:r>
        <w:rPr>
          <w:rFonts w:ascii="仿宋" w:hAnsi="仿宋" w:eastAsia="仿宋"/>
          <w:sz w:val="24"/>
          <w:szCs w:val="28"/>
          <w:lang w:bidi="zh-CN"/>
        </w:rPr>
        <w:t>万元，属于</w:t>
      </w:r>
      <w:r>
        <w:rPr>
          <w:rFonts w:ascii="仿宋" w:hAnsi="仿宋" w:eastAsia="仿宋"/>
          <w:sz w:val="24"/>
          <w:szCs w:val="28"/>
          <w:u w:val="single"/>
          <w:lang w:bidi="zh-CN"/>
        </w:rPr>
        <w:t>（中型企业、小型企业、微型企业）</w:t>
      </w:r>
      <w:r>
        <w:rPr>
          <w:rFonts w:ascii="仿宋" w:hAnsi="仿宋" w:eastAsia="仿宋"/>
          <w:sz w:val="24"/>
          <w:szCs w:val="28"/>
          <w:lang w:bidi="zh-CN"/>
        </w:rPr>
        <w:t>；</w:t>
      </w:r>
    </w:p>
    <w:p w14:paraId="0C8ED85D">
      <w:pPr>
        <w:snapToGrid w:val="0"/>
        <w:spacing w:line="480" w:lineRule="exact"/>
        <w:jc w:val="left"/>
        <w:outlineLvl w:val="0"/>
        <w:rPr>
          <w:rFonts w:hint="eastAsia" w:ascii="仿宋" w:hAnsi="仿宋" w:eastAsia="仿宋"/>
          <w:sz w:val="24"/>
          <w:szCs w:val="28"/>
          <w:lang w:bidi="zh-CN"/>
        </w:rPr>
      </w:pPr>
      <w:r>
        <w:rPr>
          <w:rFonts w:ascii="仿宋" w:hAnsi="仿宋" w:eastAsia="仿宋"/>
          <w:sz w:val="24"/>
          <w:szCs w:val="28"/>
          <w:lang w:bidi="zh-CN"/>
        </w:rPr>
        <w:t>……</w:t>
      </w:r>
    </w:p>
    <w:p w14:paraId="5F0F1A49">
      <w:pPr>
        <w:snapToGrid w:val="0"/>
        <w:spacing w:line="480" w:lineRule="exact"/>
        <w:ind w:firstLine="480" w:firstLineChars="200"/>
        <w:outlineLvl w:val="0"/>
        <w:rPr>
          <w:rFonts w:hint="eastAsia" w:ascii="仿宋" w:hAnsi="仿宋" w:eastAsia="仿宋"/>
          <w:sz w:val="24"/>
          <w:szCs w:val="28"/>
          <w:lang w:bidi="zh-CN"/>
        </w:rPr>
      </w:pPr>
      <w:r>
        <w:rPr>
          <w:rFonts w:ascii="仿宋" w:hAnsi="仿宋" w:eastAsia="仿宋"/>
          <w:sz w:val="24"/>
          <w:szCs w:val="28"/>
          <w:lang w:bidi="zh-CN"/>
        </w:rPr>
        <w:t>以上企业，不属于大企业的分支机构，不存在控股股东为大企业的情形，也不存在与大企业的负责人为同一人的情形。</w:t>
      </w:r>
    </w:p>
    <w:p w14:paraId="61704CB1">
      <w:pPr>
        <w:snapToGrid w:val="0"/>
        <w:spacing w:line="480" w:lineRule="exact"/>
        <w:ind w:firstLine="480" w:firstLineChars="200"/>
        <w:outlineLvl w:val="0"/>
        <w:rPr>
          <w:rFonts w:hint="eastAsia" w:ascii="仿宋" w:hAnsi="仿宋" w:eastAsia="仿宋"/>
          <w:sz w:val="24"/>
          <w:szCs w:val="28"/>
          <w:lang w:bidi="zh-CN"/>
        </w:rPr>
      </w:pPr>
      <w:r>
        <w:rPr>
          <w:rFonts w:ascii="仿宋" w:hAnsi="仿宋" w:eastAsia="仿宋"/>
          <w:sz w:val="24"/>
          <w:szCs w:val="28"/>
          <w:lang w:bidi="zh-CN"/>
        </w:rPr>
        <w:t>本企业对上述声明内容的真实性负责。如有虚假，将依法承担相应责任。</w:t>
      </w:r>
    </w:p>
    <w:p w14:paraId="2C3B0AE7">
      <w:pPr>
        <w:snapToGrid w:val="0"/>
        <w:spacing w:line="480" w:lineRule="exact"/>
        <w:outlineLvl w:val="0"/>
        <w:rPr>
          <w:rFonts w:hint="eastAsia" w:ascii="仿宋" w:hAnsi="仿宋" w:eastAsia="仿宋"/>
          <w:sz w:val="28"/>
          <w:szCs w:val="28"/>
          <w:lang w:bidi="zh-CN"/>
        </w:rPr>
      </w:pPr>
    </w:p>
    <w:p w14:paraId="701E0945">
      <w:pPr>
        <w:snapToGrid w:val="0"/>
        <w:spacing w:line="480" w:lineRule="exact"/>
        <w:outlineLvl w:val="0"/>
        <w:rPr>
          <w:rFonts w:hint="eastAsia" w:ascii="仿宋" w:hAnsi="仿宋" w:eastAsia="仿宋" w:cs="宋体"/>
          <w:szCs w:val="21"/>
          <w:lang w:bidi="zh-CN"/>
        </w:rPr>
      </w:pPr>
      <w:r>
        <w:rPr>
          <w:rFonts w:hint="eastAsia" w:ascii="仿宋" w:hAnsi="仿宋" w:eastAsia="仿宋" w:cs="宋体"/>
          <w:szCs w:val="21"/>
          <w:lang w:bidi="zh-CN"/>
        </w:rPr>
        <w:t>注：1.如项目属性为“服务”或“工程”，请按本表填写。</w:t>
      </w:r>
    </w:p>
    <w:p w14:paraId="4B56959A">
      <w:pPr>
        <w:snapToGrid w:val="0"/>
        <w:spacing w:line="480" w:lineRule="exact"/>
        <w:ind w:firstLine="420" w:firstLineChars="200"/>
        <w:outlineLvl w:val="0"/>
        <w:rPr>
          <w:rFonts w:hint="eastAsia" w:ascii="仿宋" w:hAnsi="仿宋" w:eastAsia="仿宋" w:cs="宋体"/>
          <w:szCs w:val="21"/>
          <w:lang w:bidi="zh-CN"/>
        </w:rPr>
      </w:pPr>
      <w:r>
        <w:rPr>
          <w:rFonts w:hint="eastAsia" w:ascii="仿宋" w:hAnsi="仿宋" w:eastAsia="仿宋" w:cs="宋体"/>
          <w:szCs w:val="21"/>
          <w:lang w:bidi="zh-CN"/>
        </w:rPr>
        <w:t>2.从业人员、营业收入、资产总额填报上一年度数据，无上一年度数据的新成立企业可不填报。</w:t>
      </w:r>
    </w:p>
    <w:p w14:paraId="53B60066">
      <w:pPr>
        <w:snapToGrid w:val="0"/>
        <w:spacing w:line="480" w:lineRule="exact"/>
        <w:outlineLvl w:val="0"/>
        <w:rPr>
          <w:rFonts w:hint="eastAsia" w:ascii="仿宋" w:hAnsi="仿宋" w:eastAsia="仿宋"/>
          <w:sz w:val="28"/>
          <w:szCs w:val="28"/>
          <w:lang w:bidi="zh-CN"/>
        </w:rPr>
      </w:pPr>
      <w:r>
        <w:rPr>
          <w:rFonts w:hint="eastAsia" w:ascii="仿宋" w:hAnsi="仿宋" w:eastAsia="仿宋" w:cs="宋体"/>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083A1F87">
      <w:pPr>
        <w:snapToGrid w:val="0"/>
        <w:spacing w:line="480" w:lineRule="exact"/>
        <w:contextualSpacing/>
        <w:rPr>
          <w:rFonts w:hint="eastAsia" w:ascii="仿宋" w:hAnsi="仿宋" w:eastAsia="仿宋"/>
          <w:color w:val="000000"/>
          <w:sz w:val="28"/>
          <w:szCs w:val="28"/>
        </w:rPr>
      </w:pPr>
    </w:p>
    <w:p w14:paraId="38D822AF">
      <w:pPr>
        <w:snapToGrid w:val="0"/>
        <w:spacing w:line="480" w:lineRule="exact"/>
        <w:contextualSpacing/>
        <w:rPr>
          <w:rFonts w:hint="eastAsia" w:ascii="仿宋" w:hAnsi="仿宋" w:eastAsia="仿宋"/>
          <w:color w:val="000000"/>
          <w:sz w:val="28"/>
          <w:szCs w:val="28"/>
        </w:rPr>
      </w:pPr>
    </w:p>
    <w:p w14:paraId="56B76698">
      <w:pPr>
        <w:snapToGrid w:val="0"/>
        <w:spacing w:line="480" w:lineRule="exact"/>
        <w:ind w:firstLine="4900" w:firstLineChars="1750"/>
        <w:outlineLvl w:val="0"/>
        <w:rPr>
          <w:rFonts w:hint="eastAsia" w:ascii="仿宋" w:hAnsi="仿宋" w:eastAsia="仿宋"/>
          <w:sz w:val="28"/>
          <w:szCs w:val="28"/>
          <w:lang w:bidi="zh-CN"/>
        </w:rPr>
      </w:pPr>
      <w:r>
        <w:rPr>
          <w:rFonts w:ascii="仿宋" w:hAnsi="仿宋" w:eastAsia="仿宋"/>
          <w:sz w:val="28"/>
          <w:szCs w:val="28"/>
          <w:lang w:bidi="zh-CN"/>
        </w:rPr>
        <w:t>企业名称（盖章）：</w:t>
      </w:r>
    </w:p>
    <w:p w14:paraId="54E7B8F3">
      <w:pPr>
        <w:snapToGrid w:val="0"/>
        <w:spacing w:line="480" w:lineRule="exact"/>
        <w:ind w:firstLine="4900" w:firstLineChars="1750"/>
        <w:outlineLvl w:val="0"/>
        <w:rPr>
          <w:rFonts w:hint="eastAsia" w:ascii="仿宋" w:hAnsi="仿宋" w:eastAsia="仿宋"/>
          <w:sz w:val="28"/>
          <w:szCs w:val="28"/>
          <w:lang w:bidi="zh-CN"/>
        </w:rPr>
      </w:pPr>
      <w:r>
        <w:rPr>
          <w:rFonts w:ascii="仿宋" w:hAnsi="仿宋" w:eastAsia="仿宋"/>
          <w:sz w:val="28"/>
          <w:szCs w:val="28"/>
          <w:lang w:bidi="zh-CN"/>
        </w:rPr>
        <w:t>日期：</w:t>
      </w:r>
    </w:p>
    <w:p w14:paraId="58AF130D">
      <w:pPr>
        <w:widowControl/>
        <w:spacing w:line="480" w:lineRule="exact"/>
        <w:jc w:val="left"/>
        <w:rPr>
          <w:rFonts w:hint="eastAsia" w:ascii="仿宋" w:hAnsi="仿宋" w:eastAsia="仿宋" w:cs="宋体"/>
          <w:kern w:val="0"/>
          <w:sz w:val="28"/>
          <w:szCs w:val="28"/>
        </w:rPr>
      </w:pPr>
    </w:p>
    <w:p w14:paraId="4F7AAC38">
      <w:pPr>
        <w:widowControl/>
        <w:spacing w:line="480" w:lineRule="exact"/>
        <w:jc w:val="left"/>
        <w:rPr>
          <w:rFonts w:hint="eastAsia" w:ascii="仿宋" w:hAnsi="仿宋" w:eastAsia="仿宋" w:cs="宋体"/>
          <w:kern w:val="0"/>
          <w:sz w:val="28"/>
          <w:szCs w:val="28"/>
        </w:rPr>
      </w:pPr>
      <w:r>
        <w:rPr>
          <w:rFonts w:ascii="仿宋" w:hAnsi="仿宋" w:eastAsia="仿宋" w:cs="宋体"/>
          <w:kern w:val="0"/>
          <w:sz w:val="28"/>
          <w:szCs w:val="28"/>
        </w:rPr>
        <w:t>附件</w:t>
      </w:r>
      <w:r>
        <w:rPr>
          <w:rFonts w:hint="eastAsia" w:ascii="仿宋" w:hAnsi="仿宋" w:eastAsia="仿宋" w:cs="宋体"/>
          <w:kern w:val="0"/>
          <w:sz w:val="28"/>
          <w:szCs w:val="28"/>
        </w:rPr>
        <w:t>8</w:t>
      </w:r>
    </w:p>
    <w:p w14:paraId="302DB9A9">
      <w:pPr>
        <w:spacing w:line="480" w:lineRule="exact"/>
        <w:jc w:val="center"/>
        <w:rPr>
          <w:rFonts w:hint="eastAsia" w:ascii="仿宋" w:hAnsi="仿宋" w:eastAsia="仿宋" w:cs="宋体"/>
          <w:b/>
          <w:sz w:val="30"/>
          <w:szCs w:val="30"/>
        </w:rPr>
      </w:pPr>
      <w:r>
        <w:rPr>
          <w:rFonts w:hint="eastAsia" w:ascii="仿宋" w:hAnsi="仿宋" w:eastAsia="仿宋" w:cs="宋体"/>
          <w:b/>
          <w:sz w:val="30"/>
          <w:szCs w:val="30"/>
        </w:rPr>
        <w:t>残疾人福利性单位声明函</w:t>
      </w:r>
    </w:p>
    <w:p w14:paraId="65384FA6">
      <w:pPr>
        <w:spacing w:line="480" w:lineRule="exact"/>
        <w:ind w:firstLine="480" w:firstLineChars="200"/>
        <w:rPr>
          <w:rFonts w:hint="eastAsia" w:ascii="仿宋" w:hAnsi="仿宋" w:eastAsia="仿宋"/>
          <w:sz w:val="24"/>
          <w:szCs w:val="28"/>
        </w:rPr>
      </w:pPr>
      <w:r>
        <w:rPr>
          <w:rFonts w:hint="eastAsia" w:ascii="仿宋" w:hAnsi="仿宋" w:eastAsia="仿宋"/>
          <w:sz w:val="24"/>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sz w:val="24"/>
          <w:szCs w:val="28"/>
          <w:u w:val="single"/>
        </w:rPr>
        <w:t xml:space="preserve">       </w:t>
      </w:r>
      <w:r>
        <w:rPr>
          <w:rFonts w:hint="eastAsia" w:ascii="仿宋" w:hAnsi="仿宋" w:eastAsia="仿宋"/>
          <w:sz w:val="24"/>
          <w:szCs w:val="28"/>
        </w:rPr>
        <w:t>项目采购活动提供本单位制造的货物（由本单位承担工程/提供服务），或者提供其他残疾人福利性单位制造的货物（不包括使用非残疾人福利性单位注册商标的货物）。</w:t>
      </w:r>
    </w:p>
    <w:p w14:paraId="3C54898B">
      <w:pPr>
        <w:spacing w:line="480" w:lineRule="exact"/>
        <w:ind w:firstLine="480" w:firstLineChars="200"/>
        <w:rPr>
          <w:rFonts w:hint="eastAsia" w:ascii="仿宋" w:hAnsi="仿宋" w:eastAsia="仿宋"/>
          <w:sz w:val="24"/>
          <w:szCs w:val="28"/>
        </w:rPr>
      </w:pPr>
      <w:r>
        <w:rPr>
          <w:rFonts w:hint="eastAsia" w:ascii="仿宋" w:hAnsi="仿宋" w:eastAsia="仿宋"/>
          <w:sz w:val="24"/>
          <w:szCs w:val="28"/>
        </w:rPr>
        <w:t>本单位对上述声明的真实性负责。如有虚假，将依法承担相应责任。</w:t>
      </w:r>
    </w:p>
    <w:p w14:paraId="122D651A">
      <w:pPr>
        <w:spacing w:line="480" w:lineRule="exact"/>
        <w:ind w:firstLine="480" w:firstLineChars="200"/>
        <w:rPr>
          <w:rFonts w:hint="eastAsia" w:ascii="仿宋" w:hAnsi="仿宋" w:eastAsia="仿宋"/>
          <w:sz w:val="24"/>
          <w:szCs w:val="28"/>
        </w:rPr>
      </w:pPr>
      <w:r>
        <w:rPr>
          <w:rFonts w:hint="eastAsia" w:ascii="仿宋" w:hAnsi="仿宋" w:eastAsia="仿宋"/>
          <w:sz w:val="24"/>
          <w:szCs w:val="28"/>
        </w:rPr>
        <w:t>（备注：1、供应商如不提供此声明函，价格将不做相应扣除。2、中标供应商为残疾人福利单位的，此声明函将随中标结果同时公告，接受社会监督）</w:t>
      </w:r>
    </w:p>
    <w:p w14:paraId="728C547C">
      <w:pPr>
        <w:spacing w:line="480" w:lineRule="exact"/>
        <w:ind w:firstLine="504" w:firstLineChars="200"/>
        <w:rPr>
          <w:rFonts w:hint="eastAsia" w:ascii="仿宋" w:hAnsi="仿宋" w:eastAsia="仿宋"/>
          <w:spacing w:val="6"/>
          <w:sz w:val="24"/>
          <w:szCs w:val="28"/>
        </w:rPr>
      </w:pPr>
    </w:p>
    <w:p w14:paraId="0C92022D">
      <w:pPr>
        <w:spacing w:line="480" w:lineRule="exact"/>
        <w:ind w:firstLine="504" w:firstLineChars="200"/>
        <w:rPr>
          <w:rFonts w:hint="eastAsia" w:ascii="仿宋" w:hAnsi="仿宋" w:eastAsia="仿宋"/>
          <w:spacing w:val="6"/>
          <w:sz w:val="24"/>
          <w:szCs w:val="28"/>
        </w:rPr>
      </w:pPr>
    </w:p>
    <w:p w14:paraId="586A25D4">
      <w:pPr>
        <w:snapToGrid w:val="0"/>
        <w:spacing w:line="480" w:lineRule="exact"/>
        <w:outlineLvl w:val="0"/>
        <w:rPr>
          <w:rFonts w:hint="eastAsia" w:ascii="仿宋" w:hAnsi="仿宋" w:eastAsia="仿宋" w:cs="宋体"/>
          <w:sz w:val="24"/>
          <w:szCs w:val="28"/>
          <w:lang w:bidi="zh-CN"/>
        </w:rPr>
      </w:pPr>
      <w:r>
        <w:rPr>
          <w:rFonts w:hint="eastAsia" w:ascii="仿宋" w:hAnsi="仿宋" w:eastAsia="仿宋" w:cs="宋体"/>
          <w:sz w:val="24"/>
          <w:szCs w:val="28"/>
          <w:lang w:bidi="zh-CN"/>
        </w:rPr>
        <w:t>注：1、供应商如不提供此声明函，价格将不做相应扣除。</w:t>
      </w:r>
    </w:p>
    <w:p w14:paraId="7B3A19AB">
      <w:pPr>
        <w:spacing w:line="480" w:lineRule="exact"/>
        <w:ind w:firstLine="480" w:firstLineChars="200"/>
        <w:rPr>
          <w:rFonts w:hint="eastAsia" w:ascii="仿宋" w:hAnsi="仿宋" w:eastAsia="仿宋"/>
          <w:spacing w:val="6"/>
          <w:sz w:val="24"/>
          <w:szCs w:val="28"/>
        </w:rPr>
      </w:pPr>
      <w:r>
        <w:rPr>
          <w:rFonts w:hint="eastAsia" w:ascii="仿宋" w:hAnsi="仿宋" w:eastAsia="仿宋" w:cs="宋体"/>
          <w:sz w:val="24"/>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EF7A549">
      <w:pPr>
        <w:spacing w:line="480" w:lineRule="exact"/>
        <w:ind w:firstLine="504" w:firstLineChars="200"/>
        <w:rPr>
          <w:rFonts w:hint="eastAsia" w:ascii="仿宋" w:hAnsi="仿宋" w:eastAsia="仿宋"/>
          <w:spacing w:val="6"/>
          <w:sz w:val="24"/>
          <w:szCs w:val="28"/>
        </w:rPr>
      </w:pPr>
    </w:p>
    <w:p w14:paraId="7D8CDE92">
      <w:pPr>
        <w:tabs>
          <w:tab w:val="left" w:pos="4860"/>
        </w:tabs>
        <w:spacing w:line="480" w:lineRule="exact"/>
        <w:ind w:right="1560" w:firstLine="504" w:firstLineChars="200"/>
        <w:jc w:val="center"/>
        <w:rPr>
          <w:rFonts w:hint="eastAsia" w:ascii="仿宋" w:hAnsi="仿宋" w:eastAsia="仿宋"/>
          <w:sz w:val="24"/>
          <w:szCs w:val="28"/>
        </w:rPr>
      </w:pPr>
      <w:r>
        <w:rPr>
          <w:rFonts w:hint="eastAsia" w:ascii="仿宋" w:hAnsi="仿宋" w:eastAsia="仿宋"/>
          <w:spacing w:val="6"/>
          <w:sz w:val="24"/>
          <w:szCs w:val="28"/>
        </w:rPr>
        <w:t xml:space="preserve">             </w:t>
      </w:r>
      <w:r>
        <w:rPr>
          <w:rFonts w:hint="eastAsia" w:ascii="仿宋" w:hAnsi="仿宋" w:eastAsia="仿宋"/>
          <w:sz w:val="24"/>
          <w:szCs w:val="28"/>
        </w:rPr>
        <w:t xml:space="preserve">           供应商全称（盖章）：</w:t>
      </w:r>
    </w:p>
    <w:p w14:paraId="20438D63">
      <w:pPr>
        <w:tabs>
          <w:tab w:val="left" w:pos="4860"/>
        </w:tabs>
        <w:spacing w:line="480" w:lineRule="exact"/>
        <w:ind w:right="1560" w:firstLine="480" w:firstLineChars="200"/>
        <w:jc w:val="center"/>
        <w:rPr>
          <w:rFonts w:hint="eastAsia" w:ascii="仿宋" w:hAnsi="仿宋" w:eastAsia="仿宋"/>
          <w:sz w:val="24"/>
          <w:szCs w:val="28"/>
        </w:rPr>
      </w:pPr>
      <w:r>
        <w:rPr>
          <w:rFonts w:hint="eastAsia" w:ascii="仿宋" w:hAnsi="仿宋" w:eastAsia="仿宋"/>
          <w:sz w:val="24"/>
          <w:szCs w:val="28"/>
        </w:rPr>
        <w:t xml:space="preserve">              日  期：</w:t>
      </w:r>
    </w:p>
    <w:p w14:paraId="5A93DCAA">
      <w:pPr>
        <w:spacing w:line="480" w:lineRule="exact"/>
        <w:ind w:firstLine="420"/>
        <w:rPr>
          <w:rFonts w:hint="eastAsia" w:ascii="仿宋" w:hAnsi="仿宋" w:eastAsia="仿宋"/>
          <w:sz w:val="28"/>
          <w:szCs w:val="28"/>
        </w:rPr>
      </w:pPr>
    </w:p>
    <w:p w14:paraId="75854D75">
      <w:pPr>
        <w:snapToGrid w:val="0"/>
        <w:spacing w:line="480" w:lineRule="exact"/>
        <w:contextualSpacing/>
        <w:rPr>
          <w:rFonts w:hint="eastAsia" w:ascii="仿宋" w:hAnsi="仿宋" w:eastAsia="仿宋"/>
          <w:color w:val="000000"/>
          <w:sz w:val="28"/>
          <w:szCs w:val="28"/>
        </w:rPr>
      </w:pPr>
    </w:p>
    <w:p w14:paraId="15F96A55">
      <w:pPr>
        <w:snapToGrid w:val="0"/>
        <w:spacing w:line="480" w:lineRule="exact"/>
        <w:contextualSpacing/>
        <w:rPr>
          <w:rFonts w:hint="eastAsia" w:ascii="仿宋" w:hAnsi="仿宋" w:eastAsia="仿宋"/>
          <w:color w:val="000000"/>
          <w:sz w:val="28"/>
          <w:szCs w:val="28"/>
        </w:rPr>
      </w:pPr>
    </w:p>
    <w:p w14:paraId="1C70F6DA">
      <w:pPr>
        <w:widowControl/>
        <w:spacing w:line="480" w:lineRule="exact"/>
        <w:jc w:val="left"/>
        <w:rPr>
          <w:rFonts w:hint="eastAsia" w:ascii="仿宋" w:hAnsi="仿宋" w:eastAsia="仿宋" w:cs="宋体"/>
          <w:kern w:val="0"/>
          <w:sz w:val="28"/>
          <w:szCs w:val="28"/>
        </w:rPr>
      </w:pPr>
    </w:p>
    <w:p w14:paraId="34BAD6F9">
      <w:pPr>
        <w:widowControl/>
        <w:spacing w:line="480" w:lineRule="exact"/>
        <w:jc w:val="left"/>
        <w:rPr>
          <w:rFonts w:hint="eastAsia" w:ascii="仿宋" w:hAnsi="仿宋" w:eastAsia="仿宋" w:cs="宋体"/>
          <w:kern w:val="0"/>
          <w:sz w:val="28"/>
          <w:szCs w:val="28"/>
        </w:rPr>
      </w:pPr>
    </w:p>
    <w:p w14:paraId="7ED5D6C2">
      <w:pPr>
        <w:widowControl/>
        <w:spacing w:line="480" w:lineRule="exact"/>
        <w:jc w:val="left"/>
        <w:rPr>
          <w:rFonts w:hint="eastAsia" w:ascii="仿宋" w:hAnsi="仿宋" w:eastAsia="仿宋" w:cs="宋体"/>
          <w:kern w:val="0"/>
          <w:sz w:val="28"/>
          <w:szCs w:val="28"/>
        </w:rPr>
      </w:pPr>
    </w:p>
    <w:p w14:paraId="6C9CDB8B">
      <w:pPr>
        <w:widowControl/>
        <w:spacing w:line="480" w:lineRule="exact"/>
        <w:jc w:val="left"/>
        <w:rPr>
          <w:rFonts w:hint="eastAsia" w:ascii="仿宋" w:hAnsi="仿宋" w:eastAsia="仿宋" w:cs="宋体"/>
          <w:kern w:val="0"/>
          <w:sz w:val="28"/>
          <w:szCs w:val="28"/>
        </w:rPr>
      </w:pPr>
    </w:p>
    <w:p w14:paraId="589F4221">
      <w:pPr>
        <w:widowControl/>
        <w:spacing w:line="480" w:lineRule="exact"/>
        <w:jc w:val="left"/>
        <w:rPr>
          <w:rFonts w:hint="eastAsia" w:ascii="仿宋" w:hAnsi="仿宋" w:eastAsia="仿宋" w:cs="宋体"/>
          <w:kern w:val="0"/>
          <w:sz w:val="28"/>
          <w:szCs w:val="28"/>
        </w:rPr>
      </w:pPr>
    </w:p>
    <w:p w14:paraId="70B8D5B6">
      <w:pPr>
        <w:widowControl/>
        <w:spacing w:line="480" w:lineRule="exact"/>
        <w:jc w:val="left"/>
        <w:rPr>
          <w:rFonts w:hint="eastAsia" w:ascii="仿宋" w:hAnsi="仿宋" w:eastAsia="仿宋" w:cs="宋体"/>
          <w:kern w:val="0"/>
          <w:sz w:val="28"/>
          <w:szCs w:val="28"/>
        </w:rPr>
      </w:pPr>
    </w:p>
    <w:p w14:paraId="7DEB8C44">
      <w:pPr>
        <w:widowControl/>
        <w:spacing w:line="480" w:lineRule="exact"/>
        <w:jc w:val="left"/>
        <w:rPr>
          <w:rFonts w:hint="eastAsia" w:ascii="仿宋" w:hAnsi="仿宋" w:eastAsia="仿宋" w:cs="宋体"/>
          <w:kern w:val="0"/>
          <w:sz w:val="28"/>
          <w:szCs w:val="28"/>
        </w:rPr>
      </w:pPr>
    </w:p>
    <w:p w14:paraId="5071154C">
      <w:pPr>
        <w:widowControl/>
        <w:spacing w:line="480" w:lineRule="exact"/>
        <w:jc w:val="left"/>
        <w:rPr>
          <w:rFonts w:hint="eastAsia" w:ascii="仿宋" w:hAnsi="仿宋" w:eastAsia="仿宋" w:cs="宋体"/>
          <w:kern w:val="0"/>
          <w:sz w:val="28"/>
          <w:szCs w:val="28"/>
        </w:rPr>
      </w:pPr>
      <w:r>
        <w:rPr>
          <w:rFonts w:ascii="仿宋" w:hAnsi="仿宋" w:eastAsia="仿宋" w:cs="宋体"/>
          <w:kern w:val="0"/>
          <w:sz w:val="28"/>
          <w:szCs w:val="28"/>
        </w:rPr>
        <w:t>附件</w:t>
      </w:r>
      <w:r>
        <w:rPr>
          <w:rFonts w:hint="eastAsia" w:ascii="仿宋" w:hAnsi="仿宋" w:eastAsia="仿宋" w:cs="宋体"/>
          <w:kern w:val="0"/>
          <w:sz w:val="28"/>
          <w:szCs w:val="28"/>
        </w:rPr>
        <w:t>9</w:t>
      </w:r>
    </w:p>
    <w:p w14:paraId="1D4AE38C">
      <w:pPr>
        <w:snapToGrid w:val="0"/>
        <w:spacing w:line="480" w:lineRule="exact"/>
        <w:jc w:val="center"/>
        <w:outlineLvl w:val="3"/>
        <w:rPr>
          <w:rFonts w:hint="eastAsia" w:ascii="仿宋" w:hAnsi="仿宋" w:eastAsia="仿宋" w:cs="宋体"/>
          <w:b/>
          <w:sz w:val="30"/>
          <w:szCs w:val="30"/>
        </w:rPr>
      </w:pPr>
      <w:r>
        <w:rPr>
          <w:rFonts w:hint="eastAsia" w:ascii="仿宋" w:hAnsi="仿宋" w:eastAsia="仿宋" w:cs="宋体"/>
          <w:b/>
          <w:sz w:val="30"/>
          <w:szCs w:val="30"/>
        </w:rPr>
        <w:t>监狱和戒毒企业证明材料</w:t>
      </w:r>
    </w:p>
    <w:p w14:paraId="5D082AA7">
      <w:pPr>
        <w:snapToGrid w:val="0"/>
        <w:spacing w:line="480" w:lineRule="exact"/>
        <w:ind w:firstLine="495" w:firstLineChars="177"/>
        <w:rPr>
          <w:rFonts w:hint="eastAsia" w:ascii="仿宋" w:hAnsi="仿宋" w:eastAsia="仿宋" w:cs="宋体"/>
          <w:sz w:val="28"/>
          <w:szCs w:val="28"/>
        </w:rPr>
      </w:pPr>
    </w:p>
    <w:p w14:paraId="1D593CBC">
      <w:pPr>
        <w:snapToGrid w:val="0"/>
        <w:spacing w:line="480" w:lineRule="exact"/>
        <w:ind w:firstLine="426" w:firstLineChars="177"/>
        <w:rPr>
          <w:rFonts w:hint="eastAsia" w:ascii="仿宋" w:hAnsi="仿宋" w:eastAsia="仿宋" w:cs="宋体"/>
          <w:b/>
          <w:sz w:val="24"/>
          <w:szCs w:val="28"/>
        </w:rPr>
      </w:pPr>
      <w:r>
        <w:rPr>
          <w:rFonts w:hint="eastAsia" w:ascii="仿宋" w:hAnsi="仿宋" w:eastAsia="仿宋" w:cs="宋体"/>
          <w:b/>
          <w:sz w:val="24"/>
          <w:szCs w:val="28"/>
        </w:rPr>
        <w:t>（格式自拟）</w:t>
      </w:r>
    </w:p>
    <w:p w14:paraId="037BB9A3">
      <w:pPr>
        <w:snapToGrid w:val="0"/>
        <w:spacing w:line="480" w:lineRule="exact"/>
        <w:ind w:firstLine="424" w:firstLineChars="177"/>
        <w:rPr>
          <w:rFonts w:hint="eastAsia" w:ascii="仿宋" w:hAnsi="仿宋" w:eastAsia="仿宋" w:cs="宋体"/>
          <w:sz w:val="24"/>
          <w:szCs w:val="28"/>
        </w:rPr>
      </w:pPr>
    </w:p>
    <w:p w14:paraId="3C8D64AD">
      <w:pPr>
        <w:snapToGrid w:val="0"/>
        <w:spacing w:line="480" w:lineRule="exact"/>
        <w:ind w:firstLine="566" w:firstLineChars="236"/>
        <w:rPr>
          <w:rFonts w:hint="eastAsia" w:ascii="仿宋" w:hAnsi="仿宋" w:eastAsia="仿宋" w:cs="宋体"/>
          <w:sz w:val="24"/>
          <w:szCs w:val="28"/>
        </w:rPr>
      </w:pPr>
      <w:r>
        <w:rPr>
          <w:rFonts w:hint="eastAsia" w:ascii="仿宋" w:hAnsi="仿宋" w:eastAsia="仿宋" w:cs="宋体"/>
          <w:sz w:val="24"/>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75C1F1C">
      <w:pPr>
        <w:snapToGrid w:val="0"/>
        <w:spacing w:line="480" w:lineRule="exact"/>
        <w:contextualSpacing/>
        <w:rPr>
          <w:rFonts w:hint="eastAsia" w:ascii="仿宋" w:hAnsi="仿宋" w:eastAsia="仿宋"/>
          <w:color w:val="000000"/>
          <w:sz w:val="28"/>
          <w:szCs w:val="28"/>
        </w:rPr>
      </w:pPr>
    </w:p>
    <w:p w14:paraId="44223BFB">
      <w:pPr>
        <w:snapToGrid w:val="0"/>
        <w:spacing w:line="480" w:lineRule="exact"/>
        <w:outlineLvl w:val="0"/>
        <w:rPr>
          <w:rFonts w:hint="eastAsia" w:ascii="仿宋" w:hAnsi="仿宋" w:eastAsia="仿宋" w:cs="宋体"/>
          <w:sz w:val="24"/>
          <w:szCs w:val="28"/>
          <w:lang w:bidi="zh-CN"/>
        </w:rPr>
      </w:pPr>
      <w:r>
        <w:rPr>
          <w:rFonts w:hint="eastAsia" w:ascii="仿宋" w:hAnsi="仿宋" w:eastAsia="仿宋" w:cs="宋体"/>
          <w:sz w:val="24"/>
          <w:szCs w:val="28"/>
          <w:lang w:bidi="zh-CN"/>
        </w:rPr>
        <w:t>注：1、供应商如不提供此声明函，价格将不做相应扣除。</w:t>
      </w:r>
    </w:p>
    <w:p w14:paraId="7063D89C">
      <w:pPr>
        <w:snapToGrid w:val="0"/>
        <w:spacing w:line="480" w:lineRule="exact"/>
        <w:ind w:firstLine="480" w:firstLineChars="200"/>
        <w:outlineLvl w:val="0"/>
        <w:rPr>
          <w:rFonts w:hint="eastAsia" w:ascii="仿宋" w:hAnsi="仿宋" w:eastAsia="仿宋"/>
          <w:sz w:val="24"/>
          <w:szCs w:val="28"/>
        </w:rPr>
      </w:pPr>
      <w:r>
        <w:rPr>
          <w:rFonts w:hint="eastAsia" w:ascii="仿宋" w:hAnsi="仿宋" w:eastAsia="仿宋" w:cs="宋体"/>
          <w:sz w:val="24"/>
          <w:szCs w:val="28"/>
          <w:lang w:bidi="zh-CN"/>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4179BD00">
      <w:pPr>
        <w:snapToGrid w:val="0"/>
        <w:spacing w:line="480" w:lineRule="exact"/>
        <w:outlineLvl w:val="0"/>
        <w:rPr>
          <w:rFonts w:hint="eastAsia" w:ascii="仿宋" w:hAnsi="仿宋" w:eastAsia="仿宋"/>
          <w:sz w:val="24"/>
          <w:szCs w:val="28"/>
        </w:rPr>
      </w:pPr>
    </w:p>
    <w:p w14:paraId="76548B3A">
      <w:pPr>
        <w:snapToGrid w:val="0"/>
        <w:spacing w:line="480" w:lineRule="exact"/>
        <w:outlineLvl w:val="0"/>
        <w:rPr>
          <w:rFonts w:hint="eastAsia" w:ascii="仿宋" w:hAnsi="仿宋" w:eastAsia="仿宋"/>
          <w:sz w:val="28"/>
          <w:szCs w:val="28"/>
        </w:rPr>
      </w:pPr>
    </w:p>
    <w:p w14:paraId="246E354B">
      <w:pPr>
        <w:snapToGrid w:val="0"/>
        <w:spacing w:line="480" w:lineRule="exact"/>
        <w:outlineLvl w:val="0"/>
        <w:rPr>
          <w:rFonts w:hint="eastAsia" w:ascii="仿宋" w:hAnsi="仿宋" w:eastAsia="仿宋"/>
          <w:sz w:val="28"/>
          <w:szCs w:val="28"/>
        </w:rPr>
      </w:pPr>
    </w:p>
    <w:p w14:paraId="32FF5696">
      <w:pPr>
        <w:snapToGrid w:val="0"/>
        <w:spacing w:line="480" w:lineRule="exact"/>
        <w:outlineLvl w:val="0"/>
        <w:rPr>
          <w:rFonts w:hint="eastAsia" w:ascii="仿宋" w:hAnsi="仿宋" w:eastAsia="仿宋"/>
          <w:sz w:val="28"/>
          <w:szCs w:val="28"/>
        </w:rPr>
      </w:pPr>
    </w:p>
    <w:p w14:paraId="08A99841">
      <w:pPr>
        <w:snapToGrid w:val="0"/>
        <w:spacing w:line="480" w:lineRule="exact"/>
        <w:outlineLvl w:val="0"/>
        <w:rPr>
          <w:rFonts w:hint="eastAsia" w:ascii="仿宋" w:hAnsi="仿宋" w:eastAsia="仿宋"/>
          <w:sz w:val="28"/>
          <w:szCs w:val="28"/>
        </w:rPr>
      </w:pPr>
    </w:p>
    <w:p w14:paraId="6D42AE55">
      <w:pPr>
        <w:snapToGrid w:val="0"/>
        <w:spacing w:line="480" w:lineRule="exact"/>
        <w:outlineLvl w:val="0"/>
        <w:rPr>
          <w:rFonts w:hint="eastAsia" w:ascii="仿宋" w:hAnsi="仿宋" w:eastAsia="仿宋"/>
          <w:sz w:val="28"/>
          <w:szCs w:val="28"/>
        </w:rPr>
      </w:pPr>
    </w:p>
    <w:p w14:paraId="3226DFFA">
      <w:pPr>
        <w:snapToGrid w:val="0"/>
        <w:spacing w:line="480" w:lineRule="exact"/>
        <w:outlineLvl w:val="0"/>
        <w:rPr>
          <w:rFonts w:hint="eastAsia" w:ascii="仿宋" w:hAnsi="仿宋" w:eastAsia="仿宋"/>
          <w:sz w:val="28"/>
          <w:szCs w:val="28"/>
        </w:rPr>
      </w:pPr>
    </w:p>
    <w:p w14:paraId="186B3F48">
      <w:pPr>
        <w:snapToGrid w:val="0"/>
        <w:spacing w:line="480" w:lineRule="exact"/>
        <w:outlineLvl w:val="0"/>
        <w:rPr>
          <w:rFonts w:hint="eastAsia" w:ascii="仿宋" w:hAnsi="仿宋" w:eastAsia="仿宋"/>
          <w:sz w:val="28"/>
          <w:szCs w:val="28"/>
        </w:rPr>
      </w:pPr>
    </w:p>
    <w:p w14:paraId="65676F3E">
      <w:pPr>
        <w:snapToGrid w:val="0"/>
        <w:spacing w:line="480" w:lineRule="exact"/>
        <w:outlineLvl w:val="0"/>
        <w:rPr>
          <w:rFonts w:hint="eastAsia" w:ascii="仿宋" w:hAnsi="仿宋" w:eastAsia="仿宋"/>
          <w:sz w:val="28"/>
          <w:szCs w:val="28"/>
        </w:rPr>
      </w:pPr>
    </w:p>
    <w:p w14:paraId="4C237F4E">
      <w:pPr>
        <w:snapToGrid w:val="0"/>
        <w:spacing w:line="480" w:lineRule="exact"/>
        <w:outlineLvl w:val="0"/>
        <w:rPr>
          <w:rFonts w:hint="eastAsia" w:ascii="仿宋" w:hAnsi="仿宋" w:eastAsia="仿宋"/>
          <w:sz w:val="28"/>
          <w:szCs w:val="28"/>
        </w:rPr>
      </w:pPr>
    </w:p>
    <w:p w14:paraId="08D7AEC1">
      <w:pPr>
        <w:snapToGrid w:val="0"/>
        <w:spacing w:line="480" w:lineRule="exact"/>
        <w:outlineLvl w:val="0"/>
        <w:rPr>
          <w:rFonts w:hint="eastAsia" w:ascii="仿宋" w:hAnsi="仿宋" w:eastAsia="仿宋"/>
          <w:sz w:val="28"/>
          <w:szCs w:val="28"/>
        </w:rPr>
      </w:pPr>
    </w:p>
    <w:p w14:paraId="5557C64D">
      <w:pPr>
        <w:snapToGrid w:val="0"/>
        <w:spacing w:line="480" w:lineRule="exact"/>
        <w:outlineLvl w:val="0"/>
        <w:rPr>
          <w:rFonts w:hint="eastAsia" w:ascii="仿宋" w:hAnsi="仿宋" w:eastAsia="仿宋"/>
          <w:sz w:val="28"/>
          <w:szCs w:val="28"/>
        </w:rPr>
      </w:pPr>
    </w:p>
    <w:p w14:paraId="235F6DE9">
      <w:pPr>
        <w:snapToGrid w:val="0"/>
        <w:spacing w:line="480" w:lineRule="exact"/>
        <w:outlineLvl w:val="0"/>
        <w:rPr>
          <w:rFonts w:hint="eastAsia" w:ascii="仿宋" w:hAnsi="仿宋" w:eastAsia="仿宋"/>
          <w:sz w:val="28"/>
          <w:szCs w:val="28"/>
        </w:rPr>
      </w:pPr>
    </w:p>
    <w:p w14:paraId="1F0859BD">
      <w:pPr>
        <w:snapToGrid w:val="0"/>
        <w:spacing w:line="480" w:lineRule="exact"/>
        <w:outlineLvl w:val="0"/>
        <w:rPr>
          <w:rFonts w:hint="eastAsia" w:ascii="仿宋" w:hAnsi="仿宋" w:eastAsia="仿宋"/>
          <w:sz w:val="28"/>
          <w:szCs w:val="28"/>
        </w:rPr>
      </w:pPr>
    </w:p>
    <w:p w14:paraId="1E677630">
      <w:pPr>
        <w:snapToGrid w:val="0"/>
        <w:spacing w:line="480" w:lineRule="exact"/>
        <w:outlineLvl w:val="0"/>
        <w:rPr>
          <w:rFonts w:hint="eastAsia" w:ascii="仿宋" w:hAnsi="仿宋" w:eastAsia="仿宋"/>
          <w:sz w:val="28"/>
          <w:szCs w:val="28"/>
        </w:rPr>
      </w:pPr>
    </w:p>
    <w:p w14:paraId="022DD0B4">
      <w:pPr>
        <w:snapToGrid w:val="0"/>
        <w:spacing w:line="480" w:lineRule="exact"/>
        <w:outlineLvl w:val="0"/>
        <w:rPr>
          <w:rFonts w:hint="eastAsia" w:ascii="仿宋" w:hAnsi="仿宋" w:eastAsia="仿宋"/>
          <w:sz w:val="28"/>
          <w:szCs w:val="28"/>
        </w:rPr>
      </w:pPr>
    </w:p>
    <w:p w14:paraId="32AC44E3">
      <w:pPr>
        <w:widowControl/>
        <w:spacing w:line="480" w:lineRule="exact"/>
        <w:jc w:val="left"/>
        <w:rPr>
          <w:rFonts w:hint="eastAsia" w:ascii="仿宋" w:hAnsi="仿宋" w:eastAsia="仿宋" w:cs="宋体"/>
          <w:kern w:val="0"/>
          <w:sz w:val="28"/>
          <w:szCs w:val="28"/>
        </w:rPr>
      </w:pPr>
      <w:r>
        <w:rPr>
          <w:rFonts w:ascii="仿宋" w:hAnsi="仿宋" w:eastAsia="仿宋" w:cs="宋体"/>
          <w:kern w:val="0"/>
          <w:sz w:val="28"/>
          <w:szCs w:val="28"/>
        </w:rPr>
        <w:t>附件1</w:t>
      </w:r>
      <w:r>
        <w:rPr>
          <w:rFonts w:hint="eastAsia" w:ascii="仿宋" w:hAnsi="仿宋" w:eastAsia="仿宋" w:cs="宋体"/>
          <w:kern w:val="0"/>
          <w:sz w:val="28"/>
          <w:szCs w:val="28"/>
        </w:rPr>
        <w:t>0</w:t>
      </w:r>
    </w:p>
    <w:p w14:paraId="15DB747D">
      <w:pPr>
        <w:spacing w:before="240" w:line="480" w:lineRule="exact"/>
        <w:jc w:val="center"/>
        <w:rPr>
          <w:rFonts w:hint="eastAsia" w:ascii="仿宋" w:hAnsi="仿宋" w:eastAsia="仿宋" w:cs="宋体"/>
          <w:b/>
          <w:sz w:val="30"/>
          <w:szCs w:val="30"/>
        </w:rPr>
      </w:pPr>
      <w:r>
        <w:rPr>
          <w:rFonts w:hint="eastAsia" w:ascii="仿宋" w:hAnsi="仿宋" w:eastAsia="仿宋" w:cs="宋体"/>
          <w:b/>
          <w:sz w:val="30"/>
          <w:szCs w:val="30"/>
        </w:rPr>
        <w:t>供应商信用承诺书</w:t>
      </w:r>
    </w:p>
    <w:p w14:paraId="1F10967C">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为营造公开、公平、公正的公共资源交易环境，树立诚信守法的投标人形象，本人代表本单位作出以下承诺：</w:t>
      </w:r>
    </w:p>
    <w:p w14:paraId="5A69D9EE">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一、本单位对所提交的单位基本信息、单位负责人、项目负责人、技术负责人、从业资质和资格、业绩、财务状况、信誉等所有资料，均合法、真实、准确、有效，无任何伪造、修改、虚假成分；</w:t>
      </w:r>
    </w:p>
    <w:p w14:paraId="29DA52DC">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二、严格依照国家和省、市、县关于政府采购等方面的法律、法规、规章、规范性文件，参加公共资源交易招标投标活动；积极履行社会责任，促进廉政建设；</w:t>
      </w:r>
    </w:p>
    <w:p w14:paraId="37A97BC4">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三、严格遵守即时信息公示规定，及时更新公共资源交易中心主体信息库中信息；</w:t>
      </w:r>
    </w:p>
    <w:p w14:paraId="7BFDF0BB">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四、自我约束、自我管理，守合同、重信用，不参与围标串标、弄虚作假、骗取中标、干扰评标、违约毁约、恶意投诉等行为，主动维护公共资源交易招标投标的良好秩序；</w:t>
      </w:r>
    </w:p>
    <w:p w14:paraId="580930AA">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739CD7F9">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六、自觉接受政府部门、行业组织、社会公众、新闻舆论等监督；</w:t>
      </w:r>
    </w:p>
    <w:p w14:paraId="63167313">
      <w:pPr>
        <w:spacing w:line="48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七、上述承诺已向本单位员工作了宣传教育；</w:t>
      </w:r>
    </w:p>
    <w:p w14:paraId="6F499769">
      <w:pPr>
        <w:spacing w:line="480" w:lineRule="exact"/>
        <w:ind w:firstLine="482" w:firstLineChars="200"/>
        <w:rPr>
          <w:rFonts w:hint="eastAsia" w:ascii="仿宋" w:hAnsi="仿宋" w:eastAsia="仿宋" w:cs="宋体"/>
          <w:b/>
          <w:kern w:val="0"/>
          <w:sz w:val="24"/>
          <w:lang w:val="zh-CN"/>
        </w:rPr>
      </w:pPr>
      <w:r>
        <w:rPr>
          <w:rFonts w:hint="eastAsia" w:ascii="仿宋" w:hAnsi="仿宋" w:eastAsia="仿宋" w:cs="宋体"/>
          <w:b/>
          <w:kern w:val="0"/>
          <w:sz w:val="24"/>
          <w:lang w:val="zh-CN"/>
        </w:rPr>
        <w:t>如有违反上述承诺的不良行为，本单位同意将其予以上网公示。</w:t>
      </w:r>
    </w:p>
    <w:p w14:paraId="75428C7B">
      <w:pPr>
        <w:spacing w:line="480" w:lineRule="exact"/>
        <w:rPr>
          <w:rFonts w:hint="eastAsia" w:ascii="仿宋" w:hAnsi="仿宋" w:eastAsia="仿宋" w:cs="宋体"/>
          <w:kern w:val="0"/>
          <w:sz w:val="24"/>
          <w:lang w:val="zh-CN"/>
        </w:rPr>
      </w:pPr>
    </w:p>
    <w:p w14:paraId="151435E9">
      <w:pPr>
        <w:spacing w:line="480" w:lineRule="exact"/>
        <w:ind w:firstLine="4560" w:firstLineChars="1900"/>
        <w:rPr>
          <w:rFonts w:hint="eastAsia" w:ascii="仿宋" w:hAnsi="仿宋" w:eastAsia="仿宋" w:cs="宋体"/>
          <w:kern w:val="0"/>
          <w:sz w:val="24"/>
          <w:lang w:val="zh-CN"/>
        </w:rPr>
      </w:pPr>
    </w:p>
    <w:p w14:paraId="4364DC6C">
      <w:pPr>
        <w:spacing w:line="480" w:lineRule="exact"/>
        <w:ind w:firstLine="2640" w:firstLineChars="1100"/>
        <w:rPr>
          <w:rFonts w:hint="eastAsia" w:ascii="仿宋" w:hAnsi="仿宋" w:eastAsia="仿宋" w:cs="宋体"/>
          <w:kern w:val="0"/>
          <w:sz w:val="24"/>
          <w:szCs w:val="28"/>
          <w:u w:val="single"/>
          <w:lang w:val="zh-CN"/>
        </w:rPr>
      </w:pPr>
      <w:r>
        <w:rPr>
          <w:rFonts w:hint="eastAsia" w:ascii="仿宋" w:hAnsi="仿宋" w:eastAsia="仿宋" w:cs="宋体"/>
          <w:kern w:val="0"/>
          <w:sz w:val="24"/>
          <w:szCs w:val="28"/>
          <w:lang w:val="zh-CN"/>
        </w:rPr>
        <w:t>投标供应商全称(盖公章)：</w:t>
      </w:r>
    </w:p>
    <w:p w14:paraId="0F68FE98">
      <w:pPr>
        <w:spacing w:line="480" w:lineRule="exact"/>
        <w:ind w:firstLine="2640" w:firstLineChars="1100"/>
        <w:rPr>
          <w:rFonts w:hint="eastAsia" w:ascii="仿宋" w:hAnsi="仿宋" w:eastAsia="仿宋" w:cs="宋体"/>
          <w:sz w:val="24"/>
          <w:szCs w:val="28"/>
          <w:u w:val="single"/>
          <w:lang w:val="zh-CN"/>
        </w:rPr>
      </w:pPr>
      <w:r>
        <w:rPr>
          <w:rFonts w:hint="eastAsia" w:ascii="仿宋" w:hAnsi="仿宋" w:eastAsia="仿宋" w:cs="宋体"/>
          <w:kern w:val="0"/>
          <w:sz w:val="24"/>
          <w:szCs w:val="28"/>
          <w:lang w:val="zh-CN"/>
        </w:rPr>
        <w:t>法定代表人（签字或盖章）：</w:t>
      </w:r>
    </w:p>
    <w:p w14:paraId="49FBBB26">
      <w:pPr>
        <w:spacing w:line="480" w:lineRule="exact"/>
        <w:ind w:firstLine="2640" w:firstLineChars="1100"/>
        <w:rPr>
          <w:rFonts w:hint="eastAsia" w:ascii="仿宋" w:hAnsi="仿宋" w:eastAsia="仿宋" w:cs="宋体"/>
          <w:kern w:val="0"/>
          <w:sz w:val="24"/>
          <w:szCs w:val="28"/>
          <w:lang w:val="zh-CN"/>
        </w:rPr>
      </w:pPr>
      <w:r>
        <w:rPr>
          <w:rFonts w:hint="eastAsia" w:ascii="仿宋" w:hAnsi="仿宋" w:eastAsia="仿宋" w:cs="宋体"/>
          <w:kern w:val="0"/>
          <w:sz w:val="24"/>
          <w:szCs w:val="28"/>
          <w:lang w:val="zh-CN"/>
        </w:rPr>
        <w:t>时间：  年  月   日</w:t>
      </w:r>
    </w:p>
    <w:p w14:paraId="594787E8">
      <w:pPr>
        <w:snapToGrid w:val="0"/>
        <w:spacing w:line="480" w:lineRule="exact"/>
        <w:outlineLvl w:val="0"/>
        <w:rPr>
          <w:rFonts w:hint="eastAsia" w:ascii="仿宋" w:hAnsi="仿宋" w:eastAsia="仿宋"/>
          <w:sz w:val="28"/>
          <w:szCs w:val="28"/>
        </w:rPr>
      </w:pPr>
    </w:p>
    <w:p w14:paraId="2835A6B9">
      <w:pPr>
        <w:snapToGrid w:val="0"/>
        <w:spacing w:line="480" w:lineRule="exact"/>
        <w:outlineLvl w:val="0"/>
        <w:rPr>
          <w:rFonts w:hint="eastAsia" w:ascii="仿宋" w:hAnsi="仿宋" w:eastAsia="仿宋"/>
          <w:sz w:val="28"/>
          <w:szCs w:val="28"/>
        </w:rPr>
      </w:pPr>
    </w:p>
    <w:p w14:paraId="2D49E013">
      <w:pPr>
        <w:snapToGrid w:val="0"/>
        <w:spacing w:line="480" w:lineRule="exact"/>
        <w:outlineLvl w:val="0"/>
        <w:rPr>
          <w:rFonts w:hint="eastAsia" w:ascii="仿宋" w:hAnsi="仿宋" w:eastAsia="仿宋"/>
          <w:sz w:val="32"/>
          <w:szCs w:val="32"/>
        </w:rPr>
      </w:pPr>
    </w:p>
    <w:p w14:paraId="0625FCB7">
      <w:pPr>
        <w:widowControl/>
        <w:spacing w:line="480" w:lineRule="exact"/>
        <w:jc w:val="left"/>
        <w:rPr>
          <w:rFonts w:hint="eastAsia" w:ascii="仿宋" w:hAnsi="仿宋" w:eastAsia="仿宋" w:cs="宋体"/>
          <w:kern w:val="0"/>
          <w:sz w:val="28"/>
          <w:szCs w:val="28"/>
        </w:rPr>
      </w:pPr>
    </w:p>
    <w:p w14:paraId="7A5CBAB7">
      <w:pPr>
        <w:widowControl/>
        <w:spacing w:line="480" w:lineRule="exact"/>
        <w:jc w:val="left"/>
        <w:rPr>
          <w:rFonts w:hint="eastAsia" w:ascii="仿宋" w:hAnsi="仿宋" w:eastAsia="仿宋" w:cs="宋体"/>
          <w:kern w:val="0"/>
          <w:sz w:val="28"/>
          <w:szCs w:val="28"/>
        </w:rPr>
      </w:pPr>
      <w:r>
        <w:rPr>
          <w:rFonts w:ascii="仿宋" w:hAnsi="仿宋" w:eastAsia="仿宋" w:cs="宋体"/>
          <w:kern w:val="0"/>
          <w:sz w:val="28"/>
          <w:szCs w:val="28"/>
        </w:rPr>
        <w:t>附件1</w:t>
      </w:r>
      <w:r>
        <w:rPr>
          <w:rFonts w:hint="eastAsia" w:ascii="仿宋" w:hAnsi="仿宋" w:eastAsia="仿宋" w:cs="宋体"/>
          <w:kern w:val="0"/>
          <w:sz w:val="28"/>
          <w:szCs w:val="28"/>
        </w:rPr>
        <w:t>1</w:t>
      </w:r>
    </w:p>
    <w:p w14:paraId="5273EE33">
      <w:pPr>
        <w:spacing w:line="480" w:lineRule="exact"/>
        <w:jc w:val="center"/>
        <w:rPr>
          <w:rFonts w:hint="eastAsia" w:ascii="仿宋" w:hAnsi="仿宋" w:eastAsia="仿宋" w:cs="宋体"/>
          <w:b/>
          <w:sz w:val="30"/>
          <w:szCs w:val="30"/>
        </w:rPr>
      </w:pPr>
      <w:r>
        <w:rPr>
          <w:rFonts w:hint="eastAsia" w:ascii="仿宋" w:hAnsi="仿宋" w:eastAsia="仿宋" w:cs="宋体"/>
          <w:b/>
          <w:sz w:val="30"/>
          <w:szCs w:val="30"/>
        </w:rPr>
        <w:t>质疑函范本</w:t>
      </w:r>
    </w:p>
    <w:p w14:paraId="4485EDC6">
      <w:pPr>
        <w:adjustRightInd w:val="0"/>
        <w:snapToGrid w:val="0"/>
        <w:spacing w:before="319" w:beforeLines="100" w:line="480" w:lineRule="exact"/>
        <w:rPr>
          <w:rFonts w:hint="eastAsia" w:ascii="仿宋" w:hAnsi="仿宋" w:eastAsia="仿宋" w:cs="仿宋"/>
          <w:bCs/>
          <w:sz w:val="24"/>
          <w:szCs w:val="28"/>
        </w:rPr>
      </w:pPr>
      <w:r>
        <w:rPr>
          <w:rFonts w:hint="eastAsia" w:ascii="仿宋" w:hAnsi="仿宋" w:eastAsia="仿宋" w:cs="仿宋"/>
          <w:bCs/>
          <w:sz w:val="24"/>
          <w:szCs w:val="28"/>
        </w:rPr>
        <w:t>一、质疑供应商基本信息</w:t>
      </w:r>
    </w:p>
    <w:p w14:paraId="60FF9733">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质疑供应商：</w:t>
      </w:r>
    </w:p>
    <w:p w14:paraId="48586A4D">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地址：邮编：</w:t>
      </w:r>
    </w:p>
    <w:p w14:paraId="02F2DF99">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联系人：联系电话：</w:t>
      </w:r>
    </w:p>
    <w:p w14:paraId="3A7898F8">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授权代表：</w:t>
      </w:r>
    </w:p>
    <w:p w14:paraId="3F913844">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联系电话：</w:t>
      </w:r>
    </w:p>
    <w:p w14:paraId="41284ED6">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地址：邮编：</w:t>
      </w:r>
    </w:p>
    <w:p w14:paraId="4265422E">
      <w:pPr>
        <w:adjustRightInd w:val="0"/>
        <w:snapToGrid w:val="0"/>
        <w:spacing w:line="480" w:lineRule="exact"/>
        <w:rPr>
          <w:rFonts w:hint="eastAsia" w:ascii="仿宋" w:hAnsi="仿宋" w:eastAsia="仿宋" w:cs="仿宋"/>
          <w:bCs/>
          <w:sz w:val="24"/>
          <w:szCs w:val="28"/>
        </w:rPr>
      </w:pPr>
      <w:r>
        <w:rPr>
          <w:rFonts w:hint="eastAsia" w:ascii="仿宋" w:hAnsi="仿宋" w:eastAsia="仿宋" w:cs="仿宋"/>
          <w:bCs/>
          <w:sz w:val="24"/>
          <w:szCs w:val="28"/>
        </w:rPr>
        <w:t>二、质疑项目基本情况</w:t>
      </w:r>
    </w:p>
    <w:p w14:paraId="41A8C1C4">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质疑项目的名称：</w:t>
      </w:r>
    </w:p>
    <w:p w14:paraId="021E5AFE">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质疑项目的编号：包号：</w:t>
      </w:r>
    </w:p>
    <w:p w14:paraId="61956D21">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采购人名称：</w:t>
      </w:r>
    </w:p>
    <w:p w14:paraId="3C88874C">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采购文件获取日期：</w:t>
      </w:r>
    </w:p>
    <w:p w14:paraId="5CBB4633">
      <w:pPr>
        <w:adjustRightInd w:val="0"/>
        <w:snapToGrid w:val="0"/>
        <w:spacing w:line="480" w:lineRule="exact"/>
        <w:rPr>
          <w:rFonts w:hint="eastAsia" w:ascii="仿宋" w:hAnsi="仿宋" w:eastAsia="仿宋" w:cs="仿宋"/>
          <w:bCs/>
          <w:sz w:val="24"/>
          <w:szCs w:val="28"/>
        </w:rPr>
      </w:pPr>
      <w:r>
        <w:rPr>
          <w:rFonts w:hint="eastAsia" w:ascii="仿宋" w:hAnsi="仿宋" w:eastAsia="仿宋" w:cs="仿宋"/>
          <w:bCs/>
          <w:sz w:val="24"/>
          <w:szCs w:val="28"/>
        </w:rPr>
        <w:t>三、质疑事项具体内容</w:t>
      </w:r>
    </w:p>
    <w:p w14:paraId="1780F955">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质疑事项1：</w:t>
      </w:r>
    </w:p>
    <w:p w14:paraId="49E9ED72">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事实依据：</w:t>
      </w:r>
    </w:p>
    <w:p w14:paraId="2E4717C4">
      <w:pPr>
        <w:adjustRightInd w:val="0"/>
        <w:snapToGrid w:val="0"/>
        <w:spacing w:line="480" w:lineRule="exact"/>
        <w:rPr>
          <w:rFonts w:hint="eastAsia" w:ascii="仿宋" w:hAnsi="仿宋" w:eastAsia="仿宋" w:cs="仿宋"/>
          <w:sz w:val="24"/>
          <w:szCs w:val="28"/>
        </w:rPr>
      </w:pPr>
    </w:p>
    <w:p w14:paraId="78677C83">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法律依据：</w:t>
      </w:r>
    </w:p>
    <w:p w14:paraId="3520A447">
      <w:pPr>
        <w:adjustRightInd w:val="0"/>
        <w:snapToGrid w:val="0"/>
        <w:spacing w:line="480" w:lineRule="exact"/>
        <w:rPr>
          <w:rFonts w:hint="eastAsia" w:ascii="仿宋" w:hAnsi="仿宋" w:eastAsia="仿宋" w:cs="仿宋"/>
          <w:sz w:val="24"/>
          <w:szCs w:val="28"/>
          <w:u w:val="dotted"/>
        </w:rPr>
      </w:pPr>
    </w:p>
    <w:p w14:paraId="404B06D8">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质疑事项2</w:t>
      </w:r>
    </w:p>
    <w:p w14:paraId="19525826">
      <w:pPr>
        <w:adjustRightInd w:val="0"/>
        <w:snapToGrid w:val="0"/>
        <w:spacing w:line="480" w:lineRule="exact"/>
        <w:rPr>
          <w:rFonts w:hint="eastAsia" w:ascii="仿宋" w:hAnsi="仿宋" w:eastAsia="仿宋" w:cs="仿宋"/>
          <w:sz w:val="24"/>
          <w:szCs w:val="28"/>
        </w:rPr>
      </w:pPr>
      <w:r>
        <w:rPr>
          <w:rFonts w:hint="eastAsia" w:ascii="仿宋" w:hAnsi="仿宋" w:eastAsia="仿宋" w:cs="仿宋"/>
          <w:sz w:val="24"/>
          <w:szCs w:val="28"/>
        </w:rPr>
        <w:t>……</w:t>
      </w:r>
    </w:p>
    <w:p w14:paraId="070C6ED1">
      <w:pPr>
        <w:adjustRightInd w:val="0"/>
        <w:snapToGrid w:val="0"/>
        <w:spacing w:line="480" w:lineRule="exact"/>
        <w:rPr>
          <w:rFonts w:hint="eastAsia" w:ascii="仿宋" w:hAnsi="仿宋" w:eastAsia="仿宋" w:cs="仿宋"/>
          <w:bCs/>
          <w:sz w:val="24"/>
          <w:szCs w:val="28"/>
        </w:rPr>
      </w:pPr>
      <w:r>
        <w:rPr>
          <w:rFonts w:hint="eastAsia" w:ascii="仿宋" w:hAnsi="仿宋" w:eastAsia="仿宋" w:cs="仿宋"/>
          <w:bCs/>
          <w:sz w:val="24"/>
          <w:szCs w:val="28"/>
        </w:rPr>
        <w:t>四、与质疑事项相关的质疑请求</w:t>
      </w:r>
    </w:p>
    <w:p w14:paraId="03040692">
      <w:pPr>
        <w:adjustRightInd w:val="0"/>
        <w:snapToGrid w:val="0"/>
        <w:spacing w:line="480" w:lineRule="exact"/>
        <w:rPr>
          <w:rFonts w:hint="eastAsia" w:ascii="仿宋" w:hAnsi="仿宋" w:eastAsia="仿宋" w:cs="仿宋"/>
          <w:sz w:val="24"/>
          <w:szCs w:val="28"/>
          <w:u w:val="dotted"/>
        </w:rPr>
      </w:pPr>
      <w:r>
        <w:rPr>
          <w:rFonts w:hint="eastAsia" w:ascii="仿宋" w:hAnsi="仿宋" w:eastAsia="仿宋" w:cs="仿宋"/>
          <w:sz w:val="24"/>
          <w:szCs w:val="28"/>
        </w:rPr>
        <w:t>请求：</w:t>
      </w:r>
    </w:p>
    <w:p w14:paraId="4C7CBCD2">
      <w:pPr>
        <w:spacing w:line="480" w:lineRule="exact"/>
        <w:rPr>
          <w:rFonts w:hint="eastAsia" w:ascii="仿宋" w:hAnsi="仿宋" w:eastAsia="仿宋"/>
          <w:sz w:val="24"/>
          <w:szCs w:val="28"/>
        </w:rPr>
      </w:pPr>
      <w:r>
        <w:rPr>
          <w:rFonts w:hint="eastAsia" w:ascii="仿宋" w:hAnsi="仿宋" w:eastAsia="仿宋"/>
          <w:sz w:val="24"/>
          <w:szCs w:val="28"/>
        </w:rPr>
        <w:t xml:space="preserve">签字(签章)：                   公章：                      </w:t>
      </w:r>
    </w:p>
    <w:p w14:paraId="68649D74">
      <w:pPr>
        <w:spacing w:line="480" w:lineRule="exact"/>
        <w:rPr>
          <w:rFonts w:hint="eastAsia" w:ascii="仿宋" w:hAnsi="仿宋" w:eastAsia="仿宋"/>
          <w:sz w:val="24"/>
          <w:szCs w:val="28"/>
        </w:rPr>
      </w:pPr>
      <w:r>
        <w:rPr>
          <w:rFonts w:hint="eastAsia" w:ascii="仿宋" w:hAnsi="仿宋" w:eastAsia="仿宋"/>
          <w:sz w:val="24"/>
          <w:szCs w:val="28"/>
        </w:rPr>
        <w:t xml:space="preserve">日期：    </w:t>
      </w:r>
    </w:p>
    <w:p w14:paraId="76F961D3">
      <w:pPr>
        <w:adjustRightInd w:val="0"/>
        <w:snapToGrid w:val="0"/>
        <w:spacing w:line="480" w:lineRule="exact"/>
        <w:rPr>
          <w:rFonts w:hint="eastAsia" w:ascii="仿宋" w:hAnsi="仿宋" w:eastAsia="仿宋" w:cs="仿宋"/>
          <w:sz w:val="24"/>
          <w:szCs w:val="28"/>
        </w:rPr>
      </w:pPr>
    </w:p>
    <w:p w14:paraId="582AD110">
      <w:pPr>
        <w:spacing w:line="480" w:lineRule="exact"/>
        <w:rPr>
          <w:rFonts w:hint="eastAsia" w:ascii="仿宋" w:hAnsi="仿宋" w:eastAsia="仿宋"/>
          <w:b/>
          <w:sz w:val="24"/>
          <w:szCs w:val="28"/>
        </w:rPr>
      </w:pPr>
    </w:p>
    <w:p w14:paraId="7DA344ED">
      <w:pPr>
        <w:spacing w:line="480" w:lineRule="exact"/>
        <w:rPr>
          <w:rFonts w:hint="eastAsia" w:ascii="仿宋" w:hAnsi="仿宋" w:eastAsia="仿宋"/>
          <w:b/>
          <w:sz w:val="24"/>
          <w:szCs w:val="28"/>
        </w:rPr>
      </w:pPr>
      <w:r>
        <w:rPr>
          <w:rFonts w:hint="eastAsia" w:ascii="仿宋" w:hAnsi="仿宋" w:eastAsia="仿宋"/>
          <w:b/>
          <w:sz w:val="24"/>
          <w:szCs w:val="28"/>
        </w:rPr>
        <w:t>质疑函制作说明：</w:t>
      </w:r>
    </w:p>
    <w:p w14:paraId="7B982A6F">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1.供应商提出质疑时，应提交质疑函和必要的证明材料。</w:t>
      </w:r>
    </w:p>
    <w:p w14:paraId="17A0EBB9">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2.质疑供应商若委托代理人进行质疑的，质疑函应按要求列明“授权代表”的有关内容，并在附件中提交由质疑</w:t>
      </w:r>
      <w:r>
        <w:rPr>
          <w:rFonts w:hint="eastAsia" w:ascii="仿宋" w:hAnsi="仿宋" w:eastAsia="仿宋" w:cs="宋体"/>
          <w:kern w:val="0"/>
          <w:sz w:val="24"/>
          <w:szCs w:val="28"/>
        </w:rPr>
        <w:t>供应商签署的授权委托书。授权委托书应载明代理人的姓名或者名称、代理事项、具体权限、期限和相关事项。</w:t>
      </w:r>
    </w:p>
    <w:p w14:paraId="137FD461">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3.质疑供应商若对项目的某一分包进行质疑，质疑函中应列明具体分包号。</w:t>
      </w:r>
    </w:p>
    <w:p w14:paraId="2A033B3F">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4.质疑函的质疑事项应具体、明确，并有必要的事实依据和法律依据。</w:t>
      </w:r>
    </w:p>
    <w:p w14:paraId="5904A798">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5.质疑函的质疑请求应与质疑事项相关。</w:t>
      </w:r>
    </w:p>
    <w:p w14:paraId="229E458B">
      <w:pPr>
        <w:widowControl/>
        <w:spacing w:line="480" w:lineRule="exact"/>
        <w:ind w:firstLine="480" w:firstLineChars="200"/>
        <w:jc w:val="left"/>
        <w:rPr>
          <w:rFonts w:hint="eastAsia" w:ascii="仿宋" w:hAnsi="仿宋" w:eastAsia="仿宋"/>
          <w:sz w:val="24"/>
          <w:szCs w:val="28"/>
        </w:rPr>
      </w:pPr>
      <w:r>
        <w:rPr>
          <w:rFonts w:hint="eastAsia" w:ascii="仿宋" w:hAnsi="仿宋" w:eastAsia="仿宋"/>
          <w:sz w:val="24"/>
          <w:szCs w:val="28"/>
        </w:rPr>
        <w:t>6.质疑供应商为自然人的，质疑函应由本人签字；质疑供应商为法人或者其他组织的，质疑函应由法定代表人、主要负责人，或者其授权代表签字或者盖章，并加盖公章。</w:t>
      </w:r>
    </w:p>
    <w:p w14:paraId="2CDE9860">
      <w:pPr>
        <w:snapToGrid w:val="0"/>
        <w:spacing w:line="300" w:lineRule="auto"/>
        <w:outlineLvl w:val="0"/>
        <w:rPr>
          <w:rFonts w:hint="eastAsia" w:ascii="仿宋" w:hAnsi="仿宋" w:eastAsia="仿宋"/>
          <w:sz w:val="24"/>
          <w:szCs w:val="28"/>
        </w:rPr>
      </w:pPr>
    </w:p>
    <w:p w14:paraId="72885B29">
      <w:pPr>
        <w:widowControl/>
        <w:spacing w:line="360" w:lineRule="auto"/>
        <w:jc w:val="left"/>
        <w:rPr>
          <w:rFonts w:hint="eastAsia" w:ascii="仿宋" w:hAnsi="仿宋" w:eastAsia="仿宋" w:cs="宋体"/>
          <w:kern w:val="0"/>
          <w:sz w:val="24"/>
          <w:szCs w:val="28"/>
        </w:rPr>
      </w:pPr>
    </w:p>
    <w:sectPr>
      <w:pgSz w:w="11906" w:h="16838"/>
      <w:pgMar w:top="1418" w:right="1418" w:bottom="1418" w:left="1701"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2000000000000000000"/>
    <w:charset w:val="86"/>
    <w:family w:val="auto"/>
    <w:pitch w:val="default"/>
    <w:sig w:usb0="800002BF" w:usb1="38C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llZWE2NTE5MzUyOGY5NTQwODQ1MzFjM2ExZjQ3MjIifQ=="/>
  </w:docVars>
  <w:rsids>
    <w:rsidRoot w:val="00373426"/>
    <w:rsid w:val="000016D6"/>
    <w:rsid w:val="000027D0"/>
    <w:rsid w:val="00010DC7"/>
    <w:rsid w:val="00011FD5"/>
    <w:rsid w:val="00012431"/>
    <w:rsid w:val="000127E5"/>
    <w:rsid w:val="00012C6D"/>
    <w:rsid w:val="00013C1F"/>
    <w:rsid w:val="000140EF"/>
    <w:rsid w:val="00014709"/>
    <w:rsid w:val="00015DCA"/>
    <w:rsid w:val="000168BA"/>
    <w:rsid w:val="00016C9F"/>
    <w:rsid w:val="000176F7"/>
    <w:rsid w:val="00020708"/>
    <w:rsid w:val="00024F22"/>
    <w:rsid w:val="00025E03"/>
    <w:rsid w:val="00030F95"/>
    <w:rsid w:val="0003147E"/>
    <w:rsid w:val="00031AF2"/>
    <w:rsid w:val="0003385E"/>
    <w:rsid w:val="00034910"/>
    <w:rsid w:val="00036859"/>
    <w:rsid w:val="0004174E"/>
    <w:rsid w:val="0004453E"/>
    <w:rsid w:val="00044BB9"/>
    <w:rsid w:val="000454AC"/>
    <w:rsid w:val="00045806"/>
    <w:rsid w:val="0004696F"/>
    <w:rsid w:val="00046ECA"/>
    <w:rsid w:val="000475B4"/>
    <w:rsid w:val="00047940"/>
    <w:rsid w:val="00053D06"/>
    <w:rsid w:val="00057BCD"/>
    <w:rsid w:val="0006009C"/>
    <w:rsid w:val="00060C84"/>
    <w:rsid w:val="0006652F"/>
    <w:rsid w:val="00066D2B"/>
    <w:rsid w:val="000676C7"/>
    <w:rsid w:val="00067EF2"/>
    <w:rsid w:val="00071830"/>
    <w:rsid w:val="00073CCF"/>
    <w:rsid w:val="00075923"/>
    <w:rsid w:val="00076EC5"/>
    <w:rsid w:val="00076F3E"/>
    <w:rsid w:val="000773E7"/>
    <w:rsid w:val="00077569"/>
    <w:rsid w:val="00081341"/>
    <w:rsid w:val="00083CB6"/>
    <w:rsid w:val="000847C4"/>
    <w:rsid w:val="00085242"/>
    <w:rsid w:val="0008668F"/>
    <w:rsid w:val="00087277"/>
    <w:rsid w:val="0009030A"/>
    <w:rsid w:val="00090352"/>
    <w:rsid w:val="00091B42"/>
    <w:rsid w:val="00092A13"/>
    <w:rsid w:val="0009355F"/>
    <w:rsid w:val="000965BB"/>
    <w:rsid w:val="00096FC0"/>
    <w:rsid w:val="000A4AB0"/>
    <w:rsid w:val="000A670F"/>
    <w:rsid w:val="000B0444"/>
    <w:rsid w:val="000B11E5"/>
    <w:rsid w:val="000B498A"/>
    <w:rsid w:val="000B5EF1"/>
    <w:rsid w:val="000B621A"/>
    <w:rsid w:val="000B6989"/>
    <w:rsid w:val="000B7EA0"/>
    <w:rsid w:val="000C00CB"/>
    <w:rsid w:val="000C021E"/>
    <w:rsid w:val="000C0EB5"/>
    <w:rsid w:val="000C1F8E"/>
    <w:rsid w:val="000C2060"/>
    <w:rsid w:val="000C35A3"/>
    <w:rsid w:val="000C3DBB"/>
    <w:rsid w:val="000C4231"/>
    <w:rsid w:val="000C4A12"/>
    <w:rsid w:val="000C50F7"/>
    <w:rsid w:val="000C5735"/>
    <w:rsid w:val="000C5762"/>
    <w:rsid w:val="000C5E64"/>
    <w:rsid w:val="000C6167"/>
    <w:rsid w:val="000C6FED"/>
    <w:rsid w:val="000D1F33"/>
    <w:rsid w:val="000D1FF2"/>
    <w:rsid w:val="000D26C4"/>
    <w:rsid w:val="000D3B4C"/>
    <w:rsid w:val="000D4161"/>
    <w:rsid w:val="000D5053"/>
    <w:rsid w:val="000E049A"/>
    <w:rsid w:val="000E0FEC"/>
    <w:rsid w:val="000E3C3B"/>
    <w:rsid w:val="000E4A8B"/>
    <w:rsid w:val="000E5994"/>
    <w:rsid w:val="000E61A2"/>
    <w:rsid w:val="000E6565"/>
    <w:rsid w:val="000E67D0"/>
    <w:rsid w:val="000E6CCC"/>
    <w:rsid w:val="000F0020"/>
    <w:rsid w:val="000F0AE2"/>
    <w:rsid w:val="000F362D"/>
    <w:rsid w:val="000F49CB"/>
    <w:rsid w:val="000F6137"/>
    <w:rsid w:val="000F6582"/>
    <w:rsid w:val="000F6AB9"/>
    <w:rsid w:val="000F7AEE"/>
    <w:rsid w:val="001032E4"/>
    <w:rsid w:val="001103F4"/>
    <w:rsid w:val="0011090A"/>
    <w:rsid w:val="00111221"/>
    <w:rsid w:val="00111838"/>
    <w:rsid w:val="001122A0"/>
    <w:rsid w:val="00113754"/>
    <w:rsid w:val="0011412F"/>
    <w:rsid w:val="0011529A"/>
    <w:rsid w:val="00116270"/>
    <w:rsid w:val="00116F2D"/>
    <w:rsid w:val="001217E2"/>
    <w:rsid w:val="0012188B"/>
    <w:rsid w:val="00123932"/>
    <w:rsid w:val="0012521E"/>
    <w:rsid w:val="00126302"/>
    <w:rsid w:val="00126E65"/>
    <w:rsid w:val="0013014B"/>
    <w:rsid w:val="00131BFD"/>
    <w:rsid w:val="0013268F"/>
    <w:rsid w:val="00136B8E"/>
    <w:rsid w:val="0014117F"/>
    <w:rsid w:val="0014166D"/>
    <w:rsid w:val="0014349E"/>
    <w:rsid w:val="00143617"/>
    <w:rsid w:val="001437BA"/>
    <w:rsid w:val="00147CEC"/>
    <w:rsid w:val="001515F7"/>
    <w:rsid w:val="00152324"/>
    <w:rsid w:val="001527DB"/>
    <w:rsid w:val="00152991"/>
    <w:rsid w:val="00152A97"/>
    <w:rsid w:val="00153B75"/>
    <w:rsid w:val="00156810"/>
    <w:rsid w:val="001575F4"/>
    <w:rsid w:val="00157A1D"/>
    <w:rsid w:val="00160D4E"/>
    <w:rsid w:val="00162372"/>
    <w:rsid w:val="0016570E"/>
    <w:rsid w:val="00165A9A"/>
    <w:rsid w:val="0017115B"/>
    <w:rsid w:val="00173759"/>
    <w:rsid w:val="00173A1F"/>
    <w:rsid w:val="00174E8F"/>
    <w:rsid w:val="001750A3"/>
    <w:rsid w:val="00175AA6"/>
    <w:rsid w:val="00176279"/>
    <w:rsid w:val="00180608"/>
    <w:rsid w:val="00180E3D"/>
    <w:rsid w:val="001813A2"/>
    <w:rsid w:val="00181C2B"/>
    <w:rsid w:val="00181CF4"/>
    <w:rsid w:val="00182E46"/>
    <w:rsid w:val="00183DDD"/>
    <w:rsid w:val="00183FD4"/>
    <w:rsid w:val="0018515D"/>
    <w:rsid w:val="00185457"/>
    <w:rsid w:val="001866D3"/>
    <w:rsid w:val="00190464"/>
    <w:rsid w:val="001919F0"/>
    <w:rsid w:val="001925F7"/>
    <w:rsid w:val="00195C7D"/>
    <w:rsid w:val="00196423"/>
    <w:rsid w:val="00196571"/>
    <w:rsid w:val="00197B36"/>
    <w:rsid w:val="001A1095"/>
    <w:rsid w:val="001A1B1C"/>
    <w:rsid w:val="001A3700"/>
    <w:rsid w:val="001A3A52"/>
    <w:rsid w:val="001A72A6"/>
    <w:rsid w:val="001A7A50"/>
    <w:rsid w:val="001B16E1"/>
    <w:rsid w:val="001B2C2E"/>
    <w:rsid w:val="001B3339"/>
    <w:rsid w:val="001C0891"/>
    <w:rsid w:val="001C229C"/>
    <w:rsid w:val="001C3F14"/>
    <w:rsid w:val="001C4855"/>
    <w:rsid w:val="001C4CC3"/>
    <w:rsid w:val="001C758C"/>
    <w:rsid w:val="001C79CD"/>
    <w:rsid w:val="001C7C6B"/>
    <w:rsid w:val="001D35D6"/>
    <w:rsid w:val="001D39AD"/>
    <w:rsid w:val="001D4792"/>
    <w:rsid w:val="001D6752"/>
    <w:rsid w:val="001E00F9"/>
    <w:rsid w:val="001E1A30"/>
    <w:rsid w:val="001E1DDB"/>
    <w:rsid w:val="001E231A"/>
    <w:rsid w:val="001E2ADB"/>
    <w:rsid w:val="001E5073"/>
    <w:rsid w:val="001E5E83"/>
    <w:rsid w:val="001F1153"/>
    <w:rsid w:val="001F30E5"/>
    <w:rsid w:val="001F39F9"/>
    <w:rsid w:val="001F3A8D"/>
    <w:rsid w:val="001F4C9D"/>
    <w:rsid w:val="001F77CE"/>
    <w:rsid w:val="00201253"/>
    <w:rsid w:val="00203682"/>
    <w:rsid w:val="002040C9"/>
    <w:rsid w:val="00205DA4"/>
    <w:rsid w:val="00207808"/>
    <w:rsid w:val="0021084D"/>
    <w:rsid w:val="00213C4B"/>
    <w:rsid w:val="00214982"/>
    <w:rsid w:val="00214D2A"/>
    <w:rsid w:val="00215042"/>
    <w:rsid w:val="0021548B"/>
    <w:rsid w:val="00215D5A"/>
    <w:rsid w:val="002166E6"/>
    <w:rsid w:val="00217462"/>
    <w:rsid w:val="00221F90"/>
    <w:rsid w:val="00223F3E"/>
    <w:rsid w:val="002245BE"/>
    <w:rsid w:val="002263C5"/>
    <w:rsid w:val="00226756"/>
    <w:rsid w:val="00227B8E"/>
    <w:rsid w:val="002310C6"/>
    <w:rsid w:val="0023151F"/>
    <w:rsid w:val="00232F55"/>
    <w:rsid w:val="00233A38"/>
    <w:rsid w:val="00233EA4"/>
    <w:rsid w:val="002343CE"/>
    <w:rsid w:val="0023610B"/>
    <w:rsid w:val="002362D0"/>
    <w:rsid w:val="00243BC5"/>
    <w:rsid w:val="002441CA"/>
    <w:rsid w:val="00252E56"/>
    <w:rsid w:val="002558F2"/>
    <w:rsid w:val="00257715"/>
    <w:rsid w:val="00260216"/>
    <w:rsid w:val="00261A27"/>
    <w:rsid w:val="00262543"/>
    <w:rsid w:val="00262670"/>
    <w:rsid w:val="002631A4"/>
    <w:rsid w:val="002653CE"/>
    <w:rsid w:val="0026567A"/>
    <w:rsid w:val="0026764E"/>
    <w:rsid w:val="002743A6"/>
    <w:rsid w:val="00277388"/>
    <w:rsid w:val="00281F47"/>
    <w:rsid w:val="00282A71"/>
    <w:rsid w:val="00282DBF"/>
    <w:rsid w:val="00283B48"/>
    <w:rsid w:val="00285708"/>
    <w:rsid w:val="00285777"/>
    <w:rsid w:val="002857C5"/>
    <w:rsid w:val="002911EE"/>
    <w:rsid w:val="00293000"/>
    <w:rsid w:val="00293011"/>
    <w:rsid w:val="002934C6"/>
    <w:rsid w:val="00296A6A"/>
    <w:rsid w:val="002979E8"/>
    <w:rsid w:val="002A06F8"/>
    <w:rsid w:val="002A084D"/>
    <w:rsid w:val="002A0AA6"/>
    <w:rsid w:val="002A0AF5"/>
    <w:rsid w:val="002A147E"/>
    <w:rsid w:val="002A2B37"/>
    <w:rsid w:val="002A31FB"/>
    <w:rsid w:val="002A343A"/>
    <w:rsid w:val="002A37CB"/>
    <w:rsid w:val="002A42C2"/>
    <w:rsid w:val="002A43E7"/>
    <w:rsid w:val="002A6C01"/>
    <w:rsid w:val="002A7ACE"/>
    <w:rsid w:val="002B1044"/>
    <w:rsid w:val="002B2231"/>
    <w:rsid w:val="002B435F"/>
    <w:rsid w:val="002B50DF"/>
    <w:rsid w:val="002B7AC1"/>
    <w:rsid w:val="002C06BB"/>
    <w:rsid w:val="002C0EE6"/>
    <w:rsid w:val="002C19D3"/>
    <w:rsid w:val="002C2376"/>
    <w:rsid w:val="002C36BC"/>
    <w:rsid w:val="002C410E"/>
    <w:rsid w:val="002C4C89"/>
    <w:rsid w:val="002C5883"/>
    <w:rsid w:val="002C700D"/>
    <w:rsid w:val="002C758D"/>
    <w:rsid w:val="002C7E36"/>
    <w:rsid w:val="002D07CC"/>
    <w:rsid w:val="002D1541"/>
    <w:rsid w:val="002D1F09"/>
    <w:rsid w:val="002D23D9"/>
    <w:rsid w:val="002D2C9E"/>
    <w:rsid w:val="002D718F"/>
    <w:rsid w:val="002D756F"/>
    <w:rsid w:val="002D77DA"/>
    <w:rsid w:val="002E1081"/>
    <w:rsid w:val="002E2041"/>
    <w:rsid w:val="002E2B5F"/>
    <w:rsid w:val="002E34BF"/>
    <w:rsid w:val="002E5EEE"/>
    <w:rsid w:val="002E6A8C"/>
    <w:rsid w:val="002F00B8"/>
    <w:rsid w:val="002F1FF9"/>
    <w:rsid w:val="002F3BB1"/>
    <w:rsid w:val="002F4428"/>
    <w:rsid w:val="002F4A4C"/>
    <w:rsid w:val="002F55C9"/>
    <w:rsid w:val="002F7403"/>
    <w:rsid w:val="003020A4"/>
    <w:rsid w:val="0030266F"/>
    <w:rsid w:val="00303DEF"/>
    <w:rsid w:val="003050B1"/>
    <w:rsid w:val="00305A03"/>
    <w:rsid w:val="00305A3D"/>
    <w:rsid w:val="00306037"/>
    <w:rsid w:val="003105B6"/>
    <w:rsid w:val="00312203"/>
    <w:rsid w:val="003133F9"/>
    <w:rsid w:val="00313C64"/>
    <w:rsid w:val="00314C98"/>
    <w:rsid w:val="0031576C"/>
    <w:rsid w:val="00320FF2"/>
    <w:rsid w:val="00321BE2"/>
    <w:rsid w:val="00326554"/>
    <w:rsid w:val="00330105"/>
    <w:rsid w:val="00330DC9"/>
    <w:rsid w:val="0033577C"/>
    <w:rsid w:val="00340C79"/>
    <w:rsid w:val="0034622A"/>
    <w:rsid w:val="00346E1D"/>
    <w:rsid w:val="003504ED"/>
    <w:rsid w:val="0035226D"/>
    <w:rsid w:val="0035243D"/>
    <w:rsid w:val="00354DE7"/>
    <w:rsid w:val="00356F9D"/>
    <w:rsid w:val="00356FB6"/>
    <w:rsid w:val="00357843"/>
    <w:rsid w:val="00361DCF"/>
    <w:rsid w:val="0036237D"/>
    <w:rsid w:val="00364876"/>
    <w:rsid w:val="00364F75"/>
    <w:rsid w:val="00367879"/>
    <w:rsid w:val="00373426"/>
    <w:rsid w:val="00374B65"/>
    <w:rsid w:val="0037523F"/>
    <w:rsid w:val="003756DC"/>
    <w:rsid w:val="003765AC"/>
    <w:rsid w:val="003774AF"/>
    <w:rsid w:val="00380082"/>
    <w:rsid w:val="00383C22"/>
    <w:rsid w:val="00385846"/>
    <w:rsid w:val="00385BDD"/>
    <w:rsid w:val="00386982"/>
    <w:rsid w:val="0038779C"/>
    <w:rsid w:val="00392CE1"/>
    <w:rsid w:val="00394B77"/>
    <w:rsid w:val="00395C0C"/>
    <w:rsid w:val="003973C3"/>
    <w:rsid w:val="00397E41"/>
    <w:rsid w:val="003A033B"/>
    <w:rsid w:val="003A0D5E"/>
    <w:rsid w:val="003A10E8"/>
    <w:rsid w:val="003A15E4"/>
    <w:rsid w:val="003A1EF4"/>
    <w:rsid w:val="003A5D31"/>
    <w:rsid w:val="003A69B7"/>
    <w:rsid w:val="003A6ED4"/>
    <w:rsid w:val="003B09E3"/>
    <w:rsid w:val="003B1F86"/>
    <w:rsid w:val="003B28DD"/>
    <w:rsid w:val="003B4816"/>
    <w:rsid w:val="003B56BB"/>
    <w:rsid w:val="003B5DA6"/>
    <w:rsid w:val="003B7AED"/>
    <w:rsid w:val="003C0517"/>
    <w:rsid w:val="003C0C70"/>
    <w:rsid w:val="003C0FC2"/>
    <w:rsid w:val="003C2EE4"/>
    <w:rsid w:val="003C346E"/>
    <w:rsid w:val="003C679B"/>
    <w:rsid w:val="003C6968"/>
    <w:rsid w:val="003D02FB"/>
    <w:rsid w:val="003D2E0A"/>
    <w:rsid w:val="003D46A9"/>
    <w:rsid w:val="003D522C"/>
    <w:rsid w:val="003D77EA"/>
    <w:rsid w:val="003D78AC"/>
    <w:rsid w:val="003E08C9"/>
    <w:rsid w:val="003E2AF7"/>
    <w:rsid w:val="003E36F2"/>
    <w:rsid w:val="003E5AF5"/>
    <w:rsid w:val="003E79D5"/>
    <w:rsid w:val="003F1187"/>
    <w:rsid w:val="003F2669"/>
    <w:rsid w:val="003F27A4"/>
    <w:rsid w:val="003F465E"/>
    <w:rsid w:val="003F5FC8"/>
    <w:rsid w:val="004001F9"/>
    <w:rsid w:val="00400D33"/>
    <w:rsid w:val="00402DD9"/>
    <w:rsid w:val="00403942"/>
    <w:rsid w:val="00404A6F"/>
    <w:rsid w:val="00405685"/>
    <w:rsid w:val="00410667"/>
    <w:rsid w:val="00411749"/>
    <w:rsid w:val="00411786"/>
    <w:rsid w:val="00411DD6"/>
    <w:rsid w:val="00412574"/>
    <w:rsid w:val="00413246"/>
    <w:rsid w:val="0041333A"/>
    <w:rsid w:val="00413685"/>
    <w:rsid w:val="00415479"/>
    <w:rsid w:val="00415EF8"/>
    <w:rsid w:val="00417152"/>
    <w:rsid w:val="004179CE"/>
    <w:rsid w:val="004207F5"/>
    <w:rsid w:val="004242E1"/>
    <w:rsid w:val="00424BF1"/>
    <w:rsid w:val="0042528D"/>
    <w:rsid w:val="004263A2"/>
    <w:rsid w:val="00426E14"/>
    <w:rsid w:val="00427463"/>
    <w:rsid w:val="004316C2"/>
    <w:rsid w:val="00435A31"/>
    <w:rsid w:val="00440D0B"/>
    <w:rsid w:val="004410F6"/>
    <w:rsid w:val="004429EF"/>
    <w:rsid w:val="00444899"/>
    <w:rsid w:val="00446A36"/>
    <w:rsid w:val="0044749D"/>
    <w:rsid w:val="004476AD"/>
    <w:rsid w:val="00450860"/>
    <w:rsid w:val="00451500"/>
    <w:rsid w:val="004553CF"/>
    <w:rsid w:val="00455A2B"/>
    <w:rsid w:val="0046317C"/>
    <w:rsid w:val="00463277"/>
    <w:rsid w:val="004655DF"/>
    <w:rsid w:val="00465F04"/>
    <w:rsid w:val="00466925"/>
    <w:rsid w:val="00471522"/>
    <w:rsid w:val="00472D07"/>
    <w:rsid w:val="00474186"/>
    <w:rsid w:val="00475B92"/>
    <w:rsid w:val="00476A09"/>
    <w:rsid w:val="00477D78"/>
    <w:rsid w:val="00477E6C"/>
    <w:rsid w:val="004845CF"/>
    <w:rsid w:val="004845F9"/>
    <w:rsid w:val="0048626B"/>
    <w:rsid w:val="00487186"/>
    <w:rsid w:val="004878B9"/>
    <w:rsid w:val="00490672"/>
    <w:rsid w:val="004921F0"/>
    <w:rsid w:val="0049223B"/>
    <w:rsid w:val="00492D47"/>
    <w:rsid w:val="00492FC2"/>
    <w:rsid w:val="004936FD"/>
    <w:rsid w:val="00497967"/>
    <w:rsid w:val="004A0DF3"/>
    <w:rsid w:val="004A17F2"/>
    <w:rsid w:val="004A18CF"/>
    <w:rsid w:val="004A2675"/>
    <w:rsid w:val="004A2964"/>
    <w:rsid w:val="004A41E0"/>
    <w:rsid w:val="004A5229"/>
    <w:rsid w:val="004A62AE"/>
    <w:rsid w:val="004B03FC"/>
    <w:rsid w:val="004B2B00"/>
    <w:rsid w:val="004B303A"/>
    <w:rsid w:val="004B3368"/>
    <w:rsid w:val="004B3FBA"/>
    <w:rsid w:val="004C0A0F"/>
    <w:rsid w:val="004C0FC4"/>
    <w:rsid w:val="004C200D"/>
    <w:rsid w:val="004C29BB"/>
    <w:rsid w:val="004C2DB4"/>
    <w:rsid w:val="004C3F83"/>
    <w:rsid w:val="004C4366"/>
    <w:rsid w:val="004C6013"/>
    <w:rsid w:val="004D0C57"/>
    <w:rsid w:val="004D268D"/>
    <w:rsid w:val="004D3D5D"/>
    <w:rsid w:val="004D59C1"/>
    <w:rsid w:val="004D7B67"/>
    <w:rsid w:val="004E16F4"/>
    <w:rsid w:val="004E170A"/>
    <w:rsid w:val="004E1938"/>
    <w:rsid w:val="004E200F"/>
    <w:rsid w:val="004E275E"/>
    <w:rsid w:val="004E38B2"/>
    <w:rsid w:val="004E3BCA"/>
    <w:rsid w:val="004E460B"/>
    <w:rsid w:val="004E7DAE"/>
    <w:rsid w:val="004F283F"/>
    <w:rsid w:val="004F2FB1"/>
    <w:rsid w:val="004F70F7"/>
    <w:rsid w:val="004F73CA"/>
    <w:rsid w:val="004F7A88"/>
    <w:rsid w:val="00500CAA"/>
    <w:rsid w:val="00502096"/>
    <w:rsid w:val="00503215"/>
    <w:rsid w:val="005035F3"/>
    <w:rsid w:val="0050429E"/>
    <w:rsid w:val="00506279"/>
    <w:rsid w:val="0050709F"/>
    <w:rsid w:val="00507A84"/>
    <w:rsid w:val="005110EF"/>
    <w:rsid w:val="005113FF"/>
    <w:rsid w:val="00512558"/>
    <w:rsid w:val="00512BBE"/>
    <w:rsid w:val="00513527"/>
    <w:rsid w:val="00513DB9"/>
    <w:rsid w:val="00515609"/>
    <w:rsid w:val="00520658"/>
    <w:rsid w:val="00521958"/>
    <w:rsid w:val="00521D9E"/>
    <w:rsid w:val="005255A0"/>
    <w:rsid w:val="00526CC7"/>
    <w:rsid w:val="00530618"/>
    <w:rsid w:val="0053063C"/>
    <w:rsid w:val="00530D7F"/>
    <w:rsid w:val="00531F61"/>
    <w:rsid w:val="0053533E"/>
    <w:rsid w:val="0053543E"/>
    <w:rsid w:val="00535B32"/>
    <w:rsid w:val="00535BFD"/>
    <w:rsid w:val="00541018"/>
    <w:rsid w:val="00542518"/>
    <w:rsid w:val="00542847"/>
    <w:rsid w:val="00542A76"/>
    <w:rsid w:val="00542FD8"/>
    <w:rsid w:val="005435ED"/>
    <w:rsid w:val="00543B90"/>
    <w:rsid w:val="00544CB0"/>
    <w:rsid w:val="00545439"/>
    <w:rsid w:val="0054671A"/>
    <w:rsid w:val="00547516"/>
    <w:rsid w:val="0055083D"/>
    <w:rsid w:val="00551A2D"/>
    <w:rsid w:val="00551D73"/>
    <w:rsid w:val="0055485B"/>
    <w:rsid w:val="00555179"/>
    <w:rsid w:val="0055701B"/>
    <w:rsid w:val="00557193"/>
    <w:rsid w:val="005576F7"/>
    <w:rsid w:val="00560A8E"/>
    <w:rsid w:val="005634DD"/>
    <w:rsid w:val="00565A14"/>
    <w:rsid w:val="0057025B"/>
    <w:rsid w:val="0057166F"/>
    <w:rsid w:val="005718DB"/>
    <w:rsid w:val="005719CF"/>
    <w:rsid w:val="00573958"/>
    <w:rsid w:val="00576560"/>
    <w:rsid w:val="00576EC2"/>
    <w:rsid w:val="00577C11"/>
    <w:rsid w:val="00577E32"/>
    <w:rsid w:val="005803BB"/>
    <w:rsid w:val="005804DC"/>
    <w:rsid w:val="00582D68"/>
    <w:rsid w:val="005838B7"/>
    <w:rsid w:val="0058552C"/>
    <w:rsid w:val="00587736"/>
    <w:rsid w:val="0059095C"/>
    <w:rsid w:val="00591B04"/>
    <w:rsid w:val="00592073"/>
    <w:rsid w:val="00594053"/>
    <w:rsid w:val="0059451A"/>
    <w:rsid w:val="00595CD1"/>
    <w:rsid w:val="00597D8D"/>
    <w:rsid w:val="005A0070"/>
    <w:rsid w:val="005A072E"/>
    <w:rsid w:val="005A0D16"/>
    <w:rsid w:val="005A1D47"/>
    <w:rsid w:val="005A225A"/>
    <w:rsid w:val="005A2A13"/>
    <w:rsid w:val="005A306A"/>
    <w:rsid w:val="005A39A2"/>
    <w:rsid w:val="005A5B27"/>
    <w:rsid w:val="005A6D7A"/>
    <w:rsid w:val="005B047D"/>
    <w:rsid w:val="005B1305"/>
    <w:rsid w:val="005B13F9"/>
    <w:rsid w:val="005B145F"/>
    <w:rsid w:val="005B2FFB"/>
    <w:rsid w:val="005B38B6"/>
    <w:rsid w:val="005B5545"/>
    <w:rsid w:val="005B612D"/>
    <w:rsid w:val="005B6F5A"/>
    <w:rsid w:val="005C44FF"/>
    <w:rsid w:val="005C4751"/>
    <w:rsid w:val="005C48B3"/>
    <w:rsid w:val="005C5F0E"/>
    <w:rsid w:val="005C74CF"/>
    <w:rsid w:val="005D35B5"/>
    <w:rsid w:val="005D4048"/>
    <w:rsid w:val="005D5452"/>
    <w:rsid w:val="005D5F7D"/>
    <w:rsid w:val="005D61E7"/>
    <w:rsid w:val="005E0ED9"/>
    <w:rsid w:val="005E4269"/>
    <w:rsid w:val="005E4B00"/>
    <w:rsid w:val="005F0616"/>
    <w:rsid w:val="005F16CA"/>
    <w:rsid w:val="005F2462"/>
    <w:rsid w:val="005F2AE6"/>
    <w:rsid w:val="005F4ABB"/>
    <w:rsid w:val="005F4BE6"/>
    <w:rsid w:val="005F54B9"/>
    <w:rsid w:val="005F5F3D"/>
    <w:rsid w:val="005F6702"/>
    <w:rsid w:val="005F7343"/>
    <w:rsid w:val="006013CB"/>
    <w:rsid w:val="00601433"/>
    <w:rsid w:val="00602F6A"/>
    <w:rsid w:val="00604145"/>
    <w:rsid w:val="00604BCE"/>
    <w:rsid w:val="006050F5"/>
    <w:rsid w:val="00606E46"/>
    <w:rsid w:val="006075CA"/>
    <w:rsid w:val="006138CF"/>
    <w:rsid w:val="0061613E"/>
    <w:rsid w:val="00616DAE"/>
    <w:rsid w:val="00616E0D"/>
    <w:rsid w:val="00623BA2"/>
    <w:rsid w:val="006251CD"/>
    <w:rsid w:val="006268C8"/>
    <w:rsid w:val="00627511"/>
    <w:rsid w:val="00630244"/>
    <w:rsid w:val="00634B63"/>
    <w:rsid w:val="006360C9"/>
    <w:rsid w:val="00642589"/>
    <w:rsid w:val="00643782"/>
    <w:rsid w:val="00645956"/>
    <w:rsid w:val="00647800"/>
    <w:rsid w:val="0065015B"/>
    <w:rsid w:val="00650A25"/>
    <w:rsid w:val="006527EA"/>
    <w:rsid w:val="00653792"/>
    <w:rsid w:val="00655094"/>
    <w:rsid w:val="0065511E"/>
    <w:rsid w:val="006576B7"/>
    <w:rsid w:val="00657B24"/>
    <w:rsid w:val="0066070E"/>
    <w:rsid w:val="00661C04"/>
    <w:rsid w:val="0066267B"/>
    <w:rsid w:val="00663B0A"/>
    <w:rsid w:val="006644A1"/>
    <w:rsid w:val="00664CAE"/>
    <w:rsid w:val="00665081"/>
    <w:rsid w:val="00666D4F"/>
    <w:rsid w:val="00666D5D"/>
    <w:rsid w:val="0066734D"/>
    <w:rsid w:val="0067046C"/>
    <w:rsid w:val="006708BF"/>
    <w:rsid w:val="00674666"/>
    <w:rsid w:val="006757E4"/>
    <w:rsid w:val="0067660C"/>
    <w:rsid w:val="00677646"/>
    <w:rsid w:val="00680606"/>
    <w:rsid w:val="0068228A"/>
    <w:rsid w:val="00683047"/>
    <w:rsid w:val="0068435D"/>
    <w:rsid w:val="006843C8"/>
    <w:rsid w:val="006843DB"/>
    <w:rsid w:val="0068454A"/>
    <w:rsid w:val="0068520E"/>
    <w:rsid w:val="00687B31"/>
    <w:rsid w:val="00694913"/>
    <w:rsid w:val="0069528C"/>
    <w:rsid w:val="0069610B"/>
    <w:rsid w:val="006971F3"/>
    <w:rsid w:val="006A2D4A"/>
    <w:rsid w:val="006A3C6B"/>
    <w:rsid w:val="006A4A9E"/>
    <w:rsid w:val="006A5B9E"/>
    <w:rsid w:val="006A6DBA"/>
    <w:rsid w:val="006A72BB"/>
    <w:rsid w:val="006A73B0"/>
    <w:rsid w:val="006A74BF"/>
    <w:rsid w:val="006B3AFE"/>
    <w:rsid w:val="006B4B99"/>
    <w:rsid w:val="006B58A9"/>
    <w:rsid w:val="006B6248"/>
    <w:rsid w:val="006B77BD"/>
    <w:rsid w:val="006B7B21"/>
    <w:rsid w:val="006B7C59"/>
    <w:rsid w:val="006C09D6"/>
    <w:rsid w:val="006C30AC"/>
    <w:rsid w:val="006C3857"/>
    <w:rsid w:val="006C3918"/>
    <w:rsid w:val="006C4A85"/>
    <w:rsid w:val="006D1B72"/>
    <w:rsid w:val="006D2DDC"/>
    <w:rsid w:val="006D3BE3"/>
    <w:rsid w:val="006D755C"/>
    <w:rsid w:val="006E067C"/>
    <w:rsid w:val="006E1AF6"/>
    <w:rsid w:val="006E350B"/>
    <w:rsid w:val="006E37C9"/>
    <w:rsid w:val="006E42A1"/>
    <w:rsid w:val="006E46C6"/>
    <w:rsid w:val="006E5C52"/>
    <w:rsid w:val="006E5FF5"/>
    <w:rsid w:val="006E76A9"/>
    <w:rsid w:val="006F08F7"/>
    <w:rsid w:val="006F0C6A"/>
    <w:rsid w:val="006F0E77"/>
    <w:rsid w:val="006F164A"/>
    <w:rsid w:val="006F1B3C"/>
    <w:rsid w:val="006F2783"/>
    <w:rsid w:val="006F4C68"/>
    <w:rsid w:val="006F5139"/>
    <w:rsid w:val="00701026"/>
    <w:rsid w:val="007020FE"/>
    <w:rsid w:val="0070351D"/>
    <w:rsid w:val="00704A3D"/>
    <w:rsid w:val="00704EAA"/>
    <w:rsid w:val="00707761"/>
    <w:rsid w:val="0071404B"/>
    <w:rsid w:val="00715B7C"/>
    <w:rsid w:val="007201E1"/>
    <w:rsid w:val="0072066E"/>
    <w:rsid w:val="007214B7"/>
    <w:rsid w:val="00721B23"/>
    <w:rsid w:val="00723539"/>
    <w:rsid w:val="00724CBF"/>
    <w:rsid w:val="007251FC"/>
    <w:rsid w:val="00727CE9"/>
    <w:rsid w:val="0073057C"/>
    <w:rsid w:val="00730BF3"/>
    <w:rsid w:val="00731342"/>
    <w:rsid w:val="00731FFF"/>
    <w:rsid w:val="00735F01"/>
    <w:rsid w:val="00736ED3"/>
    <w:rsid w:val="007405E5"/>
    <w:rsid w:val="00740B4A"/>
    <w:rsid w:val="00741C5A"/>
    <w:rsid w:val="00742780"/>
    <w:rsid w:val="0074369E"/>
    <w:rsid w:val="00752762"/>
    <w:rsid w:val="007528A0"/>
    <w:rsid w:val="00753637"/>
    <w:rsid w:val="00754152"/>
    <w:rsid w:val="00755CEF"/>
    <w:rsid w:val="007604D5"/>
    <w:rsid w:val="00760849"/>
    <w:rsid w:val="00761016"/>
    <w:rsid w:val="007627C7"/>
    <w:rsid w:val="007641D6"/>
    <w:rsid w:val="00765190"/>
    <w:rsid w:val="00766C37"/>
    <w:rsid w:val="0076749D"/>
    <w:rsid w:val="00767505"/>
    <w:rsid w:val="00767CEE"/>
    <w:rsid w:val="0077023D"/>
    <w:rsid w:val="007721C4"/>
    <w:rsid w:val="0077390D"/>
    <w:rsid w:val="007741AF"/>
    <w:rsid w:val="00776534"/>
    <w:rsid w:val="007809C1"/>
    <w:rsid w:val="0078102D"/>
    <w:rsid w:val="00781063"/>
    <w:rsid w:val="00781923"/>
    <w:rsid w:val="007823CE"/>
    <w:rsid w:val="00782840"/>
    <w:rsid w:val="00784D7E"/>
    <w:rsid w:val="007861A0"/>
    <w:rsid w:val="007861C9"/>
    <w:rsid w:val="00786BAF"/>
    <w:rsid w:val="00792792"/>
    <w:rsid w:val="00793A8A"/>
    <w:rsid w:val="00794AF9"/>
    <w:rsid w:val="00794F0B"/>
    <w:rsid w:val="00795EDC"/>
    <w:rsid w:val="00797249"/>
    <w:rsid w:val="00797CF3"/>
    <w:rsid w:val="00797DF2"/>
    <w:rsid w:val="00797F7A"/>
    <w:rsid w:val="007A2233"/>
    <w:rsid w:val="007A37D8"/>
    <w:rsid w:val="007A414E"/>
    <w:rsid w:val="007A5ED5"/>
    <w:rsid w:val="007A74AB"/>
    <w:rsid w:val="007B0BB4"/>
    <w:rsid w:val="007B0F5E"/>
    <w:rsid w:val="007B2AF0"/>
    <w:rsid w:val="007B381A"/>
    <w:rsid w:val="007B517B"/>
    <w:rsid w:val="007B53E2"/>
    <w:rsid w:val="007B5A62"/>
    <w:rsid w:val="007C0A53"/>
    <w:rsid w:val="007C0CC5"/>
    <w:rsid w:val="007C1518"/>
    <w:rsid w:val="007C230A"/>
    <w:rsid w:val="007C25E2"/>
    <w:rsid w:val="007C42CF"/>
    <w:rsid w:val="007C43CB"/>
    <w:rsid w:val="007C480E"/>
    <w:rsid w:val="007C4BCF"/>
    <w:rsid w:val="007D0A21"/>
    <w:rsid w:val="007D1B19"/>
    <w:rsid w:val="007D2F5A"/>
    <w:rsid w:val="007D3FE1"/>
    <w:rsid w:val="007E1217"/>
    <w:rsid w:val="007E386C"/>
    <w:rsid w:val="007E4D5D"/>
    <w:rsid w:val="007F1F99"/>
    <w:rsid w:val="007F334E"/>
    <w:rsid w:val="007F45A0"/>
    <w:rsid w:val="007F5704"/>
    <w:rsid w:val="007F6458"/>
    <w:rsid w:val="007F6BB7"/>
    <w:rsid w:val="007F719F"/>
    <w:rsid w:val="007F7B53"/>
    <w:rsid w:val="0080078C"/>
    <w:rsid w:val="00801685"/>
    <w:rsid w:val="0080351D"/>
    <w:rsid w:val="008050D4"/>
    <w:rsid w:val="008061A8"/>
    <w:rsid w:val="008071D8"/>
    <w:rsid w:val="00810E91"/>
    <w:rsid w:val="008164C0"/>
    <w:rsid w:val="00822D1C"/>
    <w:rsid w:val="0082403A"/>
    <w:rsid w:val="0082489D"/>
    <w:rsid w:val="0082525F"/>
    <w:rsid w:val="00826FAB"/>
    <w:rsid w:val="00831A54"/>
    <w:rsid w:val="0083435C"/>
    <w:rsid w:val="00834C55"/>
    <w:rsid w:val="00835006"/>
    <w:rsid w:val="008411C2"/>
    <w:rsid w:val="008442AE"/>
    <w:rsid w:val="008451AB"/>
    <w:rsid w:val="00850192"/>
    <w:rsid w:val="008506F4"/>
    <w:rsid w:val="00850CC6"/>
    <w:rsid w:val="0085127D"/>
    <w:rsid w:val="008576EA"/>
    <w:rsid w:val="00860773"/>
    <w:rsid w:val="0086265B"/>
    <w:rsid w:val="00863727"/>
    <w:rsid w:val="00866127"/>
    <w:rsid w:val="00866AD3"/>
    <w:rsid w:val="008675B9"/>
    <w:rsid w:val="0087036F"/>
    <w:rsid w:val="0087055B"/>
    <w:rsid w:val="00874E2C"/>
    <w:rsid w:val="00874E4E"/>
    <w:rsid w:val="0087571E"/>
    <w:rsid w:val="008759B2"/>
    <w:rsid w:val="00875ECB"/>
    <w:rsid w:val="00875ECD"/>
    <w:rsid w:val="00876EE2"/>
    <w:rsid w:val="008779E5"/>
    <w:rsid w:val="00883FFE"/>
    <w:rsid w:val="00884B61"/>
    <w:rsid w:val="00886151"/>
    <w:rsid w:val="008873BA"/>
    <w:rsid w:val="00887628"/>
    <w:rsid w:val="008906AA"/>
    <w:rsid w:val="008930F6"/>
    <w:rsid w:val="0089389E"/>
    <w:rsid w:val="008966DD"/>
    <w:rsid w:val="00897738"/>
    <w:rsid w:val="00897C52"/>
    <w:rsid w:val="008A0721"/>
    <w:rsid w:val="008A1222"/>
    <w:rsid w:val="008A155D"/>
    <w:rsid w:val="008A391D"/>
    <w:rsid w:val="008A5B9D"/>
    <w:rsid w:val="008A631B"/>
    <w:rsid w:val="008A7242"/>
    <w:rsid w:val="008A7B21"/>
    <w:rsid w:val="008B1436"/>
    <w:rsid w:val="008B14A2"/>
    <w:rsid w:val="008B26BA"/>
    <w:rsid w:val="008B30C5"/>
    <w:rsid w:val="008B5804"/>
    <w:rsid w:val="008C0A93"/>
    <w:rsid w:val="008C31BA"/>
    <w:rsid w:val="008C3AAD"/>
    <w:rsid w:val="008C488F"/>
    <w:rsid w:val="008C5E99"/>
    <w:rsid w:val="008D0436"/>
    <w:rsid w:val="008D0F49"/>
    <w:rsid w:val="008D12BD"/>
    <w:rsid w:val="008D48AA"/>
    <w:rsid w:val="008D5A2A"/>
    <w:rsid w:val="008D606B"/>
    <w:rsid w:val="008D7225"/>
    <w:rsid w:val="008D77CA"/>
    <w:rsid w:val="008D78F5"/>
    <w:rsid w:val="008E01B0"/>
    <w:rsid w:val="008E5D03"/>
    <w:rsid w:val="008F1EDC"/>
    <w:rsid w:val="008F397F"/>
    <w:rsid w:val="008F575C"/>
    <w:rsid w:val="008F5814"/>
    <w:rsid w:val="008F6B9C"/>
    <w:rsid w:val="008F6C8E"/>
    <w:rsid w:val="008F6F64"/>
    <w:rsid w:val="008F70FB"/>
    <w:rsid w:val="00901784"/>
    <w:rsid w:val="00902694"/>
    <w:rsid w:val="0090476E"/>
    <w:rsid w:val="009056C3"/>
    <w:rsid w:val="00906B6B"/>
    <w:rsid w:val="00910814"/>
    <w:rsid w:val="00912B06"/>
    <w:rsid w:val="00913DDA"/>
    <w:rsid w:val="00914699"/>
    <w:rsid w:val="00914E24"/>
    <w:rsid w:val="00915425"/>
    <w:rsid w:val="0091646D"/>
    <w:rsid w:val="009206AF"/>
    <w:rsid w:val="00921C2E"/>
    <w:rsid w:val="0092390B"/>
    <w:rsid w:val="0092546B"/>
    <w:rsid w:val="00927BD5"/>
    <w:rsid w:val="00930E40"/>
    <w:rsid w:val="00932218"/>
    <w:rsid w:val="00932525"/>
    <w:rsid w:val="0093303C"/>
    <w:rsid w:val="00935DCF"/>
    <w:rsid w:val="00936193"/>
    <w:rsid w:val="00936983"/>
    <w:rsid w:val="00936EBB"/>
    <w:rsid w:val="009372D9"/>
    <w:rsid w:val="0094730A"/>
    <w:rsid w:val="009477CC"/>
    <w:rsid w:val="009478BA"/>
    <w:rsid w:val="00951881"/>
    <w:rsid w:val="00951ADD"/>
    <w:rsid w:val="00952407"/>
    <w:rsid w:val="00952CC2"/>
    <w:rsid w:val="009539A8"/>
    <w:rsid w:val="00953CC4"/>
    <w:rsid w:val="00954083"/>
    <w:rsid w:val="009567AF"/>
    <w:rsid w:val="0095724A"/>
    <w:rsid w:val="00960BB7"/>
    <w:rsid w:val="00962300"/>
    <w:rsid w:val="00962519"/>
    <w:rsid w:val="0096423E"/>
    <w:rsid w:val="00965E3B"/>
    <w:rsid w:val="00966267"/>
    <w:rsid w:val="00966A69"/>
    <w:rsid w:val="0097024B"/>
    <w:rsid w:val="00970947"/>
    <w:rsid w:val="00973B94"/>
    <w:rsid w:val="00975D97"/>
    <w:rsid w:val="00976401"/>
    <w:rsid w:val="00977D8F"/>
    <w:rsid w:val="00980AE4"/>
    <w:rsid w:val="00981823"/>
    <w:rsid w:val="00983091"/>
    <w:rsid w:val="00984CDB"/>
    <w:rsid w:val="00985B2A"/>
    <w:rsid w:val="00987C80"/>
    <w:rsid w:val="00991408"/>
    <w:rsid w:val="0099211D"/>
    <w:rsid w:val="0099264F"/>
    <w:rsid w:val="00993B03"/>
    <w:rsid w:val="00993FBC"/>
    <w:rsid w:val="009943A5"/>
    <w:rsid w:val="0099492C"/>
    <w:rsid w:val="00995509"/>
    <w:rsid w:val="009961B7"/>
    <w:rsid w:val="0099678B"/>
    <w:rsid w:val="009967FD"/>
    <w:rsid w:val="009A031F"/>
    <w:rsid w:val="009A08D5"/>
    <w:rsid w:val="009A1E15"/>
    <w:rsid w:val="009A2C24"/>
    <w:rsid w:val="009A45A8"/>
    <w:rsid w:val="009A516E"/>
    <w:rsid w:val="009A6BBB"/>
    <w:rsid w:val="009A6D25"/>
    <w:rsid w:val="009B09E6"/>
    <w:rsid w:val="009B3DB8"/>
    <w:rsid w:val="009B453B"/>
    <w:rsid w:val="009B458E"/>
    <w:rsid w:val="009B67C2"/>
    <w:rsid w:val="009C38C4"/>
    <w:rsid w:val="009C3ED2"/>
    <w:rsid w:val="009C549D"/>
    <w:rsid w:val="009C67AD"/>
    <w:rsid w:val="009C779F"/>
    <w:rsid w:val="009C77E6"/>
    <w:rsid w:val="009C7B2E"/>
    <w:rsid w:val="009D0085"/>
    <w:rsid w:val="009D60D6"/>
    <w:rsid w:val="009E0F14"/>
    <w:rsid w:val="009E1C60"/>
    <w:rsid w:val="009E28D1"/>
    <w:rsid w:val="009E3547"/>
    <w:rsid w:val="009E3814"/>
    <w:rsid w:val="009E4703"/>
    <w:rsid w:val="009E5731"/>
    <w:rsid w:val="009E7277"/>
    <w:rsid w:val="009E758F"/>
    <w:rsid w:val="009F07F3"/>
    <w:rsid w:val="009F0861"/>
    <w:rsid w:val="009F1089"/>
    <w:rsid w:val="009F1531"/>
    <w:rsid w:val="009F1BC2"/>
    <w:rsid w:val="009F349C"/>
    <w:rsid w:val="009F3AC4"/>
    <w:rsid w:val="00A018EA"/>
    <w:rsid w:val="00A054DE"/>
    <w:rsid w:val="00A05FBD"/>
    <w:rsid w:val="00A0670B"/>
    <w:rsid w:val="00A07A81"/>
    <w:rsid w:val="00A07C7D"/>
    <w:rsid w:val="00A11662"/>
    <w:rsid w:val="00A116D4"/>
    <w:rsid w:val="00A13E7E"/>
    <w:rsid w:val="00A14BA4"/>
    <w:rsid w:val="00A1747B"/>
    <w:rsid w:val="00A2027D"/>
    <w:rsid w:val="00A2221E"/>
    <w:rsid w:val="00A231ED"/>
    <w:rsid w:val="00A25179"/>
    <w:rsid w:val="00A256E6"/>
    <w:rsid w:val="00A25DE3"/>
    <w:rsid w:val="00A260AF"/>
    <w:rsid w:val="00A30015"/>
    <w:rsid w:val="00A316D3"/>
    <w:rsid w:val="00A3187A"/>
    <w:rsid w:val="00A33043"/>
    <w:rsid w:val="00A35744"/>
    <w:rsid w:val="00A3575C"/>
    <w:rsid w:val="00A35B9A"/>
    <w:rsid w:val="00A36563"/>
    <w:rsid w:val="00A37D12"/>
    <w:rsid w:val="00A37F3C"/>
    <w:rsid w:val="00A40404"/>
    <w:rsid w:val="00A4197A"/>
    <w:rsid w:val="00A43376"/>
    <w:rsid w:val="00A43D64"/>
    <w:rsid w:val="00A456E0"/>
    <w:rsid w:val="00A46CCD"/>
    <w:rsid w:val="00A479A0"/>
    <w:rsid w:val="00A47D21"/>
    <w:rsid w:val="00A506DD"/>
    <w:rsid w:val="00A51631"/>
    <w:rsid w:val="00A524D0"/>
    <w:rsid w:val="00A52C58"/>
    <w:rsid w:val="00A52DC2"/>
    <w:rsid w:val="00A53140"/>
    <w:rsid w:val="00A54628"/>
    <w:rsid w:val="00A5501E"/>
    <w:rsid w:val="00A55795"/>
    <w:rsid w:val="00A55CC2"/>
    <w:rsid w:val="00A60815"/>
    <w:rsid w:val="00A61EFB"/>
    <w:rsid w:val="00A61F9F"/>
    <w:rsid w:val="00A62151"/>
    <w:rsid w:val="00A64497"/>
    <w:rsid w:val="00A64504"/>
    <w:rsid w:val="00A64CE0"/>
    <w:rsid w:val="00A65208"/>
    <w:rsid w:val="00A658AE"/>
    <w:rsid w:val="00A67E0A"/>
    <w:rsid w:val="00A7041E"/>
    <w:rsid w:val="00A715F6"/>
    <w:rsid w:val="00A71A74"/>
    <w:rsid w:val="00A74433"/>
    <w:rsid w:val="00A763EC"/>
    <w:rsid w:val="00A808B9"/>
    <w:rsid w:val="00A809C6"/>
    <w:rsid w:val="00A82D59"/>
    <w:rsid w:val="00A85083"/>
    <w:rsid w:val="00A85329"/>
    <w:rsid w:val="00A858AC"/>
    <w:rsid w:val="00A85BD3"/>
    <w:rsid w:val="00A86190"/>
    <w:rsid w:val="00A86DBC"/>
    <w:rsid w:val="00A87B1D"/>
    <w:rsid w:val="00A9092D"/>
    <w:rsid w:val="00A90C0F"/>
    <w:rsid w:val="00A93CD8"/>
    <w:rsid w:val="00A93F26"/>
    <w:rsid w:val="00A95434"/>
    <w:rsid w:val="00A9674F"/>
    <w:rsid w:val="00A974D5"/>
    <w:rsid w:val="00AA0290"/>
    <w:rsid w:val="00AA0C19"/>
    <w:rsid w:val="00AA1999"/>
    <w:rsid w:val="00AA51EB"/>
    <w:rsid w:val="00AA5F7C"/>
    <w:rsid w:val="00AA6D67"/>
    <w:rsid w:val="00AA7C4C"/>
    <w:rsid w:val="00AB2C94"/>
    <w:rsid w:val="00AB4881"/>
    <w:rsid w:val="00AB7158"/>
    <w:rsid w:val="00AB72E4"/>
    <w:rsid w:val="00AC113D"/>
    <w:rsid w:val="00AC161D"/>
    <w:rsid w:val="00AC35C3"/>
    <w:rsid w:val="00AC4F07"/>
    <w:rsid w:val="00AC5B96"/>
    <w:rsid w:val="00AC5FB2"/>
    <w:rsid w:val="00AC67C6"/>
    <w:rsid w:val="00AC7689"/>
    <w:rsid w:val="00AD03DE"/>
    <w:rsid w:val="00AD304C"/>
    <w:rsid w:val="00AD3E40"/>
    <w:rsid w:val="00AD440F"/>
    <w:rsid w:val="00AD4554"/>
    <w:rsid w:val="00AD5DBF"/>
    <w:rsid w:val="00AE07D5"/>
    <w:rsid w:val="00AE2343"/>
    <w:rsid w:val="00AE2DE2"/>
    <w:rsid w:val="00AE356E"/>
    <w:rsid w:val="00AE3DAD"/>
    <w:rsid w:val="00AE412D"/>
    <w:rsid w:val="00AE56DD"/>
    <w:rsid w:val="00AE6D0E"/>
    <w:rsid w:val="00AF0B62"/>
    <w:rsid w:val="00AF2671"/>
    <w:rsid w:val="00AF2B31"/>
    <w:rsid w:val="00AF7755"/>
    <w:rsid w:val="00AF7D0F"/>
    <w:rsid w:val="00B0091A"/>
    <w:rsid w:val="00B054A8"/>
    <w:rsid w:val="00B0737F"/>
    <w:rsid w:val="00B0782D"/>
    <w:rsid w:val="00B07CB1"/>
    <w:rsid w:val="00B100F8"/>
    <w:rsid w:val="00B15321"/>
    <w:rsid w:val="00B16DAB"/>
    <w:rsid w:val="00B1728C"/>
    <w:rsid w:val="00B217A2"/>
    <w:rsid w:val="00B21AFA"/>
    <w:rsid w:val="00B22352"/>
    <w:rsid w:val="00B242C4"/>
    <w:rsid w:val="00B25B0F"/>
    <w:rsid w:val="00B2683E"/>
    <w:rsid w:val="00B26D48"/>
    <w:rsid w:val="00B32F61"/>
    <w:rsid w:val="00B3641A"/>
    <w:rsid w:val="00B36938"/>
    <w:rsid w:val="00B405E4"/>
    <w:rsid w:val="00B43563"/>
    <w:rsid w:val="00B43E86"/>
    <w:rsid w:val="00B44166"/>
    <w:rsid w:val="00B44A56"/>
    <w:rsid w:val="00B44D41"/>
    <w:rsid w:val="00B47997"/>
    <w:rsid w:val="00B50E18"/>
    <w:rsid w:val="00B51FF9"/>
    <w:rsid w:val="00B53E57"/>
    <w:rsid w:val="00B541AB"/>
    <w:rsid w:val="00B54842"/>
    <w:rsid w:val="00B56406"/>
    <w:rsid w:val="00B56CEB"/>
    <w:rsid w:val="00B57622"/>
    <w:rsid w:val="00B60810"/>
    <w:rsid w:val="00B6098F"/>
    <w:rsid w:val="00B6160B"/>
    <w:rsid w:val="00B62827"/>
    <w:rsid w:val="00B63106"/>
    <w:rsid w:val="00B639B8"/>
    <w:rsid w:val="00B646B4"/>
    <w:rsid w:val="00B65CF6"/>
    <w:rsid w:val="00B66E38"/>
    <w:rsid w:val="00B70B35"/>
    <w:rsid w:val="00B71C0D"/>
    <w:rsid w:val="00B72A79"/>
    <w:rsid w:val="00B734CE"/>
    <w:rsid w:val="00B73BFE"/>
    <w:rsid w:val="00B76FE7"/>
    <w:rsid w:val="00B77B54"/>
    <w:rsid w:val="00B82233"/>
    <w:rsid w:val="00B8254D"/>
    <w:rsid w:val="00B82A71"/>
    <w:rsid w:val="00B82AF7"/>
    <w:rsid w:val="00B83BC7"/>
    <w:rsid w:val="00B84BF0"/>
    <w:rsid w:val="00B85B66"/>
    <w:rsid w:val="00B85BB1"/>
    <w:rsid w:val="00B8607A"/>
    <w:rsid w:val="00B91E7A"/>
    <w:rsid w:val="00B92F64"/>
    <w:rsid w:val="00B93D54"/>
    <w:rsid w:val="00B94EEC"/>
    <w:rsid w:val="00B97640"/>
    <w:rsid w:val="00BA0FE5"/>
    <w:rsid w:val="00BA252C"/>
    <w:rsid w:val="00BA5392"/>
    <w:rsid w:val="00BA5C7C"/>
    <w:rsid w:val="00BB06A2"/>
    <w:rsid w:val="00BB085E"/>
    <w:rsid w:val="00BB1696"/>
    <w:rsid w:val="00BB233D"/>
    <w:rsid w:val="00BB2352"/>
    <w:rsid w:val="00BB3908"/>
    <w:rsid w:val="00BB6289"/>
    <w:rsid w:val="00BB692B"/>
    <w:rsid w:val="00BC32B0"/>
    <w:rsid w:val="00BC4692"/>
    <w:rsid w:val="00BC4A06"/>
    <w:rsid w:val="00BC55C4"/>
    <w:rsid w:val="00BC6561"/>
    <w:rsid w:val="00BC7F11"/>
    <w:rsid w:val="00BD0F39"/>
    <w:rsid w:val="00BD1766"/>
    <w:rsid w:val="00BD2318"/>
    <w:rsid w:val="00BD615D"/>
    <w:rsid w:val="00BD6D37"/>
    <w:rsid w:val="00BD6EE8"/>
    <w:rsid w:val="00BE1065"/>
    <w:rsid w:val="00BE1139"/>
    <w:rsid w:val="00BE141C"/>
    <w:rsid w:val="00BE2B9D"/>
    <w:rsid w:val="00BE3986"/>
    <w:rsid w:val="00BE57C7"/>
    <w:rsid w:val="00BE7033"/>
    <w:rsid w:val="00BF018B"/>
    <w:rsid w:val="00BF01A2"/>
    <w:rsid w:val="00BF0278"/>
    <w:rsid w:val="00BF04C6"/>
    <w:rsid w:val="00BF272A"/>
    <w:rsid w:val="00BF2EC4"/>
    <w:rsid w:val="00BF44D9"/>
    <w:rsid w:val="00BF58F1"/>
    <w:rsid w:val="00BF7BA5"/>
    <w:rsid w:val="00C01064"/>
    <w:rsid w:val="00C03389"/>
    <w:rsid w:val="00C039F8"/>
    <w:rsid w:val="00C06D7F"/>
    <w:rsid w:val="00C074EA"/>
    <w:rsid w:val="00C077F4"/>
    <w:rsid w:val="00C11360"/>
    <w:rsid w:val="00C11708"/>
    <w:rsid w:val="00C11F09"/>
    <w:rsid w:val="00C1241D"/>
    <w:rsid w:val="00C12D92"/>
    <w:rsid w:val="00C137F4"/>
    <w:rsid w:val="00C148D4"/>
    <w:rsid w:val="00C1493A"/>
    <w:rsid w:val="00C15F83"/>
    <w:rsid w:val="00C174C8"/>
    <w:rsid w:val="00C17701"/>
    <w:rsid w:val="00C17DA8"/>
    <w:rsid w:val="00C23B0C"/>
    <w:rsid w:val="00C253E9"/>
    <w:rsid w:val="00C26484"/>
    <w:rsid w:val="00C3082B"/>
    <w:rsid w:val="00C3403D"/>
    <w:rsid w:val="00C349EE"/>
    <w:rsid w:val="00C35499"/>
    <w:rsid w:val="00C3642F"/>
    <w:rsid w:val="00C434E6"/>
    <w:rsid w:val="00C44279"/>
    <w:rsid w:val="00C443FF"/>
    <w:rsid w:val="00C44B99"/>
    <w:rsid w:val="00C45604"/>
    <w:rsid w:val="00C46A48"/>
    <w:rsid w:val="00C478B7"/>
    <w:rsid w:val="00C50661"/>
    <w:rsid w:val="00C51252"/>
    <w:rsid w:val="00C52B40"/>
    <w:rsid w:val="00C53294"/>
    <w:rsid w:val="00C53690"/>
    <w:rsid w:val="00C53E51"/>
    <w:rsid w:val="00C55EEC"/>
    <w:rsid w:val="00C565F6"/>
    <w:rsid w:val="00C566F3"/>
    <w:rsid w:val="00C56950"/>
    <w:rsid w:val="00C56DE2"/>
    <w:rsid w:val="00C576C6"/>
    <w:rsid w:val="00C60613"/>
    <w:rsid w:val="00C63B29"/>
    <w:rsid w:val="00C64CC0"/>
    <w:rsid w:val="00C64E8D"/>
    <w:rsid w:val="00C65F91"/>
    <w:rsid w:val="00C6645E"/>
    <w:rsid w:val="00C67A65"/>
    <w:rsid w:val="00C71584"/>
    <w:rsid w:val="00C74AB8"/>
    <w:rsid w:val="00C74C15"/>
    <w:rsid w:val="00C7514E"/>
    <w:rsid w:val="00C75150"/>
    <w:rsid w:val="00C767EB"/>
    <w:rsid w:val="00C76825"/>
    <w:rsid w:val="00C80AF0"/>
    <w:rsid w:val="00C83E3E"/>
    <w:rsid w:val="00C854E3"/>
    <w:rsid w:val="00C85E59"/>
    <w:rsid w:val="00C865E2"/>
    <w:rsid w:val="00C9281A"/>
    <w:rsid w:val="00C9469A"/>
    <w:rsid w:val="00C94AFD"/>
    <w:rsid w:val="00C95156"/>
    <w:rsid w:val="00C955F9"/>
    <w:rsid w:val="00C95D93"/>
    <w:rsid w:val="00C96BF3"/>
    <w:rsid w:val="00C96FAA"/>
    <w:rsid w:val="00C97FEE"/>
    <w:rsid w:val="00CA1015"/>
    <w:rsid w:val="00CA4F4E"/>
    <w:rsid w:val="00CA696A"/>
    <w:rsid w:val="00CB0816"/>
    <w:rsid w:val="00CB0C07"/>
    <w:rsid w:val="00CB25B5"/>
    <w:rsid w:val="00CB332A"/>
    <w:rsid w:val="00CB3F3F"/>
    <w:rsid w:val="00CB56DA"/>
    <w:rsid w:val="00CB6F48"/>
    <w:rsid w:val="00CC0325"/>
    <w:rsid w:val="00CC27F1"/>
    <w:rsid w:val="00CC2814"/>
    <w:rsid w:val="00CC3AA2"/>
    <w:rsid w:val="00CC60FB"/>
    <w:rsid w:val="00CC6397"/>
    <w:rsid w:val="00CD1020"/>
    <w:rsid w:val="00CD16DB"/>
    <w:rsid w:val="00CD1737"/>
    <w:rsid w:val="00CD1E5C"/>
    <w:rsid w:val="00CD236C"/>
    <w:rsid w:val="00CD3608"/>
    <w:rsid w:val="00CD3B50"/>
    <w:rsid w:val="00CD52BF"/>
    <w:rsid w:val="00CD538A"/>
    <w:rsid w:val="00CE0C24"/>
    <w:rsid w:val="00CE23A8"/>
    <w:rsid w:val="00CF34F0"/>
    <w:rsid w:val="00CF4D52"/>
    <w:rsid w:val="00CF4D93"/>
    <w:rsid w:val="00CF50FD"/>
    <w:rsid w:val="00CF5E00"/>
    <w:rsid w:val="00CF6D1B"/>
    <w:rsid w:val="00D01C30"/>
    <w:rsid w:val="00D02102"/>
    <w:rsid w:val="00D021D7"/>
    <w:rsid w:val="00D02488"/>
    <w:rsid w:val="00D024F3"/>
    <w:rsid w:val="00D0345C"/>
    <w:rsid w:val="00D04197"/>
    <w:rsid w:val="00D0612C"/>
    <w:rsid w:val="00D07DB0"/>
    <w:rsid w:val="00D07F95"/>
    <w:rsid w:val="00D10FF0"/>
    <w:rsid w:val="00D11BCA"/>
    <w:rsid w:val="00D122DA"/>
    <w:rsid w:val="00D1305E"/>
    <w:rsid w:val="00D1351F"/>
    <w:rsid w:val="00D1573A"/>
    <w:rsid w:val="00D159E6"/>
    <w:rsid w:val="00D204CC"/>
    <w:rsid w:val="00D20D46"/>
    <w:rsid w:val="00D2233B"/>
    <w:rsid w:val="00D233F2"/>
    <w:rsid w:val="00D234BA"/>
    <w:rsid w:val="00D26DB8"/>
    <w:rsid w:val="00D2787D"/>
    <w:rsid w:val="00D33880"/>
    <w:rsid w:val="00D34A4D"/>
    <w:rsid w:val="00D34EC7"/>
    <w:rsid w:val="00D35BC9"/>
    <w:rsid w:val="00D401E5"/>
    <w:rsid w:val="00D404B2"/>
    <w:rsid w:val="00D41461"/>
    <w:rsid w:val="00D41EBD"/>
    <w:rsid w:val="00D43DE1"/>
    <w:rsid w:val="00D43F4A"/>
    <w:rsid w:val="00D4615F"/>
    <w:rsid w:val="00D47F58"/>
    <w:rsid w:val="00D5025B"/>
    <w:rsid w:val="00D54167"/>
    <w:rsid w:val="00D543DE"/>
    <w:rsid w:val="00D54A00"/>
    <w:rsid w:val="00D5613B"/>
    <w:rsid w:val="00D60D74"/>
    <w:rsid w:val="00D6194D"/>
    <w:rsid w:val="00D635D7"/>
    <w:rsid w:val="00D63857"/>
    <w:rsid w:val="00D649A4"/>
    <w:rsid w:val="00D66803"/>
    <w:rsid w:val="00D67D0F"/>
    <w:rsid w:val="00D7182D"/>
    <w:rsid w:val="00D71F9B"/>
    <w:rsid w:val="00D73E30"/>
    <w:rsid w:val="00D74026"/>
    <w:rsid w:val="00D74686"/>
    <w:rsid w:val="00D74BD3"/>
    <w:rsid w:val="00D7545D"/>
    <w:rsid w:val="00D77291"/>
    <w:rsid w:val="00D81B74"/>
    <w:rsid w:val="00D83D19"/>
    <w:rsid w:val="00D8516D"/>
    <w:rsid w:val="00D851FF"/>
    <w:rsid w:val="00D86256"/>
    <w:rsid w:val="00D86567"/>
    <w:rsid w:val="00D86B5B"/>
    <w:rsid w:val="00D87264"/>
    <w:rsid w:val="00D87F8D"/>
    <w:rsid w:val="00D87FA5"/>
    <w:rsid w:val="00D91372"/>
    <w:rsid w:val="00D919AF"/>
    <w:rsid w:val="00D97171"/>
    <w:rsid w:val="00D97F47"/>
    <w:rsid w:val="00DA15ED"/>
    <w:rsid w:val="00DA3D28"/>
    <w:rsid w:val="00DA6AA0"/>
    <w:rsid w:val="00DB0B1A"/>
    <w:rsid w:val="00DB0EF0"/>
    <w:rsid w:val="00DB3DEF"/>
    <w:rsid w:val="00DB3F86"/>
    <w:rsid w:val="00DB4104"/>
    <w:rsid w:val="00DB4746"/>
    <w:rsid w:val="00DB6899"/>
    <w:rsid w:val="00DB6A3D"/>
    <w:rsid w:val="00DB6DFB"/>
    <w:rsid w:val="00DB75B7"/>
    <w:rsid w:val="00DB7BB2"/>
    <w:rsid w:val="00DB7CBD"/>
    <w:rsid w:val="00DC0FF6"/>
    <w:rsid w:val="00DC1098"/>
    <w:rsid w:val="00DC249C"/>
    <w:rsid w:val="00DC41B2"/>
    <w:rsid w:val="00DC6613"/>
    <w:rsid w:val="00DC7412"/>
    <w:rsid w:val="00DD0851"/>
    <w:rsid w:val="00DD365B"/>
    <w:rsid w:val="00DD4452"/>
    <w:rsid w:val="00DD5535"/>
    <w:rsid w:val="00DD64CC"/>
    <w:rsid w:val="00DD7962"/>
    <w:rsid w:val="00DD7C37"/>
    <w:rsid w:val="00DE0204"/>
    <w:rsid w:val="00DE0F04"/>
    <w:rsid w:val="00DE456D"/>
    <w:rsid w:val="00DE519D"/>
    <w:rsid w:val="00DE722A"/>
    <w:rsid w:val="00DF02A7"/>
    <w:rsid w:val="00DF5228"/>
    <w:rsid w:val="00DF5269"/>
    <w:rsid w:val="00DF571D"/>
    <w:rsid w:val="00DF659A"/>
    <w:rsid w:val="00DF6867"/>
    <w:rsid w:val="00DF7080"/>
    <w:rsid w:val="00E00CE7"/>
    <w:rsid w:val="00E01624"/>
    <w:rsid w:val="00E03630"/>
    <w:rsid w:val="00E042BE"/>
    <w:rsid w:val="00E05E85"/>
    <w:rsid w:val="00E06BD0"/>
    <w:rsid w:val="00E07006"/>
    <w:rsid w:val="00E10691"/>
    <w:rsid w:val="00E130C1"/>
    <w:rsid w:val="00E1373F"/>
    <w:rsid w:val="00E13862"/>
    <w:rsid w:val="00E13D51"/>
    <w:rsid w:val="00E14A23"/>
    <w:rsid w:val="00E14C23"/>
    <w:rsid w:val="00E20AE3"/>
    <w:rsid w:val="00E20B5F"/>
    <w:rsid w:val="00E20BA8"/>
    <w:rsid w:val="00E211D1"/>
    <w:rsid w:val="00E219B2"/>
    <w:rsid w:val="00E234E5"/>
    <w:rsid w:val="00E248B8"/>
    <w:rsid w:val="00E250E1"/>
    <w:rsid w:val="00E2717D"/>
    <w:rsid w:val="00E30717"/>
    <w:rsid w:val="00E322F7"/>
    <w:rsid w:val="00E3366D"/>
    <w:rsid w:val="00E35E9A"/>
    <w:rsid w:val="00E4442C"/>
    <w:rsid w:val="00E47A25"/>
    <w:rsid w:val="00E5356C"/>
    <w:rsid w:val="00E56583"/>
    <w:rsid w:val="00E569CB"/>
    <w:rsid w:val="00E57FE6"/>
    <w:rsid w:val="00E603CE"/>
    <w:rsid w:val="00E6068A"/>
    <w:rsid w:val="00E66C1E"/>
    <w:rsid w:val="00E706CF"/>
    <w:rsid w:val="00E71649"/>
    <w:rsid w:val="00E7237D"/>
    <w:rsid w:val="00E731D8"/>
    <w:rsid w:val="00E73568"/>
    <w:rsid w:val="00E742A6"/>
    <w:rsid w:val="00E74C44"/>
    <w:rsid w:val="00E7534F"/>
    <w:rsid w:val="00E76C58"/>
    <w:rsid w:val="00E77880"/>
    <w:rsid w:val="00E8011F"/>
    <w:rsid w:val="00E80337"/>
    <w:rsid w:val="00E8075D"/>
    <w:rsid w:val="00E81AB1"/>
    <w:rsid w:val="00E81C91"/>
    <w:rsid w:val="00E828D1"/>
    <w:rsid w:val="00E82D84"/>
    <w:rsid w:val="00E84259"/>
    <w:rsid w:val="00E84C9E"/>
    <w:rsid w:val="00E867A5"/>
    <w:rsid w:val="00E902BF"/>
    <w:rsid w:val="00E913A0"/>
    <w:rsid w:val="00E95B31"/>
    <w:rsid w:val="00E9671F"/>
    <w:rsid w:val="00E97EA5"/>
    <w:rsid w:val="00EA0F74"/>
    <w:rsid w:val="00EA1750"/>
    <w:rsid w:val="00EA6047"/>
    <w:rsid w:val="00EB0055"/>
    <w:rsid w:val="00EB0547"/>
    <w:rsid w:val="00EB0B3D"/>
    <w:rsid w:val="00EB0B42"/>
    <w:rsid w:val="00EB20D6"/>
    <w:rsid w:val="00EB4FB5"/>
    <w:rsid w:val="00EB5418"/>
    <w:rsid w:val="00EB6689"/>
    <w:rsid w:val="00EB7201"/>
    <w:rsid w:val="00EC3E32"/>
    <w:rsid w:val="00EC50B4"/>
    <w:rsid w:val="00EC52FC"/>
    <w:rsid w:val="00EC5443"/>
    <w:rsid w:val="00EC67BE"/>
    <w:rsid w:val="00EC70D2"/>
    <w:rsid w:val="00ED0115"/>
    <w:rsid w:val="00ED1572"/>
    <w:rsid w:val="00ED225F"/>
    <w:rsid w:val="00ED2393"/>
    <w:rsid w:val="00ED39B7"/>
    <w:rsid w:val="00ED5256"/>
    <w:rsid w:val="00ED69CD"/>
    <w:rsid w:val="00ED71FB"/>
    <w:rsid w:val="00EE13EB"/>
    <w:rsid w:val="00EE2FC9"/>
    <w:rsid w:val="00EE4817"/>
    <w:rsid w:val="00EE55C2"/>
    <w:rsid w:val="00EF7F7B"/>
    <w:rsid w:val="00F00390"/>
    <w:rsid w:val="00F006E5"/>
    <w:rsid w:val="00F00B29"/>
    <w:rsid w:val="00F02616"/>
    <w:rsid w:val="00F028C9"/>
    <w:rsid w:val="00F02D39"/>
    <w:rsid w:val="00F04791"/>
    <w:rsid w:val="00F06C30"/>
    <w:rsid w:val="00F07057"/>
    <w:rsid w:val="00F07792"/>
    <w:rsid w:val="00F15B42"/>
    <w:rsid w:val="00F165AF"/>
    <w:rsid w:val="00F17240"/>
    <w:rsid w:val="00F17760"/>
    <w:rsid w:val="00F20BE5"/>
    <w:rsid w:val="00F21D49"/>
    <w:rsid w:val="00F223C4"/>
    <w:rsid w:val="00F22B74"/>
    <w:rsid w:val="00F269A8"/>
    <w:rsid w:val="00F27E76"/>
    <w:rsid w:val="00F27ECF"/>
    <w:rsid w:val="00F30E58"/>
    <w:rsid w:val="00F32FCA"/>
    <w:rsid w:val="00F33CA3"/>
    <w:rsid w:val="00F33F76"/>
    <w:rsid w:val="00F34EC0"/>
    <w:rsid w:val="00F36584"/>
    <w:rsid w:val="00F37B60"/>
    <w:rsid w:val="00F40979"/>
    <w:rsid w:val="00F4192F"/>
    <w:rsid w:val="00F42DC6"/>
    <w:rsid w:val="00F45099"/>
    <w:rsid w:val="00F45300"/>
    <w:rsid w:val="00F45805"/>
    <w:rsid w:val="00F4596B"/>
    <w:rsid w:val="00F4649E"/>
    <w:rsid w:val="00F502DB"/>
    <w:rsid w:val="00F50ACB"/>
    <w:rsid w:val="00F52F01"/>
    <w:rsid w:val="00F54A0A"/>
    <w:rsid w:val="00F54EDE"/>
    <w:rsid w:val="00F5503F"/>
    <w:rsid w:val="00F55A87"/>
    <w:rsid w:val="00F560D5"/>
    <w:rsid w:val="00F568EB"/>
    <w:rsid w:val="00F56C4C"/>
    <w:rsid w:val="00F626C2"/>
    <w:rsid w:val="00F65840"/>
    <w:rsid w:val="00F664D7"/>
    <w:rsid w:val="00F669EB"/>
    <w:rsid w:val="00F6776B"/>
    <w:rsid w:val="00F71353"/>
    <w:rsid w:val="00F73406"/>
    <w:rsid w:val="00F74EF3"/>
    <w:rsid w:val="00F770C6"/>
    <w:rsid w:val="00F8194D"/>
    <w:rsid w:val="00F82487"/>
    <w:rsid w:val="00F82E8E"/>
    <w:rsid w:val="00F850BB"/>
    <w:rsid w:val="00F878D4"/>
    <w:rsid w:val="00F90E53"/>
    <w:rsid w:val="00F92827"/>
    <w:rsid w:val="00F94115"/>
    <w:rsid w:val="00F94F6C"/>
    <w:rsid w:val="00FA1F3D"/>
    <w:rsid w:val="00FA2FCA"/>
    <w:rsid w:val="00FA4C30"/>
    <w:rsid w:val="00FA55D5"/>
    <w:rsid w:val="00FA7D0E"/>
    <w:rsid w:val="00FB0361"/>
    <w:rsid w:val="00FB061E"/>
    <w:rsid w:val="00FB06AB"/>
    <w:rsid w:val="00FB1961"/>
    <w:rsid w:val="00FB2873"/>
    <w:rsid w:val="00FB3709"/>
    <w:rsid w:val="00FB5942"/>
    <w:rsid w:val="00FC00D9"/>
    <w:rsid w:val="00FC00FA"/>
    <w:rsid w:val="00FC0AF3"/>
    <w:rsid w:val="00FC0FF0"/>
    <w:rsid w:val="00FC212F"/>
    <w:rsid w:val="00FC3100"/>
    <w:rsid w:val="00FC44A7"/>
    <w:rsid w:val="00FC500B"/>
    <w:rsid w:val="00FC6C9B"/>
    <w:rsid w:val="00FC7192"/>
    <w:rsid w:val="00FD1660"/>
    <w:rsid w:val="00FD20FA"/>
    <w:rsid w:val="00FD5352"/>
    <w:rsid w:val="00FD761E"/>
    <w:rsid w:val="00FE02CE"/>
    <w:rsid w:val="00FE10EB"/>
    <w:rsid w:val="00FE20CB"/>
    <w:rsid w:val="00FE25E1"/>
    <w:rsid w:val="00FE3B94"/>
    <w:rsid w:val="00FE4C49"/>
    <w:rsid w:val="00FF0C6E"/>
    <w:rsid w:val="00FF0D0C"/>
    <w:rsid w:val="00FF22AF"/>
    <w:rsid w:val="00FF2F9B"/>
    <w:rsid w:val="00FF3301"/>
    <w:rsid w:val="00FF4ACD"/>
    <w:rsid w:val="00FF5350"/>
    <w:rsid w:val="00FF5AF3"/>
    <w:rsid w:val="00FF623E"/>
    <w:rsid w:val="00FF6884"/>
    <w:rsid w:val="00FF6E38"/>
    <w:rsid w:val="00FF6EE1"/>
    <w:rsid w:val="00FF78C0"/>
    <w:rsid w:val="00FF7C79"/>
    <w:rsid w:val="052735BF"/>
    <w:rsid w:val="08C47AD9"/>
    <w:rsid w:val="0E2B0F7F"/>
    <w:rsid w:val="0FFA5F78"/>
    <w:rsid w:val="121463B8"/>
    <w:rsid w:val="159E7CC9"/>
    <w:rsid w:val="165E5903"/>
    <w:rsid w:val="16780929"/>
    <w:rsid w:val="18E23F68"/>
    <w:rsid w:val="19AE625C"/>
    <w:rsid w:val="1C1C026C"/>
    <w:rsid w:val="1D1A7519"/>
    <w:rsid w:val="1D673D76"/>
    <w:rsid w:val="1E942E15"/>
    <w:rsid w:val="226F6C1E"/>
    <w:rsid w:val="22AC6431"/>
    <w:rsid w:val="29246791"/>
    <w:rsid w:val="29F574D6"/>
    <w:rsid w:val="2A865877"/>
    <w:rsid w:val="2BBA3E30"/>
    <w:rsid w:val="2CD4268C"/>
    <w:rsid w:val="2EFA4CE8"/>
    <w:rsid w:val="312608BD"/>
    <w:rsid w:val="319C0850"/>
    <w:rsid w:val="33FE30F8"/>
    <w:rsid w:val="35234FE0"/>
    <w:rsid w:val="398A0BBE"/>
    <w:rsid w:val="3D290FBC"/>
    <w:rsid w:val="3EB50A34"/>
    <w:rsid w:val="45B21B4D"/>
    <w:rsid w:val="46542734"/>
    <w:rsid w:val="47007E45"/>
    <w:rsid w:val="48A02F09"/>
    <w:rsid w:val="4D275E53"/>
    <w:rsid w:val="4F005819"/>
    <w:rsid w:val="4F691260"/>
    <w:rsid w:val="4FFE4A87"/>
    <w:rsid w:val="5174543A"/>
    <w:rsid w:val="57A378FD"/>
    <w:rsid w:val="60C6315E"/>
    <w:rsid w:val="60F644BE"/>
    <w:rsid w:val="62A80BBE"/>
    <w:rsid w:val="64927CF9"/>
    <w:rsid w:val="653530ED"/>
    <w:rsid w:val="67D708D5"/>
    <w:rsid w:val="683976E2"/>
    <w:rsid w:val="6B85446C"/>
    <w:rsid w:val="6C5B4C97"/>
    <w:rsid w:val="6DBE4A61"/>
    <w:rsid w:val="6E07002D"/>
    <w:rsid w:val="72B528E5"/>
    <w:rsid w:val="755B0030"/>
    <w:rsid w:val="757967B7"/>
    <w:rsid w:val="757D6A2A"/>
    <w:rsid w:val="75EE51C1"/>
    <w:rsid w:val="7A295F4B"/>
    <w:rsid w:val="7E487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0"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86"/>
    <w:qFormat/>
    <w:uiPriority w:val="0"/>
    <w:pPr>
      <w:keepNext/>
      <w:keepLines/>
      <w:adjustRightInd w:val="0"/>
      <w:spacing w:before="260" w:after="260" w:line="416" w:lineRule="atLeast"/>
      <w:textAlignment w:val="baseline"/>
      <w:outlineLvl w:val="1"/>
    </w:pPr>
    <w:rPr>
      <w:rFonts w:ascii="Arial" w:hAnsi="Arial" w:eastAsia="黑体"/>
      <w:b/>
      <w:kern w:val="0"/>
      <w:sz w:val="32"/>
      <w:lang w:val="zh-CN"/>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link w:val="58"/>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next w:val="1"/>
    <w:link w:val="87"/>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7">
    <w:name w:val="heading 6"/>
    <w:basedOn w:val="1"/>
    <w:next w:val="1"/>
    <w:link w:val="49"/>
    <w:qFormat/>
    <w:uiPriority w:val="0"/>
    <w:pPr>
      <w:keepNext/>
      <w:keepLines/>
      <w:spacing w:before="240" w:after="64" w:line="317" w:lineRule="auto"/>
      <w:outlineLvl w:val="5"/>
    </w:pPr>
    <w:rPr>
      <w:rFonts w:ascii="Arial" w:hAnsi="Arial" w:eastAsia="黑体"/>
      <w:b/>
      <w:kern w:val="0"/>
      <w:sz w:val="24"/>
      <w:szCs w:val="20"/>
      <w:lang w:val="zh-CN"/>
    </w:rPr>
  </w:style>
  <w:style w:type="paragraph" w:styleId="8">
    <w:name w:val="heading 7"/>
    <w:basedOn w:val="1"/>
    <w:next w:val="1"/>
    <w:link w:val="47"/>
    <w:qFormat/>
    <w:uiPriority w:val="0"/>
    <w:pPr>
      <w:keepNext/>
      <w:keepLines/>
      <w:spacing w:before="240" w:after="64" w:line="317" w:lineRule="auto"/>
      <w:outlineLvl w:val="6"/>
    </w:pPr>
    <w:rPr>
      <w:b/>
      <w:kern w:val="0"/>
      <w:sz w:val="24"/>
      <w:szCs w:val="20"/>
      <w:lang w:val="zh-CN"/>
    </w:rPr>
  </w:style>
  <w:style w:type="paragraph" w:styleId="9">
    <w:name w:val="heading 8"/>
    <w:basedOn w:val="1"/>
    <w:next w:val="1"/>
    <w:link w:val="88"/>
    <w:qFormat/>
    <w:uiPriority w:val="0"/>
    <w:pPr>
      <w:keepNext/>
      <w:keepLines/>
      <w:spacing w:before="240" w:after="64" w:line="317" w:lineRule="auto"/>
      <w:outlineLvl w:val="7"/>
    </w:pPr>
    <w:rPr>
      <w:rFonts w:ascii="Arial" w:hAnsi="Arial" w:eastAsia="黑体"/>
      <w:kern w:val="0"/>
      <w:sz w:val="24"/>
      <w:szCs w:val="20"/>
      <w:lang w:val="zh-CN"/>
    </w:rPr>
  </w:style>
  <w:style w:type="paragraph" w:styleId="10">
    <w:name w:val="heading 9"/>
    <w:basedOn w:val="1"/>
    <w:next w:val="1"/>
    <w:link w:val="59"/>
    <w:qFormat/>
    <w:uiPriority w:val="0"/>
    <w:pPr>
      <w:keepNext/>
      <w:keepLines/>
      <w:spacing w:before="240" w:after="64" w:line="317" w:lineRule="auto"/>
      <w:outlineLvl w:val="8"/>
    </w:pPr>
    <w:rPr>
      <w:rFonts w:ascii="Arial" w:hAnsi="Arial" w:eastAsia="黑体"/>
      <w:kern w:val="0"/>
      <w:sz w:val="20"/>
      <w:szCs w:val="20"/>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snapToGrid w:val="0"/>
      <w:spacing w:line="360" w:lineRule="auto"/>
      <w:ind w:left="420" w:leftChars="200"/>
      <w:jc w:val="left"/>
    </w:pPr>
    <w:rPr>
      <w:rFonts w:ascii="宋体" w:hAnsi="宋体" w:cs="Arial"/>
      <w:sz w:val="24"/>
    </w:rPr>
  </w:style>
  <w:style w:type="paragraph" w:styleId="12">
    <w:name w:val="Normal Indent"/>
    <w:basedOn w:val="1"/>
    <w:link w:val="90"/>
    <w:qFormat/>
    <w:uiPriority w:val="0"/>
    <w:pPr>
      <w:ind w:firstLine="420" w:firstLineChars="200"/>
    </w:pPr>
    <w:rPr>
      <w:kern w:val="0"/>
      <w:sz w:val="20"/>
      <w:lang w:val="zh-CN"/>
    </w:rPr>
  </w:style>
  <w:style w:type="paragraph" w:styleId="13">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4">
    <w:name w:val="Document Map"/>
    <w:basedOn w:val="1"/>
    <w:link w:val="61"/>
    <w:qFormat/>
    <w:uiPriority w:val="0"/>
    <w:pPr>
      <w:shd w:val="clear" w:color="auto" w:fill="000080"/>
    </w:pPr>
    <w:rPr>
      <w:kern w:val="0"/>
      <w:sz w:val="20"/>
      <w:lang w:val="zh-CN"/>
    </w:rPr>
  </w:style>
  <w:style w:type="paragraph" w:styleId="15">
    <w:name w:val="annotation text"/>
    <w:basedOn w:val="1"/>
    <w:link w:val="70"/>
    <w:unhideWhenUsed/>
    <w:qFormat/>
    <w:uiPriority w:val="99"/>
    <w:pPr>
      <w:jc w:val="left"/>
    </w:pPr>
    <w:rPr>
      <w:kern w:val="0"/>
      <w:sz w:val="20"/>
      <w:lang w:val="zh-CN"/>
    </w:rPr>
  </w:style>
  <w:style w:type="paragraph" w:styleId="16">
    <w:name w:val="Salutation"/>
    <w:basedOn w:val="1"/>
    <w:next w:val="1"/>
    <w:link w:val="113"/>
    <w:qFormat/>
    <w:uiPriority w:val="0"/>
    <w:pPr>
      <w:widowControl/>
      <w:jc w:val="left"/>
    </w:pPr>
    <w:rPr>
      <w:rFonts w:ascii="Tahoma" w:hAnsi="Tahoma"/>
      <w:kern w:val="0"/>
      <w:sz w:val="30"/>
      <w:szCs w:val="20"/>
      <w:lang w:val="zh-CN"/>
    </w:rPr>
  </w:style>
  <w:style w:type="paragraph" w:styleId="17">
    <w:name w:val="Body Text 3"/>
    <w:basedOn w:val="1"/>
    <w:link w:val="64"/>
    <w:qFormat/>
    <w:uiPriority w:val="0"/>
    <w:pPr>
      <w:spacing w:line="500" w:lineRule="exact"/>
    </w:pPr>
    <w:rPr>
      <w:color w:val="000000"/>
      <w:kern w:val="0"/>
      <w:sz w:val="24"/>
      <w:szCs w:val="20"/>
      <w:lang w:val="zh-CN"/>
    </w:rPr>
  </w:style>
  <w:style w:type="paragraph" w:styleId="18">
    <w:name w:val="Body Text"/>
    <w:basedOn w:val="1"/>
    <w:link w:val="97"/>
    <w:qFormat/>
    <w:uiPriority w:val="0"/>
    <w:pPr>
      <w:spacing w:after="120"/>
    </w:pPr>
    <w:rPr>
      <w:kern w:val="0"/>
      <w:sz w:val="20"/>
      <w:lang w:val="zh-CN"/>
    </w:rPr>
  </w:style>
  <w:style w:type="paragraph" w:styleId="19">
    <w:name w:val="Body Text Indent"/>
    <w:basedOn w:val="1"/>
    <w:link w:val="94"/>
    <w:qFormat/>
    <w:uiPriority w:val="0"/>
    <w:pPr>
      <w:spacing w:after="120"/>
      <w:ind w:left="420" w:leftChars="200"/>
    </w:pPr>
    <w:rPr>
      <w:kern w:val="0"/>
      <w:sz w:val="20"/>
      <w:lang w:val="zh-CN"/>
    </w:rPr>
  </w:style>
  <w:style w:type="paragraph" w:styleId="20">
    <w:name w:val="List 2"/>
    <w:basedOn w:val="1"/>
    <w:unhideWhenUsed/>
    <w:qFormat/>
    <w:uiPriority w:val="99"/>
    <w:pPr>
      <w:ind w:left="100" w:leftChars="200" w:hanging="200" w:hangingChars="200"/>
    </w:pPr>
    <w:rPr>
      <w:sz w:val="28"/>
      <w:szCs w:val="20"/>
    </w:rPr>
  </w:style>
  <w:style w:type="paragraph" w:styleId="21">
    <w:name w:val="toc 3"/>
    <w:basedOn w:val="1"/>
    <w:next w:val="1"/>
    <w:qFormat/>
    <w:uiPriority w:val="0"/>
    <w:pPr>
      <w:ind w:left="420"/>
      <w:jc w:val="left"/>
    </w:pPr>
    <w:rPr>
      <w:i/>
      <w:sz w:val="20"/>
      <w:szCs w:val="20"/>
    </w:rPr>
  </w:style>
  <w:style w:type="paragraph" w:styleId="22">
    <w:name w:val="Plain Text"/>
    <w:basedOn w:val="1"/>
    <w:link w:val="80"/>
    <w:qFormat/>
    <w:uiPriority w:val="0"/>
    <w:rPr>
      <w:rFonts w:ascii="宋体" w:hAnsi="Courier New"/>
      <w:kern w:val="0"/>
      <w:sz w:val="20"/>
      <w:szCs w:val="20"/>
      <w:lang w:val="zh-CN"/>
    </w:rPr>
  </w:style>
  <w:style w:type="paragraph" w:styleId="23">
    <w:name w:val="Date"/>
    <w:basedOn w:val="1"/>
    <w:next w:val="1"/>
    <w:link w:val="73"/>
    <w:qFormat/>
    <w:uiPriority w:val="0"/>
    <w:pPr>
      <w:ind w:left="100" w:leftChars="2500"/>
    </w:pPr>
    <w:rPr>
      <w:kern w:val="0"/>
      <w:sz w:val="20"/>
      <w:lang w:val="zh-CN"/>
    </w:rPr>
  </w:style>
  <w:style w:type="paragraph" w:styleId="24">
    <w:name w:val="Body Text Indent 2"/>
    <w:basedOn w:val="1"/>
    <w:link w:val="81"/>
    <w:qFormat/>
    <w:uiPriority w:val="0"/>
    <w:pPr>
      <w:widowControl/>
      <w:tabs>
        <w:tab w:val="left" w:pos="0"/>
        <w:tab w:val="left" w:pos="993"/>
        <w:tab w:val="left" w:pos="1134"/>
      </w:tabs>
      <w:spacing w:line="500" w:lineRule="exact"/>
      <w:ind w:firstLine="851"/>
    </w:pPr>
    <w:rPr>
      <w:rFonts w:ascii="楷体_GB2312" w:hAnsi="Tahoma" w:eastAsia="楷体_GB2312"/>
      <w:b/>
      <w:spacing w:val="-24"/>
      <w:kern w:val="0"/>
      <w:sz w:val="28"/>
      <w:szCs w:val="20"/>
      <w:lang w:val="zh-CN"/>
    </w:rPr>
  </w:style>
  <w:style w:type="paragraph" w:styleId="25">
    <w:name w:val="Balloon Text"/>
    <w:basedOn w:val="1"/>
    <w:link w:val="75"/>
    <w:unhideWhenUsed/>
    <w:qFormat/>
    <w:uiPriority w:val="0"/>
    <w:rPr>
      <w:kern w:val="0"/>
      <w:sz w:val="18"/>
      <w:szCs w:val="18"/>
      <w:lang w:val="zh-CN"/>
    </w:rPr>
  </w:style>
  <w:style w:type="paragraph" w:styleId="26">
    <w:name w:val="footer"/>
    <w:basedOn w:val="1"/>
    <w:link w:val="89"/>
    <w:unhideWhenUsed/>
    <w:qFormat/>
    <w:uiPriority w:val="99"/>
    <w:pPr>
      <w:tabs>
        <w:tab w:val="center" w:pos="4153"/>
        <w:tab w:val="right" w:pos="8306"/>
      </w:tabs>
      <w:snapToGrid w:val="0"/>
      <w:jc w:val="center"/>
    </w:pPr>
    <w:rPr>
      <w:rFonts w:ascii="楷体_GB2312" w:eastAsia="楷体_GB2312"/>
      <w:szCs w:val="21"/>
      <w:lang w:val="zh-CN"/>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8">
    <w:name w:val="toc 1"/>
    <w:basedOn w:val="1"/>
    <w:next w:val="1"/>
    <w:qFormat/>
    <w:uiPriority w:val="0"/>
    <w:pPr>
      <w:tabs>
        <w:tab w:val="right" w:leader="dot" w:pos="9530"/>
      </w:tabs>
      <w:spacing w:line="1080" w:lineRule="atLeast"/>
    </w:pPr>
    <w:rPr>
      <w:sz w:val="24"/>
    </w:rPr>
  </w:style>
  <w:style w:type="paragraph" w:styleId="29">
    <w:name w:val="Subtitle"/>
    <w:basedOn w:val="1"/>
    <w:next w:val="1"/>
    <w:link w:val="72"/>
    <w:qFormat/>
    <w:uiPriority w:val="0"/>
    <w:pPr>
      <w:spacing w:before="240" w:after="60" w:line="312" w:lineRule="auto"/>
      <w:jc w:val="center"/>
      <w:outlineLvl w:val="1"/>
    </w:pPr>
    <w:rPr>
      <w:rFonts w:ascii="Cambria" w:hAnsi="Cambria"/>
      <w:b/>
      <w:kern w:val="28"/>
      <w:sz w:val="32"/>
      <w:szCs w:val="20"/>
      <w:lang w:val="zh-CN"/>
    </w:rPr>
  </w:style>
  <w:style w:type="paragraph" w:styleId="30">
    <w:name w:val="Body Text Indent 3"/>
    <w:basedOn w:val="1"/>
    <w:link w:val="52"/>
    <w:qFormat/>
    <w:uiPriority w:val="0"/>
    <w:pPr>
      <w:spacing w:line="620" w:lineRule="exact"/>
      <w:ind w:firstLine="570"/>
    </w:pPr>
    <w:rPr>
      <w:rFonts w:ascii="宋体" w:hAnsi="Tahoma"/>
      <w:kern w:val="0"/>
      <w:sz w:val="24"/>
      <w:szCs w:val="20"/>
      <w:lang w:val="zh-CN"/>
    </w:rPr>
  </w:style>
  <w:style w:type="paragraph" w:styleId="31">
    <w:name w:val="toc 2"/>
    <w:basedOn w:val="1"/>
    <w:next w:val="1"/>
    <w:qFormat/>
    <w:uiPriority w:val="0"/>
    <w:pPr>
      <w:tabs>
        <w:tab w:val="right" w:leader="dot" w:pos="9187"/>
      </w:tabs>
      <w:ind w:left="420" w:leftChars="200"/>
    </w:pPr>
    <w:rPr>
      <w:rFonts w:eastAsia="仿宋_GB2312"/>
      <w:sz w:val="28"/>
    </w:rPr>
  </w:style>
  <w:style w:type="paragraph" w:styleId="32">
    <w:name w:val="Body Text 2"/>
    <w:basedOn w:val="1"/>
    <w:link w:val="82"/>
    <w:qFormat/>
    <w:uiPriority w:val="0"/>
    <w:pPr>
      <w:spacing w:after="120" w:line="480" w:lineRule="auto"/>
    </w:pPr>
    <w:rPr>
      <w:kern w:val="0"/>
      <w:sz w:val="20"/>
      <w:lang w:val="zh-CN"/>
    </w:rPr>
  </w:style>
  <w:style w:type="paragraph" w:styleId="33">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link w:val="57"/>
    <w:qFormat/>
    <w:uiPriority w:val="0"/>
    <w:pPr>
      <w:spacing w:before="240" w:after="60"/>
      <w:jc w:val="center"/>
      <w:outlineLvl w:val="0"/>
    </w:pPr>
    <w:rPr>
      <w:rFonts w:ascii="Arial" w:hAnsi="Arial"/>
      <w:b/>
      <w:bCs/>
      <w:kern w:val="0"/>
      <w:sz w:val="32"/>
      <w:szCs w:val="32"/>
      <w:lang w:val="zh-CN"/>
    </w:rPr>
  </w:style>
  <w:style w:type="paragraph" w:styleId="36">
    <w:name w:val="annotation subject"/>
    <w:basedOn w:val="15"/>
    <w:next w:val="15"/>
    <w:link w:val="107"/>
    <w:qFormat/>
    <w:uiPriority w:val="99"/>
    <w:rPr>
      <w:b/>
      <w:bCs/>
    </w:rPr>
  </w:style>
  <w:style w:type="paragraph" w:styleId="37">
    <w:name w:val="Body Text First Indent"/>
    <w:basedOn w:val="18"/>
    <w:link w:val="116"/>
    <w:qFormat/>
    <w:uiPriority w:val="0"/>
    <w:pPr>
      <w:ind w:firstLine="420" w:firstLineChars="100"/>
    </w:pPr>
  </w:style>
  <w:style w:type="paragraph" w:styleId="38">
    <w:name w:val="Body Text First Indent 2"/>
    <w:basedOn w:val="19"/>
    <w:link w:val="144"/>
    <w:unhideWhenUsed/>
    <w:qFormat/>
    <w:uiPriority w:val="0"/>
    <w:pPr>
      <w:ind w:firstLine="420" w:firstLineChars="200"/>
    </w:pPr>
    <w:rPr>
      <w:rFonts w:eastAsia="仿宋" w:asciiTheme="minorHAnsi" w:hAnsiTheme="minorHAnsi" w:cstheme="minorBidi"/>
      <w:kern w:val="2"/>
      <w:sz w:val="32"/>
      <w:lang w:val="en-US"/>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unhideWhenUsed/>
    <w:qFormat/>
    <w:uiPriority w:val="0"/>
    <w:rPr>
      <w:color w:val="0000FF"/>
      <w:u w:val="single"/>
    </w:rPr>
  </w:style>
  <w:style w:type="character" w:styleId="46">
    <w:name w:val="annotation reference"/>
    <w:qFormat/>
    <w:uiPriority w:val="99"/>
    <w:rPr>
      <w:sz w:val="21"/>
      <w:szCs w:val="21"/>
    </w:rPr>
  </w:style>
  <w:style w:type="character" w:customStyle="1" w:styleId="47">
    <w:name w:val="标题 7 字符"/>
    <w:link w:val="8"/>
    <w:qFormat/>
    <w:uiPriority w:val="0"/>
    <w:rPr>
      <w:rFonts w:ascii="Times New Roman" w:hAnsi="Times New Roman" w:eastAsia="宋体" w:cs="Times New Roman"/>
      <w:b/>
      <w:sz w:val="24"/>
      <w:szCs w:val="20"/>
    </w:rPr>
  </w:style>
  <w:style w:type="character" w:customStyle="1" w:styleId="48">
    <w:name w:val="正文文本缩进 2 Char1"/>
    <w:semiHidden/>
    <w:qFormat/>
    <w:uiPriority w:val="99"/>
    <w:rPr>
      <w:rFonts w:ascii="Times New Roman" w:hAnsi="Times New Roman" w:eastAsia="宋体" w:cs="Times New Roman"/>
      <w:szCs w:val="24"/>
    </w:rPr>
  </w:style>
  <w:style w:type="character" w:customStyle="1" w:styleId="49">
    <w:name w:val="标题 6 字符"/>
    <w:link w:val="7"/>
    <w:qFormat/>
    <w:uiPriority w:val="0"/>
    <w:rPr>
      <w:rFonts w:ascii="Arial" w:hAnsi="Arial" w:eastAsia="黑体" w:cs="Times New Roman"/>
      <w:b/>
      <w:sz w:val="24"/>
      <w:szCs w:val="20"/>
    </w:rPr>
  </w:style>
  <w:style w:type="character" w:customStyle="1" w:styleId="50">
    <w:name w:val="批注框文本 Char1"/>
    <w:semiHidden/>
    <w:qFormat/>
    <w:uiPriority w:val="99"/>
    <w:rPr>
      <w:rFonts w:ascii="Times New Roman" w:hAnsi="Times New Roman" w:eastAsia="宋体" w:cs="Times New Roman"/>
      <w:sz w:val="18"/>
      <w:szCs w:val="18"/>
    </w:rPr>
  </w:style>
  <w:style w:type="character" w:customStyle="1" w:styleId="51">
    <w:name w:val="正文文本缩进 Char1"/>
    <w:semiHidden/>
    <w:qFormat/>
    <w:uiPriority w:val="99"/>
    <w:rPr>
      <w:rFonts w:ascii="Times New Roman" w:hAnsi="Times New Roman" w:eastAsia="宋体" w:cs="Times New Roman"/>
      <w:szCs w:val="24"/>
    </w:rPr>
  </w:style>
  <w:style w:type="character" w:customStyle="1" w:styleId="52">
    <w:name w:val="正文文本缩进 3 字符"/>
    <w:link w:val="30"/>
    <w:qFormat/>
    <w:locked/>
    <w:uiPriority w:val="0"/>
    <w:rPr>
      <w:rFonts w:ascii="宋体" w:hAnsi="Tahoma"/>
      <w:sz w:val="24"/>
    </w:rPr>
  </w:style>
  <w:style w:type="character" w:customStyle="1" w:styleId="53">
    <w:name w:val="明显引用 字符"/>
    <w:link w:val="54"/>
    <w:qFormat/>
    <w:locked/>
    <w:uiPriority w:val="0"/>
    <w:rPr>
      <w:b/>
      <w:i/>
      <w:color w:val="4F81BD"/>
      <w:sz w:val="22"/>
    </w:rPr>
  </w:style>
  <w:style w:type="paragraph" w:styleId="54">
    <w:name w:val="Intense Quote"/>
    <w:basedOn w:val="1"/>
    <w:next w:val="1"/>
    <w:link w:val="53"/>
    <w:qFormat/>
    <w:uiPriority w:val="0"/>
    <w:pPr>
      <w:pBdr>
        <w:bottom w:val="single" w:color="4F81BD" w:sz="4" w:space="4"/>
      </w:pBdr>
      <w:spacing w:before="200" w:after="280"/>
      <w:ind w:left="936" w:right="936"/>
    </w:pPr>
    <w:rPr>
      <w:b/>
      <w:i/>
      <w:color w:val="4F81BD"/>
      <w:kern w:val="0"/>
      <w:sz w:val="22"/>
      <w:szCs w:val="20"/>
      <w:lang w:val="zh-CN"/>
    </w:rPr>
  </w:style>
  <w:style w:type="character" w:customStyle="1" w:styleId="55">
    <w:name w:val="Char Char6"/>
    <w:qFormat/>
    <w:uiPriority w:val="0"/>
    <w:rPr>
      <w:rFonts w:ascii="宋体" w:hAnsi="Courier New" w:eastAsia="宋体" w:cs="Courier New"/>
      <w:kern w:val="2"/>
      <w:sz w:val="21"/>
      <w:szCs w:val="21"/>
      <w:lang w:val="en-US" w:eastAsia="zh-CN" w:bidi="ar-SA"/>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标题 字符"/>
    <w:link w:val="35"/>
    <w:qFormat/>
    <w:uiPriority w:val="0"/>
    <w:rPr>
      <w:rFonts w:ascii="Arial" w:hAnsi="Arial" w:eastAsia="宋体" w:cs="Arial"/>
      <w:b/>
      <w:bCs/>
      <w:sz w:val="32"/>
      <w:szCs w:val="32"/>
    </w:rPr>
  </w:style>
  <w:style w:type="character" w:customStyle="1" w:styleId="58">
    <w:name w:val="标题 4 字符"/>
    <w:link w:val="5"/>
    <w:qFormat/>
    <w:uiPriority w:val="0"/>
    <w:rPr>
      <w:rFonts w:ascii="Cambria" w:hAnsi="Cambria" w:eastAsia="宋体" w:cs="Times New Roman"/>
      <w:b/>
      <w:bCs/>
      <w:sz w:val="28"/>
      <w:szCs w:val="28"/>
    </w:rPr>
  </w:style>
  <w:style w:type="character" w:customStyle="1" w:styleId="59">
    <w:name w:val="标题 9 字符"/>
    <w:link w:val="10"/>
    <w:qFormat/>
    <w:uiPriority w:val="0"/>
    <w:rPr>
      <w:rFonts w:ascii="Arial" w:hAnsi="Arial" w:eastAsia="黑体" w:cs="Times New Roman"/>
      <w:szCs w:val="20"/>
    </w:rPr>
  </w:style>
  <w:style w:type="character" w:customStyle="1" w:styleId="60">
    <w:name w:val="文档结构图 Char1"/>
    <w:semiHidden/>
    <w:qFormat/>
    <w:uiPriority w:val="99"/>
    <w:rPr>
      <w:rFonts w:ascii="宋体" w:hAnsi="Times New Roman" w:eastAsia="宋体" w:cs="Times New Roman"/>
      <w:sz w:val="18"/>
      <w:szCs w:val="18"/>
    </w:rPr>
  </w:style>
  <w:style w:type="character" w:customStyle="1" w:styleId="61">
    <w:name w:val="文档结构图 字符"/>
    <w:link w:val="14"/>
    <w:qFormat/>
    <w:uiPriority w:val="0"/>
    <w:rPr>
      <w:szCs w:val="24"/>
      <w:shd w:val="clear" w:color="auto" w:fill="000080"/>
    </w:rPr>
  </w:style>
  <w:style w:type="character" w:customStyle="1" w:styleId="62">
    <w:name w:val="正文文本缩进 3 Char1"/>
    <w:semiHidden/>
    <w:qFormat/>
    <w:uiPriority w:val="99"/>
    <w:rPr>
      <w:rFonts w:ascii="Times New Roman" w:hAnsi="Times New Roman" w:eastAsia="宋体" w:cs="Times New Roman"/>
      <w:sz w:val="16"/>
      <w:szCs w:val="16"/>
    </w:rPr>
  </w:style>
  <w:style w:type="character" w:customStyle="1" w:styleId="63">
    <w:name w:val="title2"/>
    <w:qFormat/>
    <w:uiPriority w:val="0"/>
    <w:rPr>
      <w:rFonts w:hint="default" w:ascii="Arial" w:hAnsi="Arial"/>
      <w:b/>
      <w:color w:val="111111"/>
      <w:sz w:val="24"/>
      <w:u w:val="none"/>
    </w:rPr>
  </w:style>
  <w:style w:type="character" w:customStyle="1" w:styleId="64">
    <w:name w:val="正文文本 3 字符"/>
    <w:link w:val="17"/>
    <w:qFormat/>
    <w:uiPriority w:val="0"/>
    <w:rPr>
      <w:rFonts w:ascii="Times New Roman" w:hAnsi="Times New Roman" w:eastAsia="宋体" w:cs="Times New Roman"/>
      <w:color w:val="000000"/>
      <w:sz w:val="24"/>
      <w:szCs w:val="20"/>
    </w:rPr>
  </w:style>
  <w:style w:type="character" w:customStyle="1" w:styleId="65">
    <w:name w:val="正文文本 Char1"/>
    <w:qFormat/>
    <w:uiPriority w:val="0"/>
    <w:rPr>
      <w:rFonts w:eastAsia="仿宋_GB2312"/>
      <w:kern w:val="2"/>
      <w:sz w:val="23"/>
      <w:szCs w:val="24"/>
      <w:lang w:val="en-US" w:eastAsia="zh-CN" w:bidi="ar-SA"/>
    </w:rPr>
  </w:style>
  <w:style w:type="character" w:customStyle="1" w:styleId="66">
    <w:name w:val="引用 字符"/>
    <w:link w:val="67"/>
    <w:qFormat/>
    <w:locked/>
    <w:uiPriority w:val="0"/>
    <w:rPr>
      <w:i/>
      <w:color w:val="000000"/>
      <w:sz w:val="22"/>
    </w:rPr>
  </w:style>
  <w:style w:type="paragraph" w:styleId="67">
    <w:name w:val="Quote"/>
    <w:basedOn w:val="1"/>
    <w:next w:val="1"/>
    <w:link w:val="66"/>
    <w:qFormat/>
    <w:uiPriority w:val="0"/>
    <w:rPr>
      <w:i/>
      <w:color w:val="000000"/>
      <w:kern w:val="0"/>
      <w:sz w:val="22"/>
      <w:szCs w:val="20"/>
      <w:lang w:val="zh-CN"/>
    </w:rPr>
  </w:style>
  <w:style w:type="character" w:customStyle="1" w:styleId="68">
    <w:name w:val="标题 1 字符"/>
    <w:link w:val="2"/>
    <w:qFormat/>
    <w:uiPriority w:val="0"/>
    <w:rPr>
      <w:rFonts w:ascii="Times New Roman" w:hAnsi="Times New Roman" w:eastAsia="宋体" w:cs="Times New Roman"/>
      <w:b/>
      <w:bCs/>
      <w:kern w:val="44"/>
      <w:sz w:val="44"/>
      <w:szCs w:val="44"/>
    </w:rPr>
  </w:style>
  <w:style w:type="character" w:customStyle="1" w:styleId="69">
    <w:name w:val="tt21"/>
    <w:qFormat/>
    <w:uiPriority w:val="0"/>
    <w:rPr>
      <w:rFonts w:ascii="宋体" w:hAnsi="宋体"/>
      <w:b/>
      <w:bCs/>
      <w:sz w:val="32"/>
      <w:szCs w:val="18"/>
    </w:rPr>
  </w:style>
  <w:style w:type="character" w:customStyle="1" w:styleId="70">
    <w:name w:val="批注文字 字符"/>
    <w:link w:val="15"/>
    <w:semiHidden/>
    <w:qFormat/>
    <w:uiPriority w:val="99"/>
    <w:rPr>
      <w:rFonts w:ascii="Times New Roman" w:hAnsi="Times New Roman" w:eastAsia="宋体" w:cs="Times New Roman"/>
      <w:szCs w:val="24"/>
    </w:rPr>
  </w:style>
  <w:style w:type="character" w:customStyle="1" w:styleId="71">
    <w:name w:val="四号 Char1"/>
    <w:qFormat/>
    <w:uiPriority w:val="0"/>
    <w:rPr>
      <w:rFonts w:ascii="Verdana" w:hAnsi="Verdana" w:eastAsia="宋体" w:cs="Verdana"/>
      <w:sz w:val="24"/>
      <w:szCs w:val="24"/>
      <w:lang w:val="en-US" w:eastAsia="zh-CN" w:bidi="ar-SA"/>
    </w:rPr>
  </w:style>
  <w:style w:type="character" w:customStyle="1" w:styleId="72">
    <w:name w:val="副标题 字符"/>
    <w:link w:val="29"/>
    <w:qFormat/>
    <w:uiPriority w:val="0"/>
    <w:rPr>
      <w:rFonts w:ascii="Cambria" w:hAnsi="Cambria"/>
      <w:b/>
      <w:kern w:val="28"/>
      <w:sz w:val="32"/>
    </w:rPr>
  </w:style>
  <w:style w:type="character" w:customStyle="1" w:styleId="73">
    <w:name w:val="日期 字符"/>
    <w:link w:val="23"/>
    <w:qFormat/>
    <w:uiPriority w:val="0"/>
    <w:rPr>
      <w:rFonts w:ascii="Times New Roman" w:hAnsi="Times New Roman" w:eastAsia="宋体" w:cs="Times New Roman"/>
      <w:szCs w:val="24"/>
    </w:rPr>
  </w:style>
  <w:style w:type="character" w:customStyle="1" w:styleId="74">
    <w:name w:val="页眉 字符"/>
    <w:link w:val="27"/>
    <w:qFormat/>
    <w:uiPriority w:val="0"/>
    <w:rPr>
      <w:sz w:val="18"/>
      <w:szCs w:val="18"/>
    </w:rPr>
  </w:style>
  <w:style w:type="character" w:customStyle="1" w:styleId="75">
    <w:name w:val="批注框文本 字符"/>
    <w:link w:val="25"/>
    <w:qFormat/>
    <w:uiPriority w:val="0"/>
    <w:rPr>
      <w:sz w:val="18"/>
      <w:szCs w:val="18"/>
    </w:rPr>
  </w:style>
  <w:style w:type="character" w:customStyle="1" w:styleId="76">
    <w:name w:val="副标题 Char2"/>
    <w:qFormat/>
    <w:uiPriority w:val="11"/>
    <w:rPr>
      <w:rFonts w:ascii="Cambria" w:hAnsi="Cambria" w:eastAsia="宋体" w:cs="Times New Roman"/>
      <w:b/>
      <w:bCs/>
      <w:kern w:val="28"/>
      <w:sz w:val="32"/>
      <w:szCs w:val="32"/>
    </w:rPr>
  </w:style>
  <w:style w:type="character" w:customStyle="1" w:styleId="77">
    <w:name w:val="se11"/>
    <w:qFormat/>
    <w:uiPriority w:val="0"/>
    <w:rPr>
      <w:color w:val="000000"/>
    </w:rPr>
  </w:style>
  <w:style w:type="character" w:customStyle="1" w:styleId="78">
    <w:name w:val="标题 1 Char Char"/>
    <w:qFormat/>
    <w:uiPriority w:val="0"/>
    <w:rPr>
      <w:rFonts w:eastAsia="宋体"/>
      <w:b/>
      <w:spacing w:val="-2"/>
      <w:sz w:val="24"/>
      <w:lang w:val="en-US" w:eastAsia="zh-CN"/>
    </w:rPr>
  </w:style>
  <w:style w:type="character" w:customStyle="1" w:styleId="79">
    <w:name w:val="font21"/>
    <w:qFormat/>
    <w:uiPriority w:val="0"/>
    <w:rPr>
      <w:rFonts w:hint="eastAsia" w:ascii="宋体" w:hAnsi="宋体" w:eastAsia="宋体" w:cs="宋体"/>
      <w:color w:val="000000"/>
      <w:sz w:val="20"/>
      <w:szCs w:val="20"/>
      <w:u w:val="none"/>
    </w:rPr>
  </w:style>
  <w:style w:type="character" w:customStyle="1" w:styleId="80">
    <w:name w:val="纯文本 字符"/>
    <w:link w:val="22"/>
    <w:qFormat/>
    <w:uiPriority w:val="0"/>
    <w:rPr>
      <w:rFonts w:ascii="宋体" w:hAnsi="Courier New" w:eastAsia="宋体"/>
    </w:rPr>
  </w:style>
  <w:style w:type="character" w:customStyle="1" w:styleId="81">
    <w:name w:val="正文文本缩进 2 字符"/>
    <w:link w:val="24"/>
    <w:qFormat/>
    <w:locked/>
    <w:uiPriority w:val="0"/>
    <w:rPr>
      <w:rFonts w:ascii="楷体_GB2312" w:hAnsi="Tahoma" w:eastAsia="楷体_GB2312"/>
      <w:b/>
      <w:spacing w:val="-24"/>
      <w:sz w:val="28"/>
    </w:rPr>
  </w:style>
  <w:style w:type="character" w:customStyle="1" w:styleId="82">
    <w:name w:val="正文文本 2 字符"/>
    <w:link w:val="32"/>
    <w:qFormat/>
    <w:uiPriority w:val="0"/>
    <w:rPr>
      <w:rFonts w:ascii="Times New Roman" w:hAnsi="Times New Roman" w:eastAsia="宋体" w:cs="Times New Roman"/>
      <w:szCs w:val="24"/>
    </w:rPr>
  </w:style>
  <w:style w:type="character" w:customStyle="1" w:styleId="83">
    <w:name w:val="纯文本 Char1"/>
    <w:semiHidden/>
    <w:qFormat/>
    <w:uiPriority w:val="99"/>
    <w:rPr>
      <w:rFonts w:ascii="宋体" w:hAnsi="Courier New" w:eastAsia="宋体" w:cs="Courier New"/>
      <w:szCs w:val="21"/>
    </w:rPr>
  </w:style>
  <w:style w:type="character" w:customStyle="1" w:styleId="84">
    <w:name w:val="正文缩进2格 Char Char"/>
    <w:link w:val="85"/>
    <w:qFormat/>
    <w:uiPriority w:val="0"/>
    <w:rPr>
      <w:rFonts w:ascii="仿宋_GB2312" w:hAnsi="宋体" w:eastAsia="仿宋_GB2312"/>
      <w:sz w:val="31"/>
      <w:szCs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kern w:val="0"/>
      <w:sz w:val="31"/>
      <w:szCs w:val="28"/>
      <w:lang w:val="zh-CN"/>
    </w:rPr>
  </w:style>
  <w:style w:type="character" w:customStyle="1" w:styleId="86">
    <w:name w:val="标题 2 字符"/>
    <w:link w:val="3"/>
    <w:qFormat/>
    <w:uiPriority w:val="0"/>
    <w:rPr>
      <w:rFonts w:ascii="Arial" w:hAnsi="Arial" w:eastAsia="黑体" w:cs="Times New Roman"/>
      <w:b/>
      <w:kern w:val="0"/>
      <w:sz w:val="32"/>
      <w:szCs w:val="24"/>
    </w:rPr>
  </w:style>
  <w:style w:type="character" w:customStyle="1" w:styleId="87">
    <w:name w:val="标题 5 字符"/>
    <w:link w:val="6"/>
    <w:qFormat/>
    <w:uiPriority w:val="0"/>
    <w:rPr>
      <w:kern w:val="2"/>
      <w:sz w:val="28"/>
      <w:lang w:val="en-US" w:eastAsia="zh-CN" w:bidi="ar-SA"/>
    </w:rPr>
  </w:style>
  <w:style w:type="character" w:customStyle="1" w:styleId="88">
    <w:name w:val="标题 8 字符"/>
    <w:link w:val="9"/>
    <w:qFormat/>
    <w:uiPriority w:val="0"/>
    <w:rPr>
      <w:rFonts w:ascii="Arial" w:hAnsi="Arial" w:eastAsia="黑体" w:cs="Times New Roman"/>
      <w:sz w:val="24"/>
      <w:szCs w:val="20"/>
    </w:rPr>
  </w:style>
  <w:style w:type="character" w:customStyle="1" w:styleId="89">
    <w:name w:val="页脚 字符"/>
    <w:link w:val="26"/>
    <w:qFormat/>
    <w:uiPriority w:val="99"/>
    <w:rPr>
      <w:rFonts w:ascii="楷体_GB2312" w:hAnsi="Times New Roman" w:eastAsia="楷体_GB2312"/>
      <w:kern w:val="2"/>
      <w:sz w:val="21"/>
      <w:szCs w:val="21"/>
    </w:rPr>
  </w:style>
  <w:style w:type="character" w:customStyle="1" w:styleId="90">
    <w:name w:val="正文缩进 字符"/>
    <w:link w:val="12"/>
    <w:qFormat/>
    <w:uiPriority w:val="0"/>
    <w:rPr>
      <w:rFonts w:eastAsia="宋体"/>
      <w:szCs w:val="24"/>
    </w:rPr>
  </w:style>
  <w:style w:type="character" w:customStyle="1" w:styleId="91">
    <w:name w:val="unnamed31"/>
    <w:qFormat/>
    <w:uiPriority w:val="0"/>
    <w:rPr>
      <w:rFonts w:ascii="Times New Roman" w:hAnsi="Times New Roman" w:eastAsia="宋体" w:cs="Times New Roman"/>
      <w:color w:val="333333"/>
      <w:sz w:val="21"/>
      <w:szCs w:val="21"/>
      <w:u w:val="none"/>
    </w:rPr>
  </w:style>
  <w:style w:type="character" w:customStyle="1" w:styleId="92">
    <w:name w:val="font01"/>
    <w:qFormat/>
    <w:uiPriority w:val="0"/>
    <w:rPr>
      <w:rFonts w:hint="eastAsia" w:ascii="宋体" w:hAnsi="宋体" w:eastAsia="宋体" w:cs="宋体"/>
      <w:color w:val="000000"/>
      <w:sz w:val="20"/>
      <w:szCs w:val="20"/>
      <w:u w:val="none"/>
      <w:vertAlign w:val="superscript"/>
    </w:rPr>
  </w:style>
  <w:style w:type="character" w:customStyle="1" w:styleId="93">
    <w:name w:val="明显引用 Char1"/>
    <w:qFormat/>
    <w:uiPriority w:val="99"/>
    <w:rPr>
      <w:rFonts w:ascii="Times New Roman" w:hAnsi="Times New Roman" w:eastAsia="宋体" w:cs="Times New Roman"/>
      <w:b/>
      <w:bCs/>
      <w:i/>
      <w:iCs/>
      <w:color w:val="4F81BD"/>
      <w:szCs w:val="24"/>
    </w:rPr>
  </w:style>
  <w:style w:type="character" w:customStyle="1" w:styleId="94">
    <w:name w:val="正文文本缩进 字符"/>
    <w:link w:val="19"/>
    <w:qFormat/>
    <w:uiPriority w:val="0"/>
    <w:rPr>
      <w:szCs w:val="24"/>
    </w:rPr>
  </w:style>
  <w:style w:type="character" w:customStyle="1" w:styleId="95">
    <w:name w:val="font31"/>
    <w:qFormat/>
    <w:uiPriority w:val="0"/>
    <w:rPr>
      <w:rFonts w:hint="eastAsia" w:ascii="宋体" w:hAnsi="宋体" w:eastAsia="宋体" w:cs="宋体"/>
      <w:color w:val="000000"/>
      <w:sz w:val="20"/>
      <w:szCs w:val="20"/>
      <w:u w:val="none"/>
    </w:rPr>
  </w:style>
  <w:style w:type="character" w:customStyle="1" w:styleId="96">
    <w:name w:val="font41"/>
    <w:qFormat/>
    <w:uiPriority w:val="0"/>
    <w:rPr>
      <w:rFonts w:hint="eastAsia" w:ascii="宋体" w:hAnsi="宋体" w:eastAsia="宋体" w:cs="宋体"/>
      <w:color w:val="FF0000"/>
      <w:sz w:val="18"/>
      <w:szCs w:val="18"/>
      <w:u w:val="none"/>
    </w:rPr>
  </w:style>
  <w:style w:type="character" w:customStyle="1" w:styleId="97">
    <w:name w:val="正文文本 字符"/>
    <w:link w:val="18"/>
    <w:qFormat/>
    <w:uiPriority w:val="0"/>
    <w:rPr>
      <w:rFonts w:ascii="Times New Roman" w:hAnsi="Times New Roman" w:eastAsia="宋体" w:cs="Times New Roman"/>
      <w:szCs w:val="24"/>
    </w:rPr>
  </w:style>
  <w:style w:type="character" w:customStyle="1" w:styleId="98">
    <w:name w:val="正文文本 Char"/>
    <w:qFormat/>
    <w:uiPriority w:val="0"/>
    <w:rPr>
      <w:rFonts w:ascii="Times New Roman" w:hAnsi="Times New Roman" w:eastAsia="宋体" w:cs="Times New Roman"/>
      <w:szCs w:val="24"/>
    </w:rPr>
  </w:style>
  <w:style w:type="character" w:customStyle="1" w:styleId="99">
    <w:name w:val="样式 标题 3h3section:3Level 3 HeadH3level_3PIM 33rd level3H... Char Char"/>
    <w:link w:val="100"/>
    <w:qFormat/>
    <w:uiPriority w:val="0"/>
    <w:rPr>
      <w:rFonts w:ascii="Arial" w:hAnsi="Arial"/>
      <w:b/>
      <w:sz w:val="24"/>
      <w:szCs w:val="28"/>
      <w:lang w:val="zh-CN" w:eastAsia="zh-CN"/>
    </w:rPr>
  </w:style>
  <w:style w:type="paragraph" w:customStyle="1" w:styleId="100">
    <w:name w:val="样式 标题 3h3section:3Level 3 HeadH3level_3PIM 33rd level3H..."/>
    <w:basedOn w:val="4"/>
    <w:link w:val="99"/>
    <w:qFormat/>
    <w:uiPriority w:val="0"/>
    <w:pPr>
      <w:tabs>
        <w:tab w:val="left" w:pos="1680"/>
      </w:tabs>
      <w:adjustRightInd w:val="0"/>
      <w:spacing w:line="416" w:lineRule="atLeast"/>
      <w:ind w:left="1680" w:hanging="420"/>
      <w:textAlignment w:val="baseline"/>
    </w:pPr>
    <w:rPr>
      <w:rFonts w:ascii="Arial" w:hAnsi="Arial"/>
      <w:bCs w:val="0"/>
      <w:sz w:val="24"/>
      <w:szCs w:val="28"/>
    </w:rPr>
  </w:style>
  <w:style w:type="character" w:customStyle="1" w:styleId="101">
    <w:name w:val="Variable"/>
    <w:qFormat/>
    <w:uiPriority w:val="0"/>
    <w:rPr>
      <w:i/>
    </w:rPr>
  </w:style>
  <w:style w:type="character" w:customStyle="1" w:styleId="102">
    <w:name w:val="批注文字 Char"/>
    <w:qFormat/>
    <w:uiPriority w:val="99"/>
    <w:rPr>
      <w:rFonts w:eastAsia="宋体"/>
      <w:kern w:val="2"/>
      <w:sz w:val="21"/>
      <w:szCs w:val="24"/>
      <w:lang w:val="en-US" w:eastAsia="zh-CN" w:bidi="ar-SA"/>
    </w:rPr>
  </w:style>
  <w:style w:type="character" w:customStyle="1" w:styleId="103">
    <w:name w:val="样式3 Char Char Char Char"/>
    <w:link w:val="104"/>
    <w:qFormat/>
    <w:uiPriority w:val="0"/>
    <w:rPr>
      <w:rFonts w:eastAsia="黑体"/>
      <w:b/>
      <w:bCs/>
      <w:sz w:val="32"/>
      <w:szCs w:val="32"/>
    </w:rPr>
  </w:style>
  <w:style w:type="paragraph" w:customStyle="1" w:styleId="104">
    <w:name w:val="样式3 Char"/>
    <w:basedOn w:val="4"/>
    <w:next w:val="1"/>
    <w:link w:val="103"/>
    <w:qFormat/>
    <w:uiPriority w:val="0"/>
    <w:pPr>
      <w:spacing w:line="240" w:lineRule="auto"/>
      <w:jc w:val="center"/>
    </w:pPr>
    <w:rPr>
      <w:rFonts w:eastAsia="黑体"/>
    </w:rPr>
  </w:style>
  <w:style w:type="character" w:customStyle="1" w:styleId="105">
    <w:name w:val="Char Char Char Char Char Char Char Char Char Char Char Char Char Char Char Char"/>
    <w:link w:val="106"/>
    <w:qFormat/>
    <w:uiPriority w:val="0"/>
    <w:rPr>
      <w:rFonts w:ascii="Verdana" w:hAnsi="Verdana"/>
      <w:lang w:eastAsia="en-US"/>
    </w:rPr>
  </w:style>
  <w:style w:type="paragraph" w:customStyle="1" w:styleId="106">
    <w:name w:val="Char Char Char Char Char Char Char Char Char Char Char Char Char Char Char"/>
    <w:basedOn w:val="1"/>
    <w:link w:val="105"/>
    <w:qFormat/>
    <w:uiPriority w:val="0"/>
    <w:pPr>
      <w:widowControl/>
      <w:spacing w:line="400" w:lineRule="exact"/>
      <w:jc w:val="center"/>
    </w:pPr>
    <w:rPr>
      <w:rFonts w:ascii="Verdana" w:hAnsi="Verdana"/>
      <w:kern w:val="0"/>
      <w:sz w:val="20"/>
      <w:szCs w:val="20"/>
      <w:lang w:val="zh-CN" w:eastAsia="en-US"/>
    </w:rPr>
  </w:style>
  <w:style w:type="character" w:customStyle="1" w:styleId="107">
    <w:name w:val="批注主题 字符"/>
    <w:link w:val="36"/>
    <w:qFormat/>
    <w:uiPriority w:val="99"/>
    <w:rPr>
      <w:b/>
      <w:bCs/>
      <w:szCs w:val="24"/>
    </w:rPr>
  </w:style>
  <w:style w:type="character" w:customStyle="1" w:styleId="108">
    <w:name w:val="批注主题 Char1"/>
    <w:semiHidden/>
    <w:qFormat/>
    <w:uiPriority w:val="99"/>
    <w:rPr>
      <w:rFonts w:ascii="Times New Roman" w:hAnsi="Times New Roman" w:eastAsia="宋体" w:cs="Times New Roman"/>
      <w:b/>
      <w:bCs/>
      <w:szCs w:val="24"/>
    </w:rPr>
  </w:style>
  <w:style w:type="character" w:customStyle="1" w:styleId="109">
    <w:name w:val="副标题 Char"/>
    <w:link w:val="110"/>
    <w:qFormat/>
    <w:uiPriority w:val="0"/>
    <w:rPr>
      <w:rFonts w:ascii="Arial" w:hAnsi="Arial"/>
      <w:b/>
      <w:bCs/>
      <w:color w:val="000000"/>
      <w:kern w:val="44"/>
    </w:rPr>
  </w:style>
  <w:style w:type="paragraph" w:customStyle="1" w:styleId="110">
    <w:name w:val="副标题1"/>
    <w:basedOn w:val="1"/>
    <w:next w:val="1"/>
    <w:link w:val="109"/>
    <w:qFormat/>
    <w:uiPriority w:val="0"/>
    <w:pPr>
      <w:spacing w:before="120" w:after="120"/>
      <w:jc w:val="left"/>
    </w:pPr>
    <w:rPr>
      <w:rFonts w:ascii="Arial" w:hAnsi="Arial"/>
      <w:b/>
      <w:bCs/>
      <w:color w:val="000000"/>
      <w:kern w:val="44"/>
      <w:sz w:val="20"/>
      <w:szCs w:val="20"/>
      <w:lang w:val="zh-CN"/>
    </w:rPr>
  </w:style>
  <w:style w:type="character" w:customStyle="1" w:styleId="111">
    <w:name w:val="标题5 Char Char"/>
    <w:link w:val="112"/>
    <w:qFormat/>
    <w:locked/>
    <w:uiPriority w:val="0"/>
    <w:rPr>
      <w:rFonts w:ascii="Arial" w:hAnsi="Arial"/>
      <w:b/>
      <w:sz w:val="32"/>
    </w:rPr>
  </w:style>
  <w:style w:type="paragraph" w:customStyle="1" w:styleId="112">
    <w:name w:val="标题5"/>
    <w:basedOn w:val="4"/>
    <w:link w:val="111"/>
    <w:qFormat/>
    <w:uiPriority w:val="0"/>
    <w:pPr>
      <w:spacing w:line="413" w:lineRule="auto"/>
    </w:pPr>
    <w:rPr>
      <w:rFonts w:ascii="Arial" w:hAnsi="Arial"/>
      <w:bCs w:val="0"/>
      <w:szCs w:val="20"/>
    </w:rPr>
  </w:style>
  <w:style w:type="character" w:customStyle="1" w:styleId="113">
    <w:name w:val="称呼 字符"/>
    <w:link w:val="16"/>
    <w:qFormat/>
    <w:uiPriority w:val="0"/>
    <w:rPr>
      <w:rFonts w:ascii="Tahoma" w:hAnsi="Tahoma"/>
      <w:sz w:val="30"/>
    </w:rPr>
  </w:style>
  <w:style w:type="character" w:customStyle="1" w:styleId="114">
    <w:name w:val="称呼 Char1"/>
    <w:semiHidden/>
    <w:qFormat/>
    <w:uiPriority w:val="99"/>
    <w:rPr>
      <w:rFonts w:ascii="Times New Roman" w:hAnsi="Times New Roman" w:eastAsia="宋体" w:cs="Times New Roman"/>
      <w:szCs w:val="24"/>
    </w:rPr>
  </w:style>
  <w:style w:type="character" w:customStyle="1" w:styleId="115">
    <w:name w:val="引用 Char1"/>
    <w:qFormat/>
    <w:uiPriority w:val="99"/>
    <w:rPr>
      <w:rFonts w:ascii="Times New Roman" w:hAnsi="Times New Roman" w:eastAsia="宋体" w:cs="Times New Roman"/>
      <w:i/>
      <w:iCs/>
      <w:color w:val="000000"/>
      <w:szCs w:val="24"/>
    </w:rPr>
  </w:style>
  <w:style w:type="character" w:customStyle="1" w:styleId="116">
    <w:name w:val="正文文本首行缩进 字符"/>
    <w:basedOn w:val="98"/>
    <w:link w:val="37"/>
    <w:qFormat/>
    <w:uiPriority w:val="0"/>
    <w:rPr>
      <w:rFonts w:ascii="Times New Roman" w:hAnsi="Times New Roman" w:eastAsia="宋体" w:cs="Times New Roman"/>
      <w:szCs w:val="24"/>
    </w:rPr>
  </w:style>
  <w:style w:type="character" w:customStyle="1" w:styleId="117">
    <w:name w:val="HTML 预设格式 字符"/>
    <w:link w:val="33"/>
    <w:qFormat/>
    <w:uiPriority w:val="0"/>
    <w:rPr>
      <w:rFonts w:ascii="Arial" w:hAnsi="Arial" w:eastAsia="宋体" w:cs="Arial"/>
      <w:kern w:val="0"/>
      <w:sz w:val="24"/>
      <w:szCs w:val="24"/>
    </w:rPr>
  </w:style>
  <w:style w:type="character" w:customStyle="1" w:styleId="118">
    <w:name w:val="Char Char11"/>
    <w:qFormat/>
    <w:uiPriority w:val="0"/>
    <w:rPr>
      <w:rFonts w:eastAsia="宋体"/>
      <w:sz w:val="24"/>
      <w:szCs w:val="24"/>
      <w:lang w:val="en-US" w:eastAsia="zh-CN" w:bidi="ar-SA"/>
    </w:rPr>
  </w:style>
  <w:style w:type="paragraph" w:customStyle="1" w:styleId="119">
    <w:name w:val="标准正文"/>
    <w:basedOn w:val="1"/>
    <w:qFormat/>
    <w:uiPriority w:val="0"/>
    <w:pPr>
      <w:snapToGrid w:val="0"/>
      <w:spacing w:line="312" w:lineRule="auto"/>
      <w:ind w:firstLine="482"/>
    </w:pPr>
    <w:rPr>
      <w:sz w:val="24"/>
      <w:szCs w:val="20"/>
    </w:rPr>
  </w:style>
  <w:style w:type="paragraph" w:styleId="120">
    <w:name w:val="List Paragraph"/>
    <w:basedOn w:val="1"/>
    <w:qFormat/>
    <w:uiPriority w:val="0"/>
    <w:pPr>
      <w:ind w:firstLine="420" w:firstLineChars="200"/>
    </w:pPr>
    <w:rPr>
      <w:rFonts w:ascii="Calibri" w:hAnsi="Calibri"/>
      <w:szCs w:val="22"/>
    </w:rPr>
  </w:style>
  <w:style w:type="paragraph" w:customStyle="1" w:styleId="121">
    <w:name w:val="正文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customStyle="1" w:styleId="12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23">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Address"/>
    <w:basedOn w:val="1"/>
    <w:next w:val="1"/>
    <w:qFormat/>
    <w:uiPriority w:val="0"/>
    <w:pPr>
      <w:autoSpaceDE w:val="0"/>
      <w:autoSpaceDN w:val="0"/>
      <w:adjustRightInd w:val="0"/>
      <w:jc w:val="left"/>
    </w:pPr>
    <w:rPr>
      <w:i/>
      <w:kern w:val="0"/>
      <w:sz w:val="24"/>
      <w:szCs w:val="20"/>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p0"/>
    <w:basedOn w:val="1"/>
    <w:qFormat/>
    <w:uiPriority w:val="0"/>
    <w:pPr>
      <w:widowControl/>
    </w:pPr>
    <w:rPr>
      <w:rFonts w:ascii="Calibri" w:hAnsi="Calibri"/>
      <w:szCs w:val="21"/>
    </w:rPr>
  </w:style>
  <w:style w:type="character" w:customStyle="1" w:styleId="129">
    <w:name w:val="标题 3.1 Char"/>
    <w:link w:val="130"/>
    <w:qFormat/>
    <w:locked/>
    <w:uiPriority w:val="0"/>
    <w:rPr>
      <w:rFonts w:ascii="宋体" w:hAnsi="宋体"/>
      <w:b/>
      <w:bCs/>
      <w:color w:val="000000"/>
      <w:kern w:val="2"/>
      <w:sz w:val="32"/>
      <w:szCs w:val="32"/>
    </w:rPr>
  </w:style>
  <w:style w:type="paragraph" w:customStyle="1" w:styleId="130">
    <w:name w:val="标题 3.1"/>
    <w:basedOn w:val="4"/>
    <w:link w:val="129"/>
    <w:qFormat/>
    <w:uiPriority w:val="0"/>
    <w:pPr>
      <w:tabs>
        <w:tab w:val="left" w:pos="1440"/>
        <w:tab w:val="left" w:pos="1620"/>
      </w:tabs>
      <w:spacing w:line="600" w:lineRule="exact"/>
    </w:pPr>
    <w:rPr>
      <w:rFonts w:ascii="宋体" w:hAnsi="宋体"/>
      <w:color w:val="000000"/>
      <w:kern w:val="2"/>
      <w:lang w:val="en-US"/>
    </w:rPr>
  </w:style>
  <w:style w:type="character" w:customStyle="1" w:styleId="131">
    <w:name w:val="font11"/>
    <w:qFormat/>
    <w:uiPriority w:val="0"/>
    <w:rPr>
      <w:rFonts w:hint="default" w:ascii="仿宋_GB2312" w:eastAsia="仿宋_GB2312" w:cs="仿宋_GB2312"/>
      <w:color w:val="000000"/>
      <w:sz w:val="24"/>
      <w:szCs w:val="24"/>
      <w:u w:val="none"/>
    </w:rPr>
  </w:style>
  <w:style w:type="character" w:customStyle="1" w:styleId="132">
    <w:name w:val="正文缩进2格 Char"/>
    <w:qFormat/>
    <w:locked/>
    <w:uiPriority w:val="0"/>
    <w:rPr>
      <w:rFonts w:ascii="仿宋_GB2312" w:hAnsi="宋体" w:eastAsia="仿宋_GB2312"/>
      <w:kern w:val="2"/>
      <w:sz w:val="31"/>
      <w:szCs w:val="28"/>
    </w:rPr>
  </w:style>
  <w:style w:type="paragraph" w:customStyle="1" w:styleId="133">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w:basedOn w:val="1"/>
    <w:qFormat/>
    <w:uiPriority w:val="0"/>
    <w:rPr>
      <w:rFonts w:ascii="Tahoma" w:hAnsi="Tahoma"/>
      <w:sz w:val="24"/>
      <w:szCs w:val="20"/>
    </w:rPr>
  </w:style>
  <w:style w:type="paragraph" w:customStyle="1" w:styleId="135">
    <w:name w:val="默认段落字体 Para Char Char Char Char Char Char Char Char Char1 Char Char Char Char"/>
    <w:basedOn w:val="1"/>
    <w:qFormat/>
    <w:uiPriority w:val="0"/>
    <w:rPr>
      <w:rFonts w:ascii="Tahoma" w:hAnsi="Tahoma"/>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w:basedOn w:val="1"/>
    <w:qFormat/>
    <w:uiPriority w:val="0"/>
    <w:rPr>
      <w:rFonts w:ascii="Tahoma" w:hAnsi="Tahoma"/>
      <w:sz w:val="24"/>
      <w:szCs w:val="20"/>
    </w:rPr>
  </w:style>
  <w:style w:type="paragraph" w:customStyle="1" w:styleId="138">
    <w:name w:val="正文缩进4格"/>
    <w:basedOn w:val="85"/>
    <w:qFormat/>
    <w:uiPriority w:val="0"/>
    <w:pPr>
      <w:ind w:left="2" w:firstLine="538" w:firstLineChars="192"/>
    </w:pPr>
    <w:rPr>
      <w:color w:val="000000"/>
      <w:kern w:val="2"/>
      <w:sz w:val="28"/>
      <w:lang w:val="en-US"/>
    </w:rPr>
  </w:style>
  <w:style w:type="paragraph" w:customStyle="1" w:styleId="13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Char11"/>
    <w:basedOn w:val="1"/>
    <w:qFormat/>
    <w:uiPriority w:val="0"/>
    <w:rPr>
      <w:rFonts w:ascii="Tahoma" w:hAnsi="Tahoma"/>
      <w:sz w:val="24"/>
      <w:szCs w:val="20"/>
    </w:rPr>
  </w:style>
  <w:style w:type="paragraph" w:customStyle="1" w:styleId="141">
    <w:name w:val="Char Char 字元 字元 字元 Char Char Char Char"/>
    <w:basedOn w:val="1"/>
    <w:qFormat/>
    <w:uiPriority w:val="0"/>
    <w:pPr>
      <w:adjustRightInd w:val="0"/>
      <w:spacing w:line="360" w:lineRule="auto"/>
    </w:pPr>
    <w:rPr>
      <w:rFonts w:ascii="Calibri" w:hAnsi="Calibri"/>
      <w:kern w:val="0"/>
      <w:sz w:val="24"/>
      <w:szCs w:val="20"/>
    </w:rPr>
  </w:style>
  <w:style w:type="paragraph" w:customStyle="1" w:styleId="142">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43">
    <w:name w:val="Char1"/>
    <w:basedOn w:val="1"/>
    <w:qFormat/>
    <w:uiPriority w:val="0"/>
    <w:pPr>
      <w:tabs>
        <w:tab w:val="left" w:pos="840"/>
      </w:tabs>
      <w:ind w:left="840" w:hanging="420"/>
    </w:pPr>
    <w:rPr>
      <w:rFonts w:ascii="Calibri" w:hAnsi="Calibri"/>
      <w:sz w:val="24"/>
    </w:rPr>
  </w:style>
  <w:style w:type="character" w:customStyle="1" w:styleId="144">
    <w:name w:val="正文文本首行缩进 2 字符"/>
    <w:basedOn w:val="94"/>
    <w:link w:val="38"/>
    <w:qFormat/>
    <w:uiPriority w:val="0"/>
    <w:rPr>
      <w:rFonts w:eastAsia="仿宋" w:asciiTheme="minorHAnsi" w:hAnsiTheme="minorHAnsi" w:cstheme="minorBidi"/>
      <w:kern w:val="2"/>
      <w:sz w:val="32"/>
      <w:szCs w:val="24"/>
    </w:rPr>
  </w:style>
  <w:style w:type="character" w:customStyle="1" w:styleId="145">
    <w:name w:val="Body text|1_"/>
    <w:basedOn w:val="41"/>
    <w:link w:val="146"/>
    <w:qFormat/>
    <w:uiPriority w:val="0"/>
    <w:rPr>
      <w:rFonts w:ascii="宋体" w:hAnsi="宋体" w:cs="宋体"/>
      <w:lang w:val="zh-TW" w:eastAsia="zh-TW" w:bidi="zh-TW"/>
    </w:rPr>
  </w:style>
  <w:style w:type="paragraph" w:customStyle="1" w:styleId="146">
    <w:name w:val="Body text|1"/>
    <w:basedOn w:val="1"/>
    <w:link w:val="145"/>
    <w:qFormat/>
    <w:uiPriority w:val="0"/>
    <w:pPr>
      <w:spacing w:line="331" w:lineRule="auto"/>
      <w:ind w:firstLine="400"/>
      <w:jc w:val="left"/>
    </w:pPr>
    <w:rPr>
      <w:rFonts w:ascii="宋体" w:hAnsi="宋体" w:cs="宋体"/>
      <w:kern w:val="0"/>
      <w:sz w:val="20"/>
      <w:szCs w:val="20"/>
      <w:lang w:val="zh-TW" w:eastAsia="zh-TW" w:bidi="zh-TW"/>
    </w:rPr>
  </w:style>
  <w:style w:type="paragraph" w:customStyle="1" w:styleId="147">
    <w:name w:val="正文缩进1"/>
    <w:basedOn w:val="1"/>
    <w:qFormat/>
    <w:uiPriority w:val="0"/>
    <w:pPr>
      <w:autoSpaceDE w:val="0"/>
      <w:autoSpaceDN w:val="0"/>
      <w:ind w:firstLine="420"/>
      <w:jc w:val="left"/>
    </w:pPr>
    <w:rPr>
      <w:sz w:val="24"/>
    </w:rPr>
  </w:style>
  <w:style w:type="paragraph" w:customStyle="1" w:styleId="148">
    <w:name w:val="索引 11"/>
    <w:basedOn w:val="1"/>
    <w:next w:val="1"/>
    <w:qFormat/>
    <w:uiPriority w:val="0"/>
    <w:pPr>
      <w:spacing w:line="360" w:lineRule="auto"/>
    </w:pPr>
    <w:rPr>
      <w:rFonts w:ascii="仿宋_GB2312" w:hAnsi="Calibri" w:eastAsia="仿宋_GB231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1FA38F-14FC-487C-8345-EC5AB664707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5220</Words>
  <Characters>5847</Characters>
  <Lines>776</Lines>
  <Paragraphs>710</Paragraphs>
  <TotalTime>388</TotalTime>
  <ScaleCrop>false</ScaleCrop>
  <LinksUpToDate>false</LinksUpToDate>
  <CharactersWithSpaces>5897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2025-01-06T00:52:00Z</dcterms:created>
  <dc:creator>HOME</dc:creator>
  <cp:lastModifiedBy>伊祖</cp:lastModifiedBy>
  <cp:lastPrinted>2021-08-14T09:22:00Z</cp:lastPrinted>
  <dcterms:modified xsi:type="dcterms:W3CDTF">2025-10-09T00:39:50Z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F812D9828F6B44B0B670D6B1982B72BB</vt:lpwstr>
  </property>
  <property fmtid="{D5CDD505-2E9C-101B-9397-08002B2CF9AE}" pid="4" name="KSOTemplateDocerSaveRecord">
    <vt:lpwstr>eyJoZGlkIjoiZjMxMTkyNDBkMDlmNDk4ZDQ3YjU2YmQ1MjBkOWFhZWUiLCJ1c2VySWQiOiIyNTc2MDgyMzEifQ==</vt:lpwstr>
  </property>
</Properties>
</file>