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9EA91">
      <w:pPr>
        <w:jc w:val="center"/>
        <w:rPr>
          <w:rFonts w:hint="eastAsia" w:ascii="华文中宋" w:hAnsi="华文中宋"/>
          <w:b/>
          <w:bCs/>
          <w:kern w:val="44"/>
          <w:sz w:val="44"/>
          <w:szCs w:val="44"/>
        </w:rPr>
      </w:pPr>
      <w:r>
        <w:rPr>
          <w:rFonts w:ascii="华文中宋" w:hAnsi="华文中宋"/>
          <w:b/>
          <w:bCs/>
          <w:kern w:val="44"/>
          <w:sz w:val="44"/>
          <w:szCs w:val="44"/>
        </w:rPr>
        <w:t>南通市通州区</w:t>
      </w:r>
      <w:r>
        <w:rPr>
          <w:rFonts w:hint="eastAsia" w:ascii="华文中宋" w:hAnsi="华文中宋"/>
          <w:b/>
          <w:bCs/>
          <w:kern w:val="44"/>
          <w:sz w:val="44"/>
          <w:szCs w:val="44"/>
        </w:rPr>
        <w:t>卫生健康委员会</w:t>
      </w:r>
    </w:p>
    <w:p w14:paraId="441DB2C5">
      <w:pPr>
        <w:jc w:val="center"/>
        <w:rPr>
          <w:rFonts w:hint="eastAsia" w:ascii="华文中宋" w:hAnsi="华文中宋"/>
          <w:b/>
          <w:bCs/>
          <w:kern w:val="44"/>
          <w:sz w:val="44"/>
          <w:szCs w:val="44"/>
        </w:rPr>
      </w:pPr>
      <w:r>
        <w:rPr>
          <w:rFonts w:hint="eastAsia" w:ascii="华文中宋" w:hAnsi="华文中宋"/>
          <w:b/>
          <w:bCs/>
          <w:kern w:val="44"/>
          <w:sz w:val="44"/>
          <w:szCs w:val="44"/>
        </w:rPr>
        <w:t>2026年除四害药物公开招标</w:t>
      </w:r>
      <w:r>
        <w:rPr>
          <w:rFonts w:ascii="华文中宋" w:hAnsi="华文中宋"/>
          <w:b/>
          <w:bCs/>
          <w:kern w:val="44"/>
          <w:sz w:val="44"/>
          <w:szCs w:val="44"/>
        </w:rPr>
        <w:t>采购</w:t>
      </w:r>
      <w:r>
        <w:rPr>
          <w:rFonts w:hint="eastAsia" w:ascii="华文中宋" w:hAnsi="华文中宋"/>
          <w:b/>
          <w:bCs/>
          <w:kern w:val="44"/>
          <w:sz w:val="44"/>
          <w:szCs w:val="44"/>
        </w:rPr>
        <w:t>文件</w:t>
      </w:r>
    </w:p>
    <w:p w14:paraId="7A591261">
      <w:pPr>
        <w:jc w:val="center"/>
        <w:rPr>
          <w:rFonts w:hint="eastAsia" w:ascii="华文中宋" w:hAnsi="华文中宋"/>
          <w:b/>
          <w:bCs/>
          <w:kern w:val="44"/>
          <w:sz w:val="44"/>
          <w:szCs w:val="44"/>
        </w:rPr>
      </w:pPr>
    </w:p>
    <w:p w14:paraId="60BC682B">
      <w:pPr>
        <w:jc w:val="center"/>
        <w:rPr>
          <w:rFonts w:hint="eastAsia" w:ascii="华文中宋" w:hAnsi="华文中宋"/>
          <w:b/>
          <w:bCs/>
          <w:kern w:val="44"/>
          <w:sz w:val="44"/>
          <w:szCs w:val="44"/>
        </w:rPr>
      </w:pPr>
      <w:r>
        <w:rPr>
          <w:rFonts w:hint="eastAsia" w:ascii="华文中宋" w:hAnsi="华文中宋"/>
          <w:b/>
          <w:bCs/>
          <w:kern w:val="44"/>
          <w:sz w:val="44"/>
          <w:szCs w:val="44"/>
        </w:rPr>
        <w:t>第一部分、采购</w:t>
      </w:r>
      <w:r>
        <w:rPr>
          <w:rFonts w:ascii="华文中宋" w:hAnsi="华文中宋"/>
          <w:b/>
          <w:bCs/>
          <w:kern w:val="44"/>
          <w:sz w:val="44"/>
          <w:szCs w:val="44"/>
        </w:rPr>
        <w:t>公告</w:t>
      </w:r>
    </w:p>
    <w:p w14:paraId="44D79F40">
      <w:pPr>
        <w:widowControl/>
        <w:spacing w:line="580" w:lineRule="exact"/>
        <w:ind w:firstLine="480"/>
        <w:rPr>
          <w:rFonts w:hint="eastAsia" w:ascii="仿宋" w:hAnsi="仿宋" w:eastAsia="仿宋" w:cs="仿宋"/>
          <w:sz w:val="28"/>
          <w:szCs w:val="28"/>
        </w:rPr>
      </w:pPr>
      <w:r>
        <w:rPr>
          <w:rFonts w:hint="eastAsia" w:ascii="仿宋" w:hAnsi="仿宋" w:eastAsia="仿宋" w:cs="仿宋"/>
          <w:sz w:val="28"/>
          <w:szCs w:val="28"/>
        </w:rPr>
        <w:t>南通市通州区卫生健康委员会就2026年除四害药物实施政府采购，本次采购采用公开招标采购方式，欢迎符合条件的供应商参加采购活动。</w:t>
      </w:r>
    </w:p>
    <w:p w14:paraId="50DCF394">
      <w:pPr>
        <w:pBdr>
          <w:top w:val="single" w:color="auto" w:sz="4" w:space="1"/>
          <w:left w:val="single" w:color="auto" w:sz="4" w:space="4"/>
          <w:bottom w:val="single" w:color="auto" w:sz="4" w:space="1"/>
          <w:right w:val="single" w:color="auto" w:sz="4" w:space="4"/>
        </w:pBd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项目概况</w:t>
      </w:r>
    </w:p>
    <w:p w14:paraId="7E359D46">
      <w:pPr>
        <w:pBdr>
          <w:top w:val="single" w:color="auto" w:sz="4" w:space="1"/>
          <w:left w:val="single" w:color="auto" w:sz="4" w:space="4"/>
          <w:bottom w:val="single" w:color="auto" w:sz="4" w:space="1"/>
          <w:right w:val="single" w:color="auto" w:sz="4" w:space="4"/>
        </w:pBd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南通市通州区卫生健康委员会2026年除四害药物</w:t>
      </w:r>
      <w:r>
        <w:rPr>
          <w:rFonts w:hint="eastAsia" w:ascii="仿宋" w:hAnsi="仿宋" w:eastAsia="仿宋" w:cs="仿宋"/>
          <w:sz w:val="28"/>
          <w:szCs w:val="28"/>
        </w:rPr>
        <w:t>采购项目的潜在供应商</w:t>
      </w:r>
      <w:r>
        <w:rPr>
          <w:rFonts w:hint="eastAsia" w:ascii="仿宋" w:hAnsi="仿宋" w:eastAsia="仿宋" w:cs="仿宋"/>
          <w:sz w:val="28"/>
          <w:szCs w:val="28"/>
          <w:u w:val="single"/>
        </w:rPr>
        <w:t>可在“南通市通州区人民政府网”自行免费下载</w:t>
      </w:r>
      <w:r>
        <w:rPr>
          <w:rFonts w:hint="eastAsia" w:ascii="仿宋" w:hAnsi="仿宋" w:eastAsia="仿宋" w:cs="仿宋"/>
          <w:sz w:val="28"/>
          <w:szCs w:val="28"/>
        </w:rPr>
        <w:t>采购文件，</w:t>
      </w:r>
      <w:r>
        <w:rPr>
          <w:rFonts w:hint="eastAsia" w:ascii="仿宋" w:hAnsi="仿宋" w:eastAsia="仿宋"/>
          <w:sz w:val="28"/>
          <w:szCs w:val="28"/>
        </w:rPr>
        <w:t>并于</w:t>
      </w:r>
      <w:r>
        <w:rPr>
          <w:rFonts w:hint="eastAsia" w:ascii="仿宋" w:hAnsi="仿宋" w:eastAsia="仿宋"/>
          <w:sz w:val="28"/>
          <w:szCs w:val="28"/>
          <w:u w:val="single"/>
        </w:rPr>
        <w:t xml:space="preserve"> 2026</w:t>
      </w:r>
      <w:r>
        <w:rPr>
          <w:rFonts w:hint="eastAsia" w:ascii="仿宋" w:hAnsi="仿宋" w:eastAsia="仿宋"/>
          <w:bCs/>
          <w:sz w:val="28"/>
          <w:szCs w:val="28"/>
          <w:u w:val="single"/>
        </w:rPr>
        <w:t>年5月6日15点30 分</w:t>
      </w:r>
      <w:r>
        <w:rPr>
          <w:rFonts w:hint="eastAsia" w:ascii="仿宋" w:hAnsi="仿宋" w:eastAsia="仿宋"/>
          <w:bCs/>
          <w:sz w:val="28"/>
          <w:szCs w:val="28"/>
        </w:rPr>
        <w:t>（北京时间）前提交响应文件</w:t>
      </w:r>
      <w:r>
        <w:rPr>
          <w:rFonts w:hint="eastAsia" w:ascii="仿宋" w:hAnsi="仿宋" w:eastAsia="仿宋"/>
          <w:sz w:val="28"/>
          <w:szCs w:val="28"/>
        </w:rPr>
        <w:t>。</w:t>
      </w:r>
    </w:p>
    <w:p w14:paraId="671D33AB">
      <w:pPr>
        <w:pStyle w:val="3"/>
        <w:spacing w:line="580" w:lineRule="exact"/>
        <w:ind w:firstLine="560" w:firstLineChars="200"/>
        <w:rPr>
          <w:rFonts w:hint="eastAsia" w:ascii="仿宋" w:hAnsi="仿宋" w:eastAsia="仿宋" w:cs="仿宋"/>
          <w:b w:val="0"/>
          <w:sz w:val="28"/>
          <w:szCs w:val="28"/>
        </w:rPr>
      </w:pPr>
      <w:r>
        <w:rPr>
          <w:rFonts w:hint="eastAsia" w:ascii="黑体" w:hAnsi="黑体" w:cs="黑体"/>
          <w:b w:val="0"/>
          <w:sz w:val="28"/>
          <w:szCs w:val="28"/>
        </w:rPr>
        <w:t>一、项目基本情况</w:t>
      </w:r>
    </w:p>
    <w:p w14:paraId="2778A900">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1.项目编号：---</w:t>
      </w:r>
    </w:p>
    <w:p w14:paraId="364B20DC">
      <w:pPr>
        <w:spacing w:line="5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2.项目名称：南通市通州区卫生健康委员会2026年除四害药物采购项目</w:t>
      </w:r>
    </w:p>
    <w:p w14:paraId="59DCF48B">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3.采购方式：公开招标</w:t>
      </w:r>
    </w:p>
    <w:p w14:paraId="58B2B45F">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4.预算金额：</w:t>
      </w:r>
      <w:bookmarkStart w:id="0" w:name="OLE_LINK10"/>
      <w:r>
        <w:rPr>
          <w:rFonts w:hint="eastAsia" w:ascii="仿宋" w:hAnsi="仿宋" w:eastAsia="仿宋" w:cs="仿宋"/>
          <w:sz w:val="28"/>
          <w:szCs w:val="28"/>
        </w:rPr>
        <w:t>本项目采购预算为18.5万元（人民币），总价最高限价为18.5万元；报价超过总价最高限价的将作为无效响应处理。</w:t>
      </w:r>
      <w:bookmarkEnd w:id="0"/>
    </w:p>
    <w:p w14:paraId="4D72A233">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5.采购需求：0.075%胆钙化醇灭鼠饵粒750Kg,10%顺式残杀威乳油2300瓶,球形芽孢杆菌750Kg, 0.6%高效氯氰菊酯灭蟑粉剂3000瓶,具体详见采购需求。</w:t>
      </w:r>
    </w:p>
    <w:p w14:paraId="1999A6EE">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6.合同履行期限：合同签订后根据采购人规定时间完成供货。</w:t>
      </w:r>
    </w:p>
    <w:p w14:paraId="03628ADB">
      <w:pPr>
        <w:spacing w:line="580" w:lineRule="exact"/>
        <w:ind w:firstLine="560" w:firstLineChars="200"/>
        <w:rPr>
          <w:rFonts w:hint="eastAsia" w:ascii="仿宋" w:hAnsi="仿宋" w:eastAsia="仿宋"/>
          <w:sz w:val="28"/>
          <w:szCs w:val="28"/>
        </w:rPr>
      </w:pPr>
      <w:r>
        <w:rPr>
          <w:rFonts w:hint="eastAsia" w:ascii="仿宋" w:hAnsi="仿宋" w:eastAsia="仿宋"/>
          <w:sz w:val="28"/>
          <w:szCs w:val="28"/>
        </w:rPr>
        <w:t>7.本项目</w:t>
      </w:r>
      <w:r>
        <w:rPr>
          <w:rFonts w:hint="eastAsia" w:ascii="仿宋" w:hAnsi="仿宋" w:eastAsia="仿宋"/>
          <w:sz w:val="28"/>
          <w:szCs w:val="28"/>
          <w:u w:val="single"/>
        </w:rPr>
        <w:t>专门</w:t>
      </w:r>
      <w:r>
        <w:rPr>
          <w:rFonts w:hint="eastAsia" w:ascii="仿宋" w:hAnsi="仿宋" w:eastAsia="仿宋"/>
          <w:sz w:val="28"/>
          <w:szCs w:val="28"/>
        </w:rPr>
        <w:t>面向中小企业参与投标。</w:t>
      </w:r>
    </w:p>
    <w:p w14:paraId="15D17F50">
      <w:pPr>
        <w:spacing w:line="580" w:lineRule="exact"/>
        <w:ind w:firstLine="560" w:firstLineChars="200"/>
        <w:rPr>
          <w:rFonts w:hint="eastAsia" w:ascii="仿宋" w:hAnsi="仿宋" w:eastAsia="仿宋" w:cs="仿宋"/>
          <w:sz w:val="28"/>
          <w:szCs w:val="28"/>
        </w:rPr>
      </w:pPr>
      <w:r>
        <w:rPr>
          <w:rFonts w:hint="eastAsia" w:ascii="仿宋" w:hAnsi="仿宋" w:eastAsia="仿宋"/>
          <w:sz w:val="28"/>
          <w:szCs w:val="28"/>
        </w:rPr>
        <w:t>8.本项目</w:t>
      </w:r>
      <w:r>
        <w:rPr>
          <w:rFonts w:hint="eastAsia" w:ascii="仿宋" w:hAnsi="仿宋" w:eastAsia="仿宋"/>
          <w:sz w:val="28"/>
          <w:szCs w:val="28"/>
          <w:u w:val="single"/>
        </w:rPr>
        <w:t xml:space="preserve"> 不接受 </w:t>
      </w:r>
      <w:r>
        <w:rPr>
          <w:rFonts w:hint="eastAsia" w:ascii="仿宋" w:hAnsi="仿宋" w:eastAsia="仿宋"/>
          <w:sz w:val="28"/>
          <w:szCs w:val="28"/>
        </w:rPr>
        <w:t>进口产品参与投标。</w:t>
      </w:r>
    </w:p>
    <w:p w14:paraId="002F55F6">
      <w:pPr>
        <w:pStyle w:val="3"/>
        <w:spacing w:line="580" w:lineRule="exact"/>
        <w:ind w:firstLine="560" w:firstLineChars="200"/>
        <w:rPr>
          <w:rFonts w:hint="eastAsia" w:ascii="黑体" w:hAnsi="黑体" w:cs="黑体"/>
          <w:b w:val="0"/>
          <w:sz w:val="28"/>
          <w:szCs w:val="28"/>
        </w:rPr>
      </w:pPr>
      <w:r>
        <w:rPr>
          <w:rFonts w:hint="eastAsia" w:ascii="黑体" w:hAnsi="黑体" w:cs="黑体"/>
          <w:b w:val="0"/>
          <w:sz w:val="28"/>
          <w:szCs w:val="28"/>
        </w:rPr>
        <w:t>二、申请人的资格要求</w:t>
      </w:r>
    </w:p>
    <w:p w14:paraId="45427026">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1.满足《中华人民共和国政府采购法》第二十二条规定，并提供下列材料：</w:t>
      </w:r>
    </w:p>
    <w:p w14:paraId="3406BAC1">
      <w:pPr>
        <w:spacing w:line="580" w:lineRule="exact"/>
        <w:ind w:firstLine="560" w:firstLineChars="200"/>
        <w:rPr>
          <w:rFonts w:hint="eastAsia" w:ascii="仿宋" w:hAnsi="仿宋" w:eastAsia="仿宋"/>
          <w:sz w:val="28"/>
          <w:szCs w:val="28"/>
        </w:rPr>
      </w:pPr>
      <w:r>
        <w:rPr>
          <w:rFonts w:hint="eastAsia" w:ascii="仿宋" w:hAnsi="仿宋" w:eastAsia="仿宋"/>
          <w:sz w:val="28"/>
          <w:szCs w:val="28"/>
        </w:rPr>
        <w:t>(1) 法人或者其他组织的营业执照等证明文件，自然人的身份证明；</w:t>
      </w:r>
    </w:p>
    <w:p w14:paraId="01373B1C">
      <w:pPr>
        <w:spacing w:line="580" w:lineRule="exact"/>
        <w:ind w:firstLine="560" w:firstLineChars="200"/>
        <w:rPr>
          <w:rFonts w:hint="eastAsia" w:ascii="仿宋" w:hAnsi="仿宋" w:eastAsia="仿宋"/>
          <w:sz w:val="28"/>
          <w:szCs w:val="28"/>
        </w:rPr>
      </w:pPr>
      <w:r>
        <w:rPr>
          <w:rFonts w:hint="eastAsia" w:ascii="仿宋" w:hAnsi="仿宋" w:eastAsia="仿宋"/>
          <w:sz w:val="28"/>
          <w:szCs w:val="28"/>
        </w:rPr>
        <w:t>(2）上一年度的财务状况报告（成立不满一年不需提供）；</w:t>
      </w:r>
    </w:p>
    <w:p w14:paraId="315E7F8D">
      <w:pPr>
        <w:spacing w:line="580" w:lineRule="exact"/>
        <w:ind w:left="279" w:leftChars="133" w:firstLine="280" w:firstLineChars="100"/>
        <w:rPr>
          <w:rFonts w:hint="eastAsia" w:ascii="仿宋" w:hAnsi="仿宋" w:eastAsia="仿宋"/>
          <w:sz w:val="28"/>
          <w:szCs w:val="28"/>
        </w:rPr>
      </w:pPr>
      <w:r>
        <w:rPr>
          <w:rFonts w:hint="eastAsia" w:ascii="仿宋" w:hAnsi="仿宋" w:eastAsia="仿宋"/>
          <w:sz w:val="28"/>
          <w:szCs w:val="28"/>
        </w:rPr>
        <w:t>(3)依法缴纳税收和社会保障资金的相关材料（提交2025年2月份依法缴纳税收及缴纳社会保障资金的证明材料。供应商依法享受缓缴、免缴税收、社会保障资金的提供证明材料）；</w:t>
      </w:r>
    </w:p>
    <w:p w14:paraId="115000C5">
      <w:pPr>
        <w:spacing w:line="580" w:lineRule="exact"/>
        <w:ind w:firstLine="560" w:firstLineChars="200"/>
        <w:rPr>
          <w:rFonts w:hint="eastAsia" w:ascii="仿宋" w:hAnsi="仿宋" w:eastAsia="仿宋"/>
          <w:sz w:val="28"/>
          <w:szCs w:val="28"/>
        </w:rPr>
      </w:pPr>
      <w:r>
        <w:rPr>
          <w:rFonts w:hint="eastAsia" w:ascii="仿宋" w:hAnsi="仿宋" w:eastAsia="仿宋"/>
          <w:sz w:val="28"/>
          <w:szCs w:val="28"/>
        </w:rPr>
        <w:t>(4)备齐履行合同所必需的证明材料；</w:t>
      </w:r>
    </w:p>
    <w:p w14:paraId="453A300D">
      <w:pPr>
        <w:spacing w:line="580" w:lineRule="exact"/>
        <w:ind w:firstLine="560" w:firstLineChars="200"/>
        <w:rPr>
          <w:rFonts w:hint="eastAsia" w:ascii="仿宋" w:hAnsi="仿宋" w:eastAsia="仿宋"/>
          <w:sz w:val="28"/>
          <w:szCs w:val="28"/>
        </w:rPr>
      </w:pPr>
      <w:r>
        <w:rPr>
          <w:rFonts w:hint="eastAsia" w:ascii="仿宋" w:hAnsi="仿宋" w:eastAsia="仿宋"/>
          <w:sz w:val="28"/>
          <w:szCs w:val="28"/>
        </w:rPr>
        <w:t>(5)参加政府采购活动前3年内在经营活动中没有重大违法记录的书面声明；</w:t>
      </w:r>
    </w:p>
    <w:p w14:paraId="631447C1">
      <w:pPr>
        <w:spacing w:line="580" w:lineRule="exact"/>
        <w:ind w:firstLine="560" w:firstLineChars="200"/>
        <w:rPr>
          <w:rFonts w:hint="eastAsia" w:ascii="仿宋" w:hAnsi="仿宋" w:eastAsia="仿宋" w:cs="仿宋"/>
          <w:sz w:val="28"/>
          <w:szCs w:val="28"/>
        </w:rPr>
      </w:pPr>
      <w:r>
        <w:rPr>
          <w:rFonts w:hint="eastAsia" w:ascii="仿宋" w:hAnsi="仿宋" w:eastAsia="仿宋"/>
          <w:sz w:val="28"/>
          <w:szCs w:val="28"/>
        </w:rPr>
        <w:t>(6)未被“信用中国”网站（www.creditchina.gov.cn）列入失信被执行人、重大税收违法案件当事人名单、政府采购严重失信行为记录名单。（提供网页截图）</w:t>
      </w:r>
    </w:p>
    <w:p w14:paraId="42C506E3">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落实政府采购政策需满足的资格要求：《政府采购促进中小企业发展管理办法》、《财政部民政部中国残疾人联合会关于促进残疾人就业政府采购政策的通知》、《财政部司法部关于政府采购支持监狱企业发展有关问题的通知》；</w:t>
      </w:r>
    </w:p>
    <w:p w14:paraId="4454D1A9">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3.本项目的特定资格要求：</w:t>
      </w:r>
      <w:r>
        <w:rPr>
          <w:rFonts w:hint="eastAsia" w:ascii="仿宋" w:hAnsi="仿宋" w:eastAsia="仿宋"/>
          <w:sz w:val="28"/>
          <w:szCs w:val="28"/>
        </w:rPr>
        <w:t>应提供采购药物的 “农药登记证”、“生产批准证”、“产品标准证封面”等有效证书。药物有产品合格证，且生产日期新，有效期长。</w:t>
      </w:r>
    </w:p>
    <w:p w14:paraId="5DF1A193">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4、符合相关法律、法规规定的其他要求。</w:t>
      </w:r>
    </w:p>
    <w:p w14:paraId="09ACA272">
      <w:pPr>
        <w:pStyle w:val="3"/>
        <w:spacing w:line="580" w:lineRule="exact"/>
        <w:ind w:firstLine="560" w:firstLineChars="200"/>
        <w:rPr>
          <w:rFonts w:hint="eastAsia" w:ascii="黑体" w:hAnsi="黑体" w:cs="黑体"/>
          <w:b w:val="0"/>
          <w:sz w:val="28"/>
          <w:szCs w:val="28"/>
        </w:rPr>
      </w:pPr>
      <w:r>
        <w:rPr>
          <w:rFonts w:hint="eastAsia" w:ascii="黑体" w:hAnsi="黑体" w:cs="黑体"/>
          <w:b w:val="0"/>
          <w:sz w:val="28"/>
          <w:szCs w:val="28"/>
        </w:rPr>
        <w:t>三、获取采购文件</w:t>
      </w:r>
    </w:p>
    <w:p w14:paraId="1D4A2C80">
      <w:pPr>
        <w:keepNext/>
        <w:keepLines/>
        <w:spacing w:before="260" w:after="260" w:line="580" w:lineRule="exact"/>
        <w:ind w:firstLine="562" w:firstLineChars="200"/>
        <w:outlineLvl w:val="1"/>
        <w:rPr>
          <w:rFonts w:hint="eastAsia" w:ascii="仿宋" w:hAnsi="仿宋" w:eastAsia="仿宋" w:cs="Arial"/>
          <w:b/>
          <w:bCs/>
          <w:sz w:val="28"/>
          <w:szCs w:val="28"/>
          <w:u w:val="single"/>
        </w:rPr>
      </w:pPr>
      <w:r>
        <w:rPr>
          <w:rFonts w:hint="eastAsia" w:ascii="仿宋" w:hAnsi="仿宋" w:eastAsia="仿宋" w:cs="Arial"/>
          <w:b/>
          <w:bCs/>
          <w:sz w:val="28"/>
          <w:szCs w:val="28"/>
        </w:rPr>
        <w:t>1.时间：</w:t>
      </w:r>
      <w:r>
        <w:rPr>
          <w:rFonts w:hint="eastAsia" w:ascii="仿宋" w:hAnsi="仿宋" w:eastAsia="仿宋" w:cs="Arial"/>
          <w:b/>
          <w:bCs/>
          <w:sz w:val="28"/>
          <w:szCs w:val="28"/>
          <w:u w:val="single"/>
        </w:rPr>
        <w:t>2026</w:t>
      </w:r>
      <w:r>
        <w:rPr>
          <w:rFonts w:hint="eastAsia" w:ascii="仿宋" w:hAnsi="仿宋" w:eastAsia="仿宋" w:cs="Arial"/>
          <w:b/>
          <w:bCs/>
          <w:sz w:val="28"/>
          <w:szCs w:val="28"/>
        </w:rPr>
        <w:t>年</w:t>
      </w:r>
      <w:r>
        <w:rPr>
          <w:rFonts w:hint="eastAsia" w:ascii="仿宋" w:hAnsi="仿宋" w:eastAsia="仿宋" w:cs="Arial"/>
          <w:b/>
          <w:bCs/>
          <w:sz w:val="28"/>
          <w:szCs w:val="28"/>
          <w:u w:val="single"/>
        </w:rPr>
        <w:t>4</w:t>
      </w:r>
      <w:r>
        <w:rPr>
          <w:rFonts w:hint="eastAsia" w:ascii="仿宋" w:hAnsi="仿宋" w:eastAsia="仿宋" w:cs="Arial"/>
          <w:b/>
          <w:bCs/>
          <w:sz w:val="28"/>
          <w:szCs w:val="28"/>
        </w:rPr>
        <w:t>月</w:t>
      </w:r>
      <w:r>
        <w:rPr>
          <w:rFonts w:hint="eastAsia" w:ascii="仿宋" w:hAnsi="仿宋" w:eastAsia="仿宋" w:cs="Arial"/>
          <w:b/>
          <w:bCs/>
          <w:sz w:val="28"/>
          <w:szCs w:val="28"/>
          <w:u w:val="single"/>
        </w:rPr>
        <w:t xml:space="preserve"> 16 </w:t>
      </w:r>
      <w:r>
        <w:rPr>
          <w:rFonts w:hint="eastAsia" w:ascii="仿宋" w:hAnsi="仿宋" w:eastAsia="仿宋" w:cs="Arial"/>
          <w:b/>
          <w:bCs/>
          <w:sz w:val="28"/>
          <w:szCs w:val="28"/>
        </w:rPr>
        <w:t>日至</w:t>
      </w:r>
      <w:r>
        <w:rPr>
          <w:rFonts w:hint="eastAsia" w:ascii="仿宋" w:hAnsi="仿宋" w:eastAsia="仿宋" w:cs="Arial"/>
          <w:b/>
          <w:bCs/>
          <w:sz w:val="28"/>
          <w:szCs w:val="28"/>
          <w:u w:val="single"/>
        </w:rPr>
        <w:t>2026</w:t>
      </w:r>
      <w:r>
        <w:rPr>
          <w:rFonts w:hint="eastAsia" w:ascii="仿宋" w:hAnsi="仿宋" w:eastAsia="仿宋" w:cs="Arial"/>
          <w:b/>
          <w:bCs/>
          <w:sz w:val="28"/>
          <w:szCs w:val="28"/>
        </w:rPr>
        <w:t>年</w:t>
      </w:r>
      <w:r>
        <w:rPr>
          <w:rFonts w:hint="eastAsia" w:ascii="仿宋" w:hAnsi="仿宋" w:eastAsia="仿宋" w:cs="Arial"/>
          <w:b/>
          <w:bCs/>
          <w:sz w:val="28"/>
          <w:szCs w:val="28"/>
          <w:u w:val="single"/>
        </w:rPr>
        <w:t>5</w:t>
      </w:r>
      <w:r>
        <w:rPr>
          <w:rFonts w:hint="eastAsia" w:ascii="仿宋" w:hAnsi="仿宋" w:eastAsia="仿宋" w:cs="Arial"/>
          <w:b/>
          <w:bCs/>
          <w:sz w:val="28"/>
          <w:szCs w:val="28"/>
        </w:rPr>
        <w:t>月</w:t>
      </w:r>
      <w:r>
        <w:rPr>
          <w:rFonts w:hint="eastAsia" w:ascii="仿宋" w:hAnsi="仿宋" w:eastAsia="仿宋" w:cs="Arial"/>
          <w:b/>
          <w:bCs/>
          <w:sz w:val="28"/>
          <w:szCs w:val="28"/>
          <w:u w:val="single"/>
        </w:rPr>
        <w:t xml:space="preserve"> 6</w:t>
      </w:r>
      <w:r>
        <w:rPr>
          <w:rFonts w:hint="eastAsia" w:ascii="仿宋" w:hAnsi="仿宋" w:eastAsia="仿宋" w:cs="Arial"/>
          <w:b/>
          <w:bCs/>
          <w:sz w:val="28"/>
          <w:szCs w:val="28"/>
        </w:rPr>
        <w:t>日。</w:t>
      </w:r>
    </w:p>
    <w:p w14:paraId="4199F341">
      <w:pPr>
        <w:keepNext/>
        <w:keepLines/>
        <w:spacing w:line="580" w:lineRule="exact"/>
        <w:ind w:firstLine="560" w:firstLineChars="200"/>
        <w:outlineLvl w:val="1"/>
        <w:rPr>
          <w:rFonts w:hint="eastAsia" w:ascii="仿宋" w:hAnsi="仿宋" w:eastAsia="仿宋"/>
          <w:sz w:val="28"/>
          <w:szCs w:val="28"/>
        </w:rPr>
      </w:pPr>
      <w:r>
        <w:rPr>
          <w:rFonts w:hint="eastAsia" w:ascii="仿宋" w:hAnsi="仿宋" w:eastAsia="仿宋"/>
          <w:sz w:val="28"/>
          <w:szCs w:val="28"/>
        </w:rPr>
        <w:t>2.地点：通州区人民政府http://www.tongzhou.gov.cn/→政府信息公开→政府工作部门→区卫生健康委员会→法定主动公开内容→公开信息。</w:t>
      </w:r>
    </w:p>
    <w:p w14:paraId="7FB4A574">
      <w:pPr>
        <w:keepNext/>
        <w:keepLines/>
        <w:spacing w:line="580" w:lineRule="exact"/>
        <w:ind w:firstLine="560" w:firstLineChars="200"/>
        <w:outlineLvl w:val="1"/>
        <w:rPr>
          <w:rFonts w:hint="eastAsia" w:ascii="仿宋" w:hAnsi="仿宋" w:eastAsia="仿宋"/>
          <w:sz w:val="28"/>
          <w:szCs w:val="28"/>
          <w:u w:val="single"/>
        </w:rPr>
      </w:pPr>
      <w:r>
        <w:rPr>
          <w:rFonts w:hint="eastAsia" w:ascii="仿宋" w:hAnsi="仿宋" w:eastAsia="仿宋"/>
          <w:sz w:val="28"/>
          <w:szCs w:val="28"/>
        </w:rPr>
        <w:t>3、方式：自行下载。</w:t>
      </w:r>
    </w:p>
    <w:p w14:paraId="393530B2">
      <w:pPr>
        <w:pStyle w:val="3"/>
        <w:spacing w:line="580" w:lineRule="exact"/>
        <w:ind w:firstLine="560" w:firstLineChars="200"/>
        <w:rPr>
          <w:rFonts w:hint="eastAsia" w:ascii="黑体" w:hAnsi="黑体" w:cs="黑体"/>
          <w:b w:val="0"/>
          <w:sz w:val="28"/>
          <w:szCs w:val="28"/>
        </w:rPr>
      </w:pPr>
      <w:r>
        <w:rPr>
          <w:rFonts w:hint="eastAsia" w:ascii="黑体" w:hAnsi="黑体" w:cs="黑体"/>
          <w:b w:val="0"/>
          <w:sz w:val="28"/>
          <w:szCs w:val="28"/>
        </w:rPr>
        <w:t>四、响应文件提交</w:t>
      </w:r>
    </w:p>
    <w:p w14:paraId="58B0F138">
      <w:pPr>
        <w:spacing w:line="580" w:lineRule="exact"/>
        <w:ind w:firstLine="560" w:firstLineChars="200"/>
        <w:rPr>
          <w:rFonts w:hint="eastAsia" w:ascii="仿宋" w:hAnsi="仿宋" w:eastAsia="仿宋"/>
          <w:sz w:val="28"/>
          <w:szCs w:val="28"/>
        </w:rPr>
      </w:pPr>
      <w:r>
        <w:rPr>
          <w:rFonts w:hint="eastAsia" w:ascii="仿宋" w:hAnsi="仿宋" w:eastAsia="仿宋"/>
          <w:sz w:val="28"/>
          <w:szCs w:val="28"/>
        </w:rPr>
        <w:t>1.截止时间：  2026 年5 月6日 15 点 30 分。（北京时间）</w:t>
      </w:r>
    </w:p>
    <w:p w14:paraId="07F2329A">
      <w:pPr>
        <w:spacing w:line="580" w:lineRule="exact"/>
        <w:ind w:firstLine="560" w:firstLineChars="200"/>
        <w:rPr>
          <w:rFonts w:hint="eastAsia" w:ascii="仿宋" w:hAnsi="仿宋" w:eastAsia="仿宋" w:cs="仿宋"/>
          <w:sz w:val="28"/>
          <w:szCs w:val="28"/>
        </w:rPr>
      </w:pPr>
      <w:r>
        <w:rPr>
          <w:rFonts w:hint="eastAsia" w:ascii="仿宋" w:hAnsi="仿宋" w:eastAsia="仿宋"/>
          <w:sz w:val="28"/>
          <w:szCs w:val="28"/>
        </w:rPr>
        <w:t>2.地点：南通市通州区卫健委414办公室。本项目为不见面开标，</w:t>
      </w:r>
      <w:bookmarkStart w:id="15" w:name="_GoBack"/>
      <w:bookmarkEnd w:id="15"/>
      <w:r>
        <w:rPr>
          <w:rFonts w:hint="eastAsia" w:ascii="仿宋" w:hAnsi="仿宋" w:eastAsia="仿宋"/>
          <w:sz w:val="28"/>
          <w:szCs w:val="28"/>
        </w:rPr>
        <w:t>响应人需在截止时间之前将响应文件递交至上述地点 。</w:t>
      </w:r>
    </w:p>
    <w:p w14:paraId="374AE8E6">
      <w:pPr>
        <w:pStyle w:val="3"/>
        <w:spacing w:line="580" w:lineRule="exact"/>
        <w:ind w:firstLine="560" w:firstLineChars="200"/>
        <w:rPr>
          <w:rFonts w:hint="eastAsia" w:ascii="黑体" w:hAnsi="黑体" w:cs="黑体"/>
          <w:b w:val="0"/>
          <w:sz w:val="28"/>
          <w:szCs w:val="28"/>
        </w:rPr>
      </w:pPr>
      <w:r>
        <w:rPr>
          <w:rFonts w:hint="eastAsia" w:ascii="黑体" w:hAnsi="黑体" w:cs="黑体"/>
          <w:b w:val="0"/>
          <w:sz w:val="28"/>
          <w:szCs w:val="28"/>
        </w:rPr>
        <w:t>五、本次公开招标采购联系方式</w:t>
      </w:r>
    </w:p>
    <w:p w14:paraId="75EA5DCE">
      <w:pPr>
        <w:spacing w:line="580" w:lineRule="exact"/>
        <w:ind w:firstLine="560" w:firstLineChars="200"/>
        <w:rPr>
          <w:rFonts w:hint="eastAsia" w:ascii="仿宋" w:hAnsi="仿宋" w:eastAsia="仿宋" w:cs="仿宋"/>
          <w:sz w:val="28"/>
          <w:szCs w:val="28"/>
          <w:u w:val="single"/>
        </w:rPr>
      </w:pPr>
      <w:r>
        <w:rPr>
          <w:rFonts w:hint="eastAsia" w:ascii="仿宋" w:hAnsi="仿宋" w:eastAsia="仿宋" w:cs="仿宋"/>
          <w:kern w:val="0"/>
          <w:sz w:val="28"/>
          <w:szCs w:val="28"/>
        </w:rPr>
        <w:t>名    称：</w:t>
      </w:r>
      <w:r>
        <w:rPr>
          <w:rFonts w:hint="eastAsia" w:ascii="仿宋" w:hAnsi="仿宋" w:eastAsia="仿宋" w:cs="仿宋"/>
          <w:sz w:val="28"/>
          <w:szCs w:val="28"/>
          <w:u w:val="single"/>
        </w:rPr>
        <w:t>南通市通州区卫生健康委员会</w:t>
      </w:r>
    </w:p>
    <w:p w14:paraId="7D74826D">
      <w:pPr>
        <w:spacing w:line="580" w:lineRule="exact"/>
        <w:ind w:firstLine="560" w:firstLineChars="200"/>
        <w:rPr>
          <w:rFonts w:hint="eastAsia" w:ascii="仿宋" w:hAnsi="仿宋" w:eastAsia="仿宋" w:cs="仿宋"/>
          <w:kern w:val="0"/>
          <w:sz w:val="28"/>
          <w:szCs w:val="28"/>
          <w:u w:val="single"/>
        </w:rPr>
      </w:pPr>
      <w:r>
        <w:rPr>
          <w:rFonts w:hint="eastAsia" w:ascii="仿宋" w:hAnsi="仿宋" w:eastAsia="仿宋" w:cs="仿宋"/>
          <w:kern w:val="0"/>
          <w:sz w:val="28"/>
          <w:szCs w:val="28"/>
        </w:rPr>
        <w:t>地    址：</w:t>
      </w:r>
      <w:r>
        <w:rPr>
          <w:rFonts w:hint="eastAsia" w:ascii="仿宋" w:hAnsi="仿宋" w:eastAsia="仿宋" w:cs="仿宋"/>
          <w:kern w:val="0"/>
          <w:sz w:val="28"/>
          <w:szCs w:val="28"/>
          <w:u w:val="single"/>
        </w:rPr>
        <w:t xml:space="preserve"> </w:t>
      </w:r>
      <w:r>
        <w:rPr>
          <w:rFonts w:hint="eastAsia" w:ascii="仿宋" w:hAnsi="仿宋" w:eastAsia="仿宋" w:cs="仿宋"/>
          <w:sz w:val="28"/>
          <w:szCs w:val="28"/>
          <w:u w:val="single"/>
        </w:rPr>
        <w:t xml:space="preserve">南通市通州区金新街道清河路528号 </w:t>
      </w:r>
      <w:r>
        <w:rPr>
          <w:rFonts w:hint="eastAsia" w:ascii="仿宋" w:hAnsi="仿宋" w:eastAsia="仿宋" w:cs="仿宋"/>
          <w:kern w:val="0"/>
          <w:sz w:val="28"/>
          <w:szCs w:val="28"/>
          <w:u w:val="single"/>
        </w:rPr>
        <w:t xml:space="preserve"> </w:t>
      </w:r>
    </w:p>
    <w:p w14:paraId="38DF8DF5">
      <w:pPr>
        <w:spacing w:line="580" w:lineRule="exact"/>
        <w:ind w:firstLine="560" w:firstLineChars="200"/>
        <w:rPr>
          <w:rFonts w:hint="eastAsia" w:ascii="仿宋" w:hAnsi="仿宋" w:eastAsia="仿宋" w:cs="仿宋"/>
          <w:sz w:val="28"/>
          <w:szCs w:val="28"/>
        </w:rPr>
      </w:pPr>
      <w:r>
        <w:rPr>
          <w:rFonts w:hint="eastAsia" w:ascii="仿宋" w:hAnsi="仿宋" w:eastAsia="仿宋" w:cs="仿宋"/>
          <w:kern w:val="0"/>
          <w:sz w:val="28"/>
          <w:szCs w:val="28"/>
        </w:rPr>
        <w:t>联 系 人：</w:t>
      </w:r>
      <w:r>
        <w:rPr>
          <w:rFonts w:hint="eastAsia" w:ascii="仿宋" w:hAnsi="仿宋" w:eastAsia="仿宋" w:cs="仿宋"/>
          <w:kern w:val="0"/>
          <w:sz w:val="28"/>
          <w:szCs w:val="28"/>
          <w:u w:val="single"/>
        </w:rPr>
        <w:t xml:space="preserve"> </w:t>
      </w:r>
      <w:r>
        <w:rPr>
          <w:rFonts w:hint="eastAsia" w:ascii="仿宋" w:hAnsi="仿宋" w:eastAsia="仿宋" w:cs="仿宋"/>
          <w:sz w:val="28"/>
          <w:szCs w:val="28"/>
          <w:u w:val="single"/>
        </w:rPr>
        <w:t>张女士</w:t>
      </w:r>
      <w:r>
        <w:rPr>
          <w:rFonts w:hint="eastAsia" w:ascii="仿宋" w:hAnsi="仿宋" w:eastAsia="仿宋" w:cs="仿宋"/>
          <w:sz w:val="28"/>
          <w:szCs w:val="28"/>
        </w:rPr>
        <w:t xml:space="preserve">  </w:t>
      </w:r>
    </w:p>
    <w:p w14:paraId="462FFCA0">
      <w:pPr>
        <w:spacing w:line="580" w:lineRule="exact"/>
        <w:ind w:firstLine="560" w:firstLineChars="200"/>
        <w:rPr>
          <w:rFonts w:hint="eastAsia" w:ascii="仿宋" w:hAnsi="仿宋" w:eastAsia="仿宋" w:cs="仿宋"/>
          <w:sz w:val="28"/>
          <w:szCs w:val="28"/>
        </w:rPr>
      </w:pPr>
      <w:r>
        <w:rPr>
          <w:rFonts w:hint="eastAsia" w:ascii="仿宋" w:hAnsi="仿宋" w:eastAsia="仿宋" w:cs="仿宋"/>
          <w:kern w:val="0"/>
          <w:sz w:val="28"/>
          <w:szCs w:val="28"/>
        </w:rPr>
        <w:t>联系方式：</w:t>
      </w:r>
      <w:r>
        <w:rPr>
          <w:rFonts w:hint="eastAsia" w:ascii="仿宋" w:hAnsi="仿宋" w:eastAsia="仿宋" w:cs="仿宋"/>
          <w:sz w:val="28"/>
          <w:szCs w:val="28"/>
          <w:u w:val="single"/>
        </w:rPr>
        <w:t xml:space="preserve">0513-86512686 </w:t>
      </w:r>
    </w:p>
    <w:p w14:paraId="751F1453">
      <w:pPr>
        <w:pStyle w:val="3"/>
        <w:spacing w:line="580" w:lineRule="exact"/>
        <w:ind w:firstLine="560" w:firstLineChars="200"/>
        <w:rPr>
          <w:rFonts w:hint="eastAsia" w:ascii="仿宋" w:hAnsi="仿宋" w:eastAsia="仿宋" w:cs="仿宋"/>
          <w:b w:val="0"/>
          <w:sz w:val="28"/>
          <w:szCs w:val="28"/>
        </w:rPr>
      </w:pPr>
      <w:r>
        <w:rPr>
          <w:rFonts w:hint="eastAsia" w:ascii="黑体" w:hAnsi="黑体" w:cs="黑体"/>
          <w:b w:val="0"/>
          <w:sz w:val="28"/>
          <w:szCs w:val="28"/>
        </w:rPr>
        <w:t>六、其他</w:t>
      </w:r>
    </w:p>
    <w:p w14:paraId="4E63346A">
      <w:pPr>
        <w:widowControl/>
        <w:spacing w:line="580" w:lineRule="exact"/>
        <w:ind w:firstLine="700" w:firstLineChars="250"/>
        <w:rPr>
          <w:rFonts w:hint="eastAsia" w:ascii="仿宋" w:hAnsi="仿宋" w:eastAsia="仿宋" w:cs="仿宋"/>
          <w:b/>
          <w:bCs/>
          <w:sz w:val="28"/>
          <w:szCs w:val="28"/>
        </w:rPr>
      </w:pPr>
      <w:r>
        <w:rPr>
          <w:rFonts w:hint="eastAsia" w:ascii="仿宋" w:hAnsi="仿宋" w:eastAsia="仿宋" w:cs="仿宋"/>
          <w:bCs/>
          <w:sz w:val="28"/>
          <w:szCs w:val="28"/>
        </w:rPr>
        <w:t>1.潜在供应商对公开招标文件项目需求部分的询问、质疑请向采购人提出，由采购人负责答复。</w:t>
      </w:r>
    </w:p>
    <w:p w14:paraId="53248B20">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2.公开招标采购响应文件制作份数要求：</w:t>
      </w:r>
    </w:p>
    <w:p w14:paraId="2AE0D339">
      <w:pPr>
        <w:spacing w:line="58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正本份数：</w:t>
      </w:r>
      <w:r>
        <w:rPr>
          <w:rFonts w:hint="eastAsia" w:ascii="仿宋" w:hAnsi="仿宋" w:eastAsia="仿宋" w:cs="仿宋"/>
          <w:sz w:val="28"/>
          <w:szCs w:val="28"/>
          <w:u w:val="single"/>
        </w:rPr>
        <w:t>1</w:t>
      </w:r>
      <w:r>
        <w:rPr>
          <w:rFonts w:hint="eastAsia" w:ascii="仿宋" w:hAnsi="仿宋" w:eastAsia="仿宋" w:cs="仿宋"/>
          <w:sz w:val="28"/>
          <w:szCs w:val="28"/>
        </w:rPr>
        <w:t>份   副本份数：__</w:t>
      </w:r>
      <w:r>
        <w:rPr>
          <w:rFonts w:hint="eastAsia" w:ascii="仿宋" w:hAnsi="仿宋" w:eastAsia="仿宋" w:cs="仿宋"/>
          <w:sz w:val="28"/>
          <w:szCs w:val="28"/>
          <w:u w:val="single"/>
        </w:rPr>
        <w:t>2</w:t>
      </w:r>
      <w:r>
        <w:rPr>
          <w:rFonts w:hint="eastAsia" w:ascii="仿宋" w:hAnsi="仿宋" w:eastAsia="仿宋" w:cs="仿宋"/>
          <w:sz w:val="28"/>
          <w:szCs w:val="28"/>
        </w:rPr>
        <w:t>__份。</w:t>
      </w:r>
    </w:p>
    <w:p w14:paraId="2CDE2C4F">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3.有关本次采购的事项若存在变动或修改，敬请及时关注“通州区人民政府网”发布的更正公告。</w:t>
      </w:r>
    </w:p>
    <w:p w14:paraId="489E95A9">
      <w:pPr>
        <w:jc w:val="center"/>
        <w:rPr>
          <w:rFonts w:hint="eastAsia" w:ascii="华文中宋" w:hAnsi="华文中宋"/>
          <w:b/>
          <w:bCs/>
          <w:kern w:val="44"/>
          <w:sz w:val="44"/>
          <w:szCs w:val="44"/>
        </w:rPr>
        <w:sectPr>
          <w:pgSz w:w="11906" w:h="16838"/>
          <w:pgMar w:top="1418" w:right="1588" w:bottom="1418" w:left="1365" w:header="851" w:footer="907" w:gutter="0"/>
          <w:cols w:space="720" w:num="1"/>
          <w:titlePg/>
          <w:docGrid w:type="lines" w:linePitch="290" w:charSpace="0"/>
        </w:sectPr>
      </w:pPr>
    </w:p>
    <w:p w14:paraId="425C7792">
      <w:pPr>
        <w:jc w:val="center"/>
        <w:rPr>
          <w:rFonts w:hint="eastAsia" w:ascii="华文中宋" w:hAnsi="华文中宋"/>
          <w:b/>
          <w:bCs/>
          <w:kern w:val="44"/>
          <w:sz w:val="44"/>
          <w:szCs w:val="44"/>
        </w:rPr>
      </w:pPr>
      <w:r>
        <w:rPr>
          <w:rFonts w:hint="eastAsia" w:ascii="华文中宋" w:hAnsi="华文中宋"/>
          <w:b/>
          <w:bCs/>
          <w:kern w:val="44"/>
          <w:sz w:val="44"/>
          <w:szCs w:val="44"/>
        </w:rPr>
        <w:t>第二部分、 供应商须知</w:t>
      </w:r>
    </w:p>
    <w:p w14:paraId="061D63E8">
      <w:pPr>
        <w:snapToGrid w:val="0"/>
        <w:spacing w:line="580" w:lineRule="exact"/>
        <w:ind w:firstLine="555"/>
        <w:contextualSpacing/>
        <w:rPr>
          <w:rFonts w:hint="eastAsia" w:ascii="黑体" w:hAnsi="黑体" w:eastAsia="黑体" w:cs="黑体"/>
          <w:b/>
          <w:bCs/>
          <w:sz w:val="32"/>
          <w:szCs w:val="32"/>
        </w:rPr>
      </w:pPr>
      <w:r>
        <w:rPr>
          <w:rFonts w:hint="eastAsia" w:ascii="黑体" w:hAnsi="黑体" w:eastAsia="黑体" w:cs="黑体"/>
          <w:b/>
          <w:bCs/>
          <w:sz w:val="32"/>
          <w:szCs w:val="32"/>
        </w:rPr>
        <w:t>一、本公开招标采购文件由采购单位解释</w:t>
      </w:r>
    </w:p>
    <w:p w14:paraId="794B18B5">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1、公开招标采购文件内容：</w:t>
      </w:r>
    </w:p>
    <w:p w14:paraId="56BECC2F">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（1）公开招标采购文件；</w:t>
      </w:r>
    </w:p>
    <w:p w14:paraId="6E7AA027">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（2）在规定时间内发出的答疑文件或补充通知。</w:t>
      </w:r>
    </w:p>
    <w:p w14:paraId="18BD2B6F">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供应商应仔细检查公开招标采购文件的所有内容，如有内容或页码残缺、资格要求和技术参数含有倾向性或排他性等表述的，请在公开招标采购文件发布后2个工作日内，以书面形式提出询问或疑问，未在规定时间内提出询问或疑问的，视同供应商理解并接受本公开招标采购文件所有内容，由此引起的损失自负。供应商不得在响应结束后针对公开招标采购文件所有内容提出质疑事项。非书面形式的不作为日后质疑提出的依据。</w:t>
      </w:r>
    </w:p>
    <w:p w14:paraId="68DE4C6F">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供应商应认真审阅公开采购招标文件中所有的事项、格式、条款和规范要求等，如果供应商没有按照要求提交公开招标采购文件，或者公开招标采购文件没有对公开招标采购内容做出实质性响应，其响应将被拒绝，后果由供应商自行承担。</w:t>
      </w:r>
    </w:p>
    <w:p w14:paraId="40516ADF">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采购人可以对已发出的公开招标采购文件进行必要的澄清或者修改，澄清或者修改的内容作为公开招标采购文件的组成部分。澄清或者修改的内容可能影响公开招标采购文件编制的，采购人应当在提交首次公开招标采购文件截止之日3个工作日前，以网上发布形式通知所有下载公开招标采购文件的供应商，且以在公告发布网站发布的信息为准，不足3个工作日的，应当顺延提交首次公开招标采购文件截止之日。</w:t>
      </w:r>
    </w:p>
    <w:p w14:paraId="4834C9A1">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供应商由于对公开招标采购文件的任何推论和误解以及采购人对有关问题的口头解释所造成的后果，均由供应商自负。</w:t>
      </w:r>
    </w:p>
    <w:p w14:paraId="5A388EFE">
      <w:pPr>
        <w:snapToGrid w:val="0"/>
        <w:spacing w:line="580" w:lineRule="exact"/>
        <w:ind w:firstLine="555"/>
        <w:contextualSpacing/>
        <w:rPr>
          <w:rFonts w:hint="eastAsia" w:ascii="黑体" w:hAnsi="黑体" w:eastAsia="黑体" w:cs="黑体"/>
          <w:b/>
          <w:bCs/>
          <w:sz w:val="32"/>
          <w:szCs w:val="32"/>
        </w:rPr>
      </w:pPr>
      <w:r>
        <w:rPr>
          <w:rFonts w:hint="eastAsia" w:ascii="黑体" w:hAnsi="黑体" w:eastAsia="黑体" w:cs="黑体"/>
          <w:b/>
          <w:bCs/>
          <w:sz w:val="32"/>
          <w:szCs w:val="32"/>
        </w:rPr>
        <w:t>二、公开招标采购文件的编写及装订</w:t>
      </w:r>
    </w:p>
    <w:p w14:paraId="74538D89">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公开招标采购文件的组成，参加公开招标采购的供应商按公开招标采购文件要求编写公开招标采购文件，自编目录并连续标注页码，纸质公开招标采购文件牢固装订成册。纸质公开招标采购文件均需采用A4纸（图纸等除外），不允许使用活页夹、拉杆夹、文件夹、塑料方便式书脊（插入式或穿孔式）装订。公开招标采购文件不得行间插字、涂改、增删，如修改错漏处，须经参加公开招标采购供应商法定代表人或被授权人签字并加盖公章。</w:t>
      </w:r>
    </w:p>
    <w:p w14:paraId="5180BD5C">
      <w:pPr>
        <w:snapToGrid w:val="0"/>
        <w:spacing w:line="580" w:lineRule="exact"/>
        <w:ind w:firstLine="555"/>
        <w:contextualSpacing/>
        <w:rPr>
          <w:rFonts w:hint="eastAsia" w:ascii="黑体" w:hAnsi="黑体" w:eastAsia="黑体" w:cs="黑体"/>
          <w:b/>
          <w:bCs/>
          <w:sz w:val="32"/>
          <w:szCs w:val="32"/>
        </w:rPr>
      </w:pPr>
      <w:r>
        <w:rPr>
          <w:rFonts w:hint="eastAsia" w:ascii="黑体" w:hAnsi="黑体" w:eastAsia="黑体" w:cs="黑体"/>
          <w:b/>
          <w:bCs/>
          <w:sz w:val="32"/>
          <w:szCs w:val="32"/>
        </w:rPr>
        <w:t>三、公开招标采购文件的份数和签署</w:t>
      </w:r>
    </w:p>
    <w:p w14:paraId="4946B7ED">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1、供应商应准备叁份完整的纸质公开招标采购文件（其中正本壹份，副本贰份，并标明“正本”或“副本”字样），公开招标采购文件正、副本若有差异，概以“正本”为准。</w:t>
      </w:r>
    </w:p>
    <w:p w14:paraId="70D66479">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2、纸质公开招标采购文件正本（须用不能擦去的墨水书写或打印）须由法定代表人或被授权人签字或盖章，并加盖单位印章。副本可复印，但须加盖单位印章。</w:t>
      </w:r>
    </w:p>
    <w:p w14:paraId="69023C29">
      <w:pPr>
        <w:snapToGrid w:val="0"/>
        <w:spacing w:line="580" w:lineRule="exact"/>
        <w:ind w:firstLine="555"/>
        <w:contextualSpacing/>
        <w:rPr>
          <w:rFonts w:hint="eastAsia" w:ascii="黑体" w:hAnsi="黑体" w:eastAsia="黑体" w:cs="黑体"/>
          <w:b/>
          <w:bCs/>
          <w:sz w:val="32"/>
          <w:szCs w:val="32"/>
        </w:rPr>
      </w:pPr>
      <w:r>
        <w:rPr>
          <w:rFonts w:hint="eastAsia" w:ascii="黑体" w:hAnsi="黑体" w:eastAsia="黑体" w:cs="黑体"/>
          <w:b/>
          <w:bCs/>
          <w:sz w:val="32"/>
          <w:szCs w:val="32"/>
        </w:rPr>
        <w:t>四、公开招标采购文件的密封及标记</w:t>
      </w:r>
    </w:p>
    <w:p w14:paraId="7D825969">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1、公开招标采购文件要求密封。</w:t>
      </w:r>
    </w:p>
    <w:p w14:paraId="4E9312EF">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2、供应商可将公开招标采购文件正副本统一密封或分别密封，如正本和副本分别密封的，应在封袋上标明正、副本字样。</w:t>
      </w:r>
    </w:p>
    <w:p w14:paraId="3B575301">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3、密封后封袋上应标明项目名称、供应商名称、边缝处加盖单位骑缝章和法定代表人或者授权代理人骑缝签字。</w:t>
      </w:r>
    </w:p>
    <w:p w14:paraId="757E6D2A">
      <w:pPr>
        <w:snapToGrid w:val="0"/>
        <w:spacing w:line="580" w:lineRule="exact"/>
        <w:ind w:firstLine="555"/>
        <w:contextualSpacing/>
        <w:rPr>
          <w:rFonts w:hint="eastAsia" w:ascii="黑体" w:hAnsi="黑体" w:eastAsia="黑体" w:cs="黑体"/>
          <w:b/>
          <w:bCs/>
          <w:sz w:val="32"/>
          <w:szCs w:val="32"/>
        </w:rPr>
      </w:pPr>
      <w:r>
        <w:rPr>
          <w:rFonts w:hint="eastAsia" w:ascii="黑体" w:hAnsi="黑体" w:eastAsia="黑体" w:cs="黑体"/>
          <w:b/>
          <w:bCs/>
          <w:sz w:val="32"/>
          <w:szCs w:val="32"/>
        </w:rPr>
        <w:t>五、报价准备</w:t>
      </w:r>
    </w:p>
    <w:p w14:paraId="2837B266">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1、本项目为固定总价报价，单品种药械只允许一个报价，不接受任何有选择性的报价。</w:t>
      </w:r>
    </w:p>
    <w:p w14:paraId="5CD57AE8">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2、报价应包括完成公开招标采购文件所确定的采购需求范围进行报价，包括为完成全部采购任务所需要的人员费、设备和设施的购置及使用费、管理费、利润及税金。</w:t>
      </w:r>
    </w:p>
    <w:p w14:paraId="09C1BC10">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3、本项目报价均须以人民币为货币单位，响应文件所使用的度量衡单位，均须采用国家法定计量单位。</w:t>
      </w:r>
    </w:p>
    <w:p w14:paraId="12ABAC9E">
      <w:pPr>
        <w:snapToGrid w:val="0"/>
        <w:spacing w:line="580" w:lineRule="exact"/>
        <w:ind w:firstLine="555"/>
        <w:contextualSpacing/>
        <w:rPr>
          <w:rFonts w:hint="eastAsia" w:ascii="黑体" w:hAnsi="黑体" w:eastAsia="黑体" w:cs="黑体"/>
          <w:b/>
          <w:bCs/>
          <w:sz w:val="32"/>
          <w:szCs w:val="32"/>
        </w:rPr>
      </w:pPr>
      <w:r>
        <w:rPr>
          <w:rFonts w:hint="eastAsia" w:ascii="黑体" w:hAnsi="黑体" w:eastAsia="黑体" w:cs="黑体"/>
          <w:b/>
          <w:bCs/>
          <w:sz w:val="32"/>
          <w:szCs w:val="32"/>
        </w:rPr>
        <w:t>六、公开招标采购文件的递交时间</w:t>
      </w:r>
    </w:p>
    <w:p w14:paraId="13C5D4AB">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供应商必须在规定的公开招标采购文件接收截止时间前送达至指定地点。采购人将拒绝接收在公开招标采购文件接收截止时间后递交的公开招标采购文件。</w:t>
      </w:r>
    </w:p>
    <w:p w14:paraId="3C5D7DBB">
      <w:pPr>
        <w:snapToGrid w:val="0"/>
        <w:spacing w:line="580" w:lineRule="exact"/>
        <w:ind w:firstLine="555"/>
        <w:contextualSpacing/>
        <w:rPr>
          <w:rFonts w:hint="eastAsia" w:ascii="黑体" w:hAnsi="黑体" w:eastAsia="黑体" w:cs="黑体"/>
          <w:b/>
          <w:bCs/>
          <w:sz w:val="32"/>
          <w:szCs w:val="32"/>
        </w:rPr>
      </w:pPr>
      <w:bookmarkStart w:id="1" w:name="_Toc182848971"/>
      <w:r>
        <w:rPr>
          <w:rFonts w:hint="eastAsia" w:ascii="黑体" w:hAnsi="黑体" w:eastAsia="黑体" w:cs="黑体"/>
          <w:b/>
          <w:bCs/>
          <w:sz w:val="32"/>
          <w:szCs w:val="32"/>
        </w:rPr>
        <w:t>七、公开招标采购文件及公开招标采购费用</w:t>
      </w:r>
    </w:p>
    <w:p w14:paraId="6D2C74AC">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1、公开招标采购程序顺利进行后，所有的公开招标采购文件都将作为档案保存，不论成交与否，均不退回。</w:t>
      </w:r>
    </w:p>
    <w:p w14:paraId="1D078714">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2、无论公开招标采购过程和结果如何，供应商自行承担与本次项目公开招标采购有关的全部费用。</w:t>
      </w:r>
    </w:p>
    <w:p w14:paraId="3008F49C">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3.本次公开招标采购不收取公开招标采购保证金。</w:t>
      </w:r>
    </w:p>
    <w:p w14:paraId="27A4E1E9">
      <w:pPr>
        <w:snapToGrid w:val="0"/>
        <w:spacing w:line="580" w:lineRule="exact"/>
        <w:ind w:firstLine="555"/>
        <w:contextualSpacing/>
        <w:rPr>
          <w:rFonts w:hint="eastAsia" w:ascii="黑体" w:hAnsi="黑体" w:eastAsia="黑体" w:cs="黑体"/>
          <w:b/>
          <w:bCs/>
          <w:sz w:val="32"/>
          <w:szCs w:val="32"/>
        </w:rPr>
      </w:pPr>
      <w:r>
        <w:rPr>
          <w:rFonts w:hint="eastAsia" w:ascii="黑体" w:hAnsi="黑体" w:eastAsia="黑体" w:cs="黑体"/>
          <w:b/>
          <w:bCs/>
          <w:sz w:val="32"/>
          <w:szCs w:val="32"/>
        </w:rPr>
        <w:t>八、未尽事宜</w:t>
      </w:r>
    </w:p>
    <w:p w14:paraId="7BDF0F85">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按《中华人民共和国政府采购法》、《政府采购非招标采购方式管理办法》及其他有关法律法规的规定执行。</w:t>
      </w:r>
      <w:bookmarkEnd w:id="1"/>
      <w:r>
        <w:rPr>
          <w:rFonts w:hint="eastAsia" w:ascii="仿宋" w:hAnsi="仿宋" w:eastAsia="仿宋" w:cs="仿宋"/>
          <w:sz w:val="28"/>
          <w:szCs w:val="28"/>
        </w:rPr>
        <w:br w:type="page"/>
      </w:r>
    </w:p>
    <w:p w14:paraId="2B70C729">
      <w:pPr>
        <w:jc w:val="center"/>
        <w:rPr>
          <w:rFonts w:hint="eastAsia" w:ascii="华文中宋" w:hAnsi="华文中宋"/>
          <w:b/>
          <w:bCs/>
          <w:kern w:val="44"/>
          <w:sz w:val="44"/>
          <w:szCs w:val="44"/>
        </w:rPr>
      </w:pPr>
      <w:r>
        <w:rPr>
          <w:rFonts w:hint="eastAsia" w:ascii="华文中宋" w:hAnsi="华文中宋"/>
          <w:b/>
          <w:bCs/>
          <w:kern w:val="44"/>
          <w:sz w:val="44"/>
          <w:szCs w:val="44"/>
        </w:rPr>
        <w:t>第三部分 项目需求</w:t>
      </w:r>
    </w:p>
    <w:tbl>
      <w:tblPr>
        <w:tblStyle w:val="10"/>
        <w:tblW w:w="9549" w:type="dxa"/>
        <w:tblInd w:w="-33" w:type="dxa"/>
        <w:tblLayout w:type="fixed"/>
        <w:tblCellMar>
          <w:top w:w="0" w:type="dxa"/>
          <w:left w:w="108" w:type="dxa"/>
          <w:bottom w:w="0" w:type="dxa"/>
          <w:right w:w="108" w:type="dxa"/>
        </w:tblCellMar>
      </w:tblPr>
      <w:tblGrid>
        <w:gridCol w:w="896"/>
        <w:gridCol w:w="1336"/>
        <w:gridCol w:w="1207"/>
        <w:gridCol w:w="2744"/>
        <w:gridCol w:w="1537"/>
        <w:gridCol w:w="786"/>
        <w:gridCol w:w="1043"/>
      </w:tblGrid>
      <w:tr w14:paraId="51FDD96C">
        <w:tblPrEx>
          <w:tblCellMar>
            <w:top w:w="0" w:type="dxa"/>
            <w:left w:w="108" w:type="dxa"/>
            <w:bottom w:w="0" w:type="dxa"/>
            <w:right w:w="108" w:type="dxa"/>
          </w:tblCellMar>
        </w:tblPrEx>
        <w:trPr>
          <w:trHeight w:val="615" w:hRule="atLeast"/>
        </w:trPr>
        <w:tc>
          <w:tcPr>
            <w:tcW w:w="9549" w:type="dxa"/>
            <w:gridSpan w:val="7"/>
            <w:tcBorders>
              <w:top w:val="nil"/>
              <w:left w:val="nil"/>
              <w:bottom w:val="single" w:color="000000" w:sz="4" w:space="0"/>
              <w:right w:val="nil"/>
            </w:tcBorders>
            <w:noWrap/>
            <w:vAlign w:val="center"/>
          </w:tcPr>
          <w:p w14:paraId="32F0A140">
            <w:pPr>
              <w:widowControl/>
              <w:spacing w:line="580" w:lineRule="exact"/>
              <w:jc w:val="center"/>
              <w:textAlignment w:val="center"/>
              <w:rPr>
                <w:rFonts w:hint="eastAsia" w:ascii="方正小标宋_GBK" w:hAnsi="方正小标宋_GBK" w:eastAsia="方正小标宋_GBK" w:cs="方正小标宋_GBK"/>
                <w:color w:val="000000"/>
                <w:kern w:val="0"/>
                <w:sz w:val="32"/>
                <w:szCs w:val="32"/>
                <w:lang w:bidi="ar"/>
              </w:rPr>
            </w:pPr>
            <w:bookmarkStart w:id="2" w:name="OLE_LINK8"/>
          </w:p>
          <w:p w14:paraId="0A993730">
            <w:pPr>
              <w:widowControl/>
              <w:spacing w:line="580" w:lineRule="exact"/>
              <w:jc w:val="center"/>
              <w:textAlignment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kern w:val="0"/>
                <w:sz w:val="32"/>
                <w:szCs w:val="32"/>
                <w:lang w:bidi="ar"/>
              </w:rPr>
              <w:t>2026年通州区除四害药物采购需求明细表</w:t>
            </w:r>
          </w:p>
        </w:tc>
      </w:tr>
      <w:tr w14:paraId="1763324A">
        <w:tblPrEx>
          <w:tblCellMar>
            <w:top w:w="0" w:type="dxa"/>
            <w:left w:w="108" w:type="dxa"/>
            <w:bottom w:w="0" w:type="dxa"/>
            <w:right w:w="108" w:type="dxa"/>
          </w:tblCellMar>
        </w:tblPrEx>
        <w:trPr>
          <w:trHeight w:val="580" w:hRule="atLeast"/>
        </w:trPr>
        <w:tc>
          <w:tcPr>
            <w:tcW w:w="896" w:type="dxa"/>
            <w:vMerge w:val="restart"/>
            <w:tcBorders>
              <w:top w:val="nil"/>
              <w:left w:val="single" w:color="000000" w:sz="4" w:space="0"/>
              <w:bottom w:val="nil"/>
              <w:right w:val="single" w:color="000000" w:sz="4" w:space="0"/>
            </w:tcBorders>
            <w:vAlign w:val="center"/>
          </w:tcPr>
          <w:p w14:paraId="62085A2D">
            <w:pPr>
              <w:widowControl/>
              <w:spacing w:line="580" w:lineRule="exact"/>
              <w:jc w:val="center"/>
              <w:textAlignment w:val="center"/>
              <w:rPr>
                <w:rFonts w:hint="eastAsia" w:ascii="仿宋" w:hAnsi="仿宋" w:eastAsia="仿宋" w:cs="仿宋"/>
                <w:b/>
                <w:bCs/>
                <w:sz w:val="28"/>
                <w:szCs w:val="28"/>
              </w:rPr>
            </w:pPr>
            <w:bookmarkStart w:id="3" w:name="OLE_LINK9" w:colFirst="0" w:colLast="6"/>
            <w:r>
              <w:rPr>
                <w:rFonts w:hint="eastAsia" w:ascii="仿宋" w:hAnsi="仿宋" w:eastAsia="仿宋" w:cs="仿宋"/>
                <w:b/>
                <w:bCs/>
                <w:kern w:val="0"/>
                <w:sz w:val="28"/>
                <w:szCs w:val="28"/>
                <w:lang w:bidi="ar"/>
              </w:rPr>
              <w:t>序号</w:t>
            </w:r>
          </w:p>
        </w:tc>
        <w:tc>
          <w:tcPr>
            <w:tcW w:w="2543" w:type="dxa"/>
            <w:gridSpan w:val="2"/>
            <w:vMerge w:val="restart"/>
            <w:tcBorders>
              <w:top w:val="single" w:color="000000" w:sz="4" w:space="0"/>
              <w:left w:val="single" w:color="000000" w:sz="4" w:space="0"/>
              <w:bottom w:val="nil"/>
              <w:right w:val="single" w:color="000000" w:sz="4" w:space="0"/>
            </w:tcBorders>
            <w:vAlign w:val="center"/>
          </w:tcPr>
          <w:p w14:paraId="7E73FB8C">
            <w:pPr>
              <w:widowControl/>
              <w:spacing w:line="580" w:lineRule="exact"/>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用　　途</w:t>
            </w:r>
          </w:p>
        </w:tc>
        <w:tc>
          <w:tcPr>
            <w:tcW w:w="2744" w:type="dxa"/>
            <w:vMerge w:val="restart"/>
            <w:tcBorders>
              <w:top w:val="nil"/>
              <w:left w:val="single" w:color="000000" w:sz="4" w:space="0"/>
              <w:bottom w:val="nil"/>
              <w:right w:val="single" w:color="000000" w:sz="4" w:space="0"/>
            </w:tcBorders>
            <w:vAlign w:val="center"/>
          </w:tcPr>
          <w:p w14:paraId="6B8F177B">
            <w:pPr>
              <w:widowControl/>
              <w:spacing w:line="580" w:lineRule="exact"/>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有  效  成  份</w:t>
            </w:r>
          </w:p>
        </w:tc>
        <w:tc>
          <w:tcPr>
            <w:tcW w:w="1537" w:type="dxa"/>
            <w:vMerge w:val="restart"/>
            <w:tcBorders>
              <w:top w:val="nil"/>
              <w:left w:val="single" w:color="000000" w:sz="4" w:space="0"/>
              <w:bottom w:val="nil"/>
              <w:right w:val="single" w:color="000000" w:sz="4" w:space="0"/>
            </w:tcBorders>
            <w:vAlign w:val="center"/>
          </w:tcPr>
          <w:p w14:paraId="52C18DC2">
            <w:pPr>
              <w:widowControl/>
              <w:spacing w:line="580" w:lineRule="exact"/>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规  格</w:t>
            </w:r>
          </w:p>
        </w:tc>
        <w:tc>
          <w:tcPr>
            <w:tcW w:w="786" w:type="dxa"/>
            <w:vMerge w:val="restart"/>
            <w:tcBorders>
              <w:top w:val="nil"/>
              <w:left w:val="single" w:color="000000" w:sz="4" w:space="0"/>
              <w:bottom w:val="nil"/>
              <w:right w:val="single" w:color="000000" w:sz="4" w:space="0"/>
            </w:tcBorders>
            <w:vAlign w:val="center"/>
          </w:tcPr>
          <w:p w14:paraId="5355B84F">
            <w:pPr>
              <w:widowControl/>
              <w:spacing w:line="580" w:lineRule="exact"/>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单位</w:t>
            </w:r>
          </w:p>
        </w:tc>
        <w:tc>
          <w:tcPr>
            <w:tcW w:w="1043" w:type="dxa"/>
            <w:vMerge w:val="restart"/>
            <w:tcBorders>
              <w:top w:val="nil"/>
              <w:left w:val="single" w:color="000000" w:sz="4" w:space="0"/>
              <w:bottom w:val="nil"/>
              <w:right w:val="single" w:color="000000" w:sz="4" w:space="0"/>
            </w:tcBorders>
            <w:vAlign w:val="center"/>
          </w:tcPr>
          <w:p w14:paraId="20A24C05">
            <w:pPr>
              <w:widowControl/>
              <w:spacing w:line="580" w:lineRule="exact"/>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数量</w:t>
            </w:r>
          </w:p>
        </w:tc>
      </w:tr>
      <w:tr w14:paraId="03C0A5C2">
        <w:tblPrEx>
          <w:tblCellMar>
            <w:top w:w="0" w:type="dxa"/>
            <w:left w:w="108" w:type="dxa"/>
            <w:bottom w:w="0" w:type="dxa"/>
            <w:right w:w="108" w:type="dxa"/>
          </w:tblCellMar>
        </w:tblPrEx>
        <w:trPr>
          <w:trHeight w:val="580" w:hRule="atLeast"/>
        </w:trPr>
        <w:tc>
          <w:tcPr>
            <w:tcW w:w="896" w:type="dxa"/>
            <w:vMerge w:val="continue"/>
            <w:tcBorders>
              <w:top w:val="nil"/>
              <w:left w:val="single" w:color="000000" w:sz="4" w:space="0"/>
              <w:bottom w:val="nil"/>
              <w:right w:val="single" w:color="000000" w:sz="4" w:space="0"/>
            </w:tcBorders>
            <w:vAlign w:val="center"/>
          </w:tcPr>
          <w:p w14:paraId="44B13605">
            <w:pPr>
              <w:spacing w:line="580" w:lineRule="exact"/>
              <w:jc w:val="center"/>
              <w:rPr>
                <w:rFonts w:hint="eastAsia" w:ascii="仿宋" w:hAnsi="仿宋" w:eastAsia="仿宋" w:cs="仿宋"/>
                <w:sz w:val="28"/>
                <w:szCs w:val="28"/>
              </w:rPr>
            </w:pPr>
          </w:p>
        </w:tc>
        <w:tc>
          <w:tcPr>
            <w:tcW w:w="2543" w:type="dxa"/>
            <w:gridSpan w:val="2"/>
            <w:vMerge w:val="continue"/>
            <w:tcBorders>
              <w:top w:val="single" w:color="000000" w:sz="4" w:space="0"/>
              <w:left w:val="single" w:color="000000" w:sz="4" w:space="0"/>
              <w:bottom w:val="nil"/>
              <w:right w:val="single" w:color="000000" w:sz="4" w:space="0"/>
            </w:tcBorders>
            <w:vAlign w:val="center"/>
          </w:tcPr>
          <w:p w14:paraId="4F337485">
            <w:pPr>
              <w:spacing w:line="580" w:lineRule="exact"/>
              <w:jc w:val="center"/>
              <w:rPr>
                <w:rFonts w:hint="eastAsia" w:ascii="仿宋" w:hAnsi="仿宋" w:eastAsia="仿宋" w:cs="仿宋"/>
                <w:sz w:val="28"/>
                <w:szCs w:val="28"/>
              </w:rPr>
            </w:pPr>
          </w:p>
        </w:tc>
        <w:tc>
          <w:tcPr>
            <w:tcW w:w="2744" w:type="dxa"/>
            <w:vMerge w:val="continue"/>
            <w:tcBorders>
              <w:top w:val="nil"/>
              <w:left w:val="single" w:color="000000" w:sz="4" w:space="0"/>
              <w:bottom w:val="nil"/>
              <w:right w:val="single" w:color="000000" w:sz="4" w:space="0"/>
            </w:tcBorders>
            <w:vAlign w:val="center"/>
          </w:tcPr>
          <w:p w14:paraId="40568172">
            <w:pPr>
              <w:spacing w:line="580" w:lineRule="exact"/>
              <w:jc w:val="center"/>
              <w:rPr>
                <w:rFonts w:hint="eastAsia" w:ascii="仿宋" w:hAnsi="仿宋" w:eastAsia="仿宋" w:cs="仿宋"/>
                <w:sz w:val="28"/>
                <w:szCs w:val="28"/>
              </w:rPr>
            </w:pPr>
          </w:p>
        </w:tc>
        <w:tc>
          <w:tcPr>
            <w:tcW w:w="1537" w:type="dxa"/>
            <w:vMerge w:val="continue"/>
            <w:tcBorders>
              <w:top w:val="nil"/>
              <w:left w:val="single" w:color="000000" w:sz="4" w:space="0"/>
              <w:bottom w:val="nil"/>
              <w:right w:val="single" w:color="000000" w:sz="4" w:space="0"/>
            </w:tcBorders>
            <w:vAlign w:val="center"/>
          </w:tcPr>
          <w:p w14:paraId="48E9BCF9">
            <w:pPr>
              <w:spacing w:line="580" w:lineRule="exact"/>
              <w:jc w:val="center"/>
              <w:rPr>
                <w:rFonts w:hint="eastAsia" w:ascii="仿宋" w:hAnsi="仿宋" w:eastAsia="仿宋" w:cs="仿宋"/>
                <w:sz w:val="28"/>
                <w:szCs w:val="28"/>
              </w:rPr>
            </w:pPr>
          </w:p>
        </w:tc>
        <w:tc>
          <w:tcPr>
            <w:tcW w:w="786" w:type="dxa"/>
            <w:vMerge w:val="continue"/>
            <w:tcBorders>
              <w:top w:val="nil"/>
              <w:left w:val="single" w:color="000000" w:sz="4" w:space="0"/>
              <w:bottom w:val="nil"/>
              <w:right w:val="single" w:color="000000" w:sz="4" w:space="0"/>
            </w:tcBorders>
            <w:vAlign w:val="center"/>
          </w:tcPr>
          <w:p w14:paraId="59E4A071">
            <w:pPr>
              <w:spacing w:line="580" w:lineRule="exact"/>
              <w:jc w:val="center"/>
              <w:rPr>
                <w:rFonts w:hint="eastAsia" w:ascii="仿宋" w:hAnsi="仿宋" w:eastAsia="仿宋" w:cs="仿宋"/>
                <w:sz w:val="28"/>
                <w:szCs w:val="28"/>
              </w:rPr>
            </w:pPr>
          </w:p>
        </w:tc>
        <w:tc>
          <w:tcPr>
            <w:tcW w:w="1043" w:type="dxa"/>
            <w:vMerge w:val="continue"/>
            <w:tcBorders>
              <w:top w:val="nil"/>
              <w:left w:val="single" w:color="000000" w:sz="4" w:space="0"/>
              <w:bottom w:val="nil"/>
              <w:right w:val="single" w:color="000000" w:sz="4" w:space="0"/>
            </w:tcBorders>
            <w:vAlign w:val="center"/>
          </w:tcPr>
          <w:p w14:paraId="58EA6EFD">
            <w:pPr>
              <w:spacing w:line="580" w:lineRule="exact"/>
              <w:jc w:val="center"/>
              <w:rPr>
                <w:rFonts w:hint="eastAsia" w:ascii="仿宋" w:hAnsi="仿宋" w:eastAsia="仿宋" w:cs="仿宋"/>
                <w:sz w:val="28"/>
                <w:szCs w:val="28"/>
              </w:rPr>
            </w:pPr>
          </w:p>
        </w:tc>
      </w:tr>
      <w:tr w14:paraId="7D1DB801">
        <w:tblPrEx>
          <w:tblCellMar>
            <w:top w:w="0" w:type="dxa"/>
            <w:left w:w="108" w:type="dxa"/>
            <w:bottom w:w="0" w:type="dxa"/>
            <w:right w:w="108" w:type="dxa"/>
          </w:tblCellMar>
        </w:tblPrEx>
        <w:trPr>
          <w:trHeight w:val="540" w:hRule="atLeast"/>
        </w:trPr>
        <w:tc>
          <w:tcPr>
            <w:tcW w:w="896" w:type="dxa"/>
            <w:tcBorders>
              <w:top w:val="single" w:color="auto" w:sz="4" w:space="0"/>
              <w:left w:val="single" w:color="auto" w:sz="4" w:space="0"/>
              <w:bottom w:val="single" w:color="auto" w:sz="4" w:space="0"/>
              <w:right w:val="single" w:color="auto" w:sz="4" w:space="0"/>
            </w:tcBorders>
            <w:noWrap/>
            <w:vAlign w:val="center"/>
          </w:tcPr>
          <w:p w14:paraId="691BD8E0">
            <w:pPr>
              <w:widowControl/>
              <w:spacing w:line="580" w:lineRule="exact"/>
              <w:jc w:val="center"/>
              <w:textAlignment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1</w:t>
            </w:r>
          </w:p>
        </w:tc>
        <w:tc>
          <w:tcPr>
            <w:tcW w:w="1336" w:type="dxa"/>
            <w:tcBorders>
              <w:top w:val="single" w:color="auto" w:sz="4" w:space="0"/>
              <w:left w:val="nil"/>
              <w:bottom w:val="single" w:color="auto" w:sz="4" w:space="0"/>
              <w:right w:val="single" w:color="auto" w:sz="4" w:space="0"/>
            </w:tcBorders>
            <w:noWrap/>
            <w:vAlign w:val="center"/>
          </w:tcPr>
          <w:p w14:paraId="39A28925">
            <w:pPr>
              <w:widowControl/>
              <w:spacing w:line="580" w:lineRule="exact"/>
              <w:jc w:val="center"/>
              <w:textAlignment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灭  鼠</w:t>
            </w:r>
          </w:p>
        </w:tc>
        <w:tc>
          <w:tcPr>
            <w:tcW w:w="1207" w:type="dxa"/>
            <w:tcBorders>
              <w:top w:val="single" w:color="auto" w:sz="4" w:space="0"/>
              <w:left w:val="nil"/>
              <w:bottom w:val="single" w:color="auto" w:sz="4" w:space="0"/>
              <w:right w:val="single" w:color="auto" w:sz="4" w:space="0"/>
            </w:tcBorders>
            <w:vAlign w:val="center"/>
          </w:tcPr>
          <w:p w14:paraId="17B01D6A">
            <w:pPr>
              <w:widowControl/>
              <w:spacing w:line="580" w:lineRule="exact"/>
              <w:jc w:val="center"/>
              <w:textAlignment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饵粒</w:t>
            </w:r>
          </w:p>
        </w:tc>
        <w:tc>
          <w:tcPr>
            <w:tcW w:w="2744" w:type="dxa"/>
            <w:tcBorders>
              <w:top w:val="single" w:color="auto" w:sz="4" w:space="0"/>
              <w:left w:val="nil"/>
              <w:bottom w:val="single" w:color="auto" w:sz="4" w:space="0"/>
              <w:right w:val="single" w:color="auto" w:sz="4" w:space="0"/>
            </w:tcBorders>
            <w:vAlign w:val="center"/>
          </w:tcPr>
          <w:p w14:paraId="44F73A4B">
            <w:pPr>
              <w:widowControl/>
              <w:spacing w:line="580" w:lineRule="exact"/>
              <w:jc w:val="center"/>
              <w:textAlignment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0.075%胆钙化醇</w:t>
            </w:r>
          </w:p>
        </w:tc>
        <w:tc>
          <w:tcPr>
            <w:tcW w:w="1537" w:type="dxa"/>
            <w:tcBorders>
              <w:top w:val="single" w:color="auto" w:sz="4" w:space="0"/>
              <w:left w:val="nil"/>
              <w:bottom w:val="single" w:color="auto" w:sz="4" w:space="0"/>
              <w:right w:val="single" w:color="auto" w:sz="4" w:space="0"/>
            </w:tcBorders>
            <w:vAlign w:val="center"/>
          </w:tcPr>
          <w:p w14:paraId="56E31009">
            <w:pPr>
              <w:widowControl/>
              <w:spacing w:line="580" w:lineRule="exact"/>
              <w:jc w:val="center"/>
              <w:textAlignment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5kg/桶</w:t>
            </w:r>
          </w:p>
        </w:tc>
        <w:tc>
          <w:tcPr>
            <w:tcW w:w="786" w:type="dxa"/>
            <w:tcBorders>
              <w:top w:val="single" w:color="auto" w:sz="4" w:space="0"/>
              <w:left w:val="nil"/>
              <w:bottom w:val="single" w:color="auto" w:sz="4" w:space="0"/>
              <w:right w:val="single" w:color="auto" w:sz="4" w:space="0"/>
            </w:tcBorders>
            <w:vAlign w:val="center"/>
          </w:tcPr>
          <w:p w14:paraId="049C0789">
            <w:pPr>
              <w:widowControl/>
              <w:spacing w:line="580" w:lineRule="exact"/>
              <w:jc w:val="center"/>
              <w:textAlignment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kg</w:t>
            </w:r>
          </w:p>
        </w:tc>
        <w:tc>
          <w:tcPr>
            <w:tcW w:w="1043" w:type="dxa"/>
            <w:tcBorders>
              <w:top w:val="single" w:color="auto" w:sz="4" w:space="0"/>
              <w:left w:val="nil"/>
              <w:bottom w:val="single" w:color="auto" w:sz="4" w:space="0"/>
              <w:right w:val="single" w:color="auto" w:sz="4" w:space="0"/>
            </w:tcBorders>
            <w:vAlign w:val="center"/>
          </w:tcPr>
          <w:p w14:paraId="55CE278C">
            <w:pPr>
              <w:widowControl/>
              <w:spacing w:line="580" w:lineRule="exact"/>
              <w:jc w:val="center"/>
              <w:textAlignment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750</w:t>
            </w:r>
          </w:p>
        </w:tc>
      </w:tr>
      <w:tr w14:paraId="3E213D22">
        <w:tblPrEx>
          <w:tblCellMar>
            <w:top w:w="0" w:type="dxa"/>
            <w:left w:w="108" w:type="dxa"/>
            <w:bottom w:w="0" w:type="dxa"/>
            <w:right w:w="108" w:type="dxa"/>
          </w:tblCellMar>
        </w:tblPrEx>
        <w:trPr>
          <w:trHeight w:val="540" w:hRule="atLeast"/>
        </w:trPr>
        <w:tc>
          <w:tcPr>
            <w:tcW w:w="896" w:type="dxa"/>
            <w:tcBorders>
              <w:top w:val="single" w:color="auto" w:sz="4" w:space="0"/>
              <w:left w:val="single" w:color="auto" w:sz="4" w:space="0"/>
              <w:bottom w:val="single" w:color="auto" w:sz="4" w:space="0"/>
              <w:right w:val="single" w:color="auto" w:sz="4" w:space="0"/>
            </w:tcBorders>
            <w:noWrap/>
            <w:vAlign w:val="center"/>
          </w:tcPr>
          <w:p w14:paraId="7D22A883">
            <w:pPr>
              <w:widowControl/>
              <w:spacing w:line="580" w:lineRule="exact"/>
              <w:jc w:val="center"/>
              <w:textAlignment w:val="center"/>
              <w:rPr>
                <w:rFonts w:hint="eastAsia" w:ascii="仿宋" w:hAnsi="仿宋" w:eastAsia="仿宋" w:cs="仿宋"/>
                <w:color w:val="000000" w:themeColor="text1"/>
                <w:kern w:val="0"/>
                <w:sz w:val="28"/>
                <w:szCs w:val="28"/>
                <w:highlight w:val="none"/>
                <w:lang w:bidi="ar"/>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2</w:t>
            </w:r>
          </w:p>
        </w:tc>
        <w:tc>
          <w:tcPr>
            <w:tcW w:w="1336" w:type="dxa"/>
            <w:tcBorders>
              <w:top w:val="single" w:color="auto" w:sz="4" w:space="0"/>
              <w:left w:val="nil"/>
              <w:bottom w:val="single" w:color="auto" w:sz="4" w:space="0"/>
              <w:right w:val="single" w:color="auto" w:sz="4" w:space="0"/>
            </w:tcBorders>
            <w:noWrap/>
            <w:vAlign w:val="center"/>
          </w:tcPr>
          <w:p w14:paraId="35A7A0A7">
            <w:pPr>
              <w:widowControl/>
              <w:spacing w:line="580" w:lineRule="exact"/>
              <w:jc w:val="center"/>
              <w:textAlignment w:val="center"/>
              <w:rPr>
                <w:rFonts w:hint="eastAsia" w:ascii="仿宋" w:hAnsi="仿宋" w:eastAsia="仿宋" w:cs="仿宋"/>
                <w:color w:val="000000" w:themeColor="text1"/>
                <w:kern w:val="0"/>
                <w:sz w:val="28"/>
                <w:szCs w:val="28"/>
                <w:highlight w:val="none"/>
                <w:lang w:bidi="ar"/>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灭蚊蝇蟑</w:t>
            </w:r>
          </w:p>
        </w:tc>
        <w:tc>
          <w:tcPr>
            <w:tcW w:w="1207" w:type="dxa"/>
            <w:tcBorders>
              <w:top w:val="single" w:color="auto" w:sz="4" w:space="0"/>
              <w:left w:val="nil"/>
              <w:bottom w:val="single" w:color="auto" w:sz="4" w:space="0"/>
              <w:right w:val="single" w:color="auto" w:sz="4" w:space="0"/>
            </w:tcBorders>
            <w:vAlign w:val="center"/>
          </w:tcPr>
          <w:p w14:paraId="7ACAF244">
            <w:pPr>
              <w:widowControl/>
              <w:spacing w:line="580" w:lineRule="exact"/>
              <w:jc w:val="center"/>
              <w:textAlignment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乳油</w:t>
            </w:r>
          </w:p>
        </w:tc>
        <w:tc>
          <w:tcPr>
            <w:tcW w:w="2744" w:type="dxa"/>
            <w:tcBorders>
              <w:top w:val="single" w:color="auto" w:sz="4" w:space="0"/>
              <w:left w:val="nil"/>
              <w:bottom w:val="single" w:color="auto" w:sz="4" w:space="0"/>
              <w:right w:val="single" w:color="auto" w:sz="4" w:space="0"/>
            </w:tcBorders>
            <w:vAlign w:val="center"/>
          </w:tcPr>
          <w:p w14:paraId="56BD2578">
            <w:pPr>
              <w:widowControl/>
              <w:spacing w:line="580" w:lineRule="exact"/>
              <w:jc w:val="center"/>
              <w:textAlignment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10%顺式残杀威</w:t>
            </w:r>
          </w:p>
        </w:tc>
        <w:tc>
          <w:tcPr>
            <w:tcW w:w="1537" w:type="dxa"/>
            <w:tcBorders>
              <w:top w:val="single" w:color="auto" w:sz="4" w:space="0"/>
              <w:left w:val="nil"/>
              <w:bottom w:val="single" w:color="auto" w:sz="4" w:space="0"/>
              <w:right w:val="single" w:color="auto" w:sz="4" w:space="0"/>
            </w:tcBorders>
            <w:vAlign w:val="center"/>
          </w:tcPr>
          <w:p w14:paraId="315355B8">
            <w:pPr>
              <w:widowControl/>
              <w:spacing w:line="580" w:lineRule="exact"/>
              <w:jc w:val="center"/>
              <w:textAlignment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500ml/瓶</w:t>
            </w:r>
          </w:p>
        </w:tc>
        <w:tc>
          <w:tcPr>
            <w:tcW w:w="786" w:type="dxa"/>
            <w:tcBorders>
              <w:top w:val="single" w:color="auto" w:sz="4" w:space="0"/>
              <w:left w:val="nil"/>
              <w:bottom w:val="single" w:color="auto" w:sz="4" w:space="0"/>
              <w:right w:val="single" w:color="auto" w:sz="4" w:space="0"/>
            </w:tcBorders>
            <w:vAlign w:val="center"/>
          </w:tcPr>
          <w:p w14:paraId="650C479D">
            <w:pPr>
              <w:widowControl/>
              <w:spacing w:line="580" w:lineRule="exact"/>
              <w:jc w:val="center"/>
              <w:textAlignment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瓶</w:t>
            </w:r>
          </w:p>
        </w:tc>
        <w:tc>
          <w:tcPr>
            <w:tcW w:w="1043" w:type="dxa"/>
            <w:tcBorders>
              <w:top w:val="single" w:color="auto" w:sz="4" w:space="0"/>
              <w:left w:val="nil"/>
              <w:bottom w:val="single" w:color="auto" w:sz="4" w:space="0"/>
              <w:right w:val="single" w:color="auto" w:sz="4" w:space="0"/>
            </w:tcBorders>
            <w:vAlign w:val="center"/>
          </w:tcPr>
          <w:p w14:paraId="23242EB9">
            <w:pPr>
              <w:widowControl/>
              <w:spacing w:line="580" w:lineRule="exact"/>
              <w:jc w:val="center"/>
              <w:textAlignment w:val="center"/>
              <w:rPr>
                <w:rFonts w:hint="eastAsia" w:ascii="仿宋" w:hAnsi="仿宋" w:eastAsia="仿宋" w:cs="仿宋"/>
                <w:color w:val="000000" w:themeColor="text1"/>
                <w:kern w:val="0"/>
                <w:sz w:val="28"/>
                <w:szCs w:val="28"/>
                <w:highlight w:val="none"/>
                <w:lang w:bidi="ar"/>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2300</w:t>
            </w:r>
          </w:p>
        </w:tc>
      </w:tr>
      <w:tr w14:paraId="181279D7">
        <w:tblPrEx>
          <w:tblCellMar>
            <w:top w:w="0" w:type="dxa"/>
            <w:left w:w="108" w:type="dxa"/>
            <w:bottom w:w="0" w:type="dxa"/>
            <w:right w:w="108" w:type="dxa"/>
          </w:tblCellMar>
        </w:tblPrEx>
        <w:trPr>
          <w:trHeight w:val="540" w:hRule="atLeast"/>
        </w:trPr>
        <w:tc>
          <w:tcPr>
            <w:tcW w:w="896" w:type="dxa"/>
            <w:tcBorders>
              <w:top w:val="single" w:color="auto" w:sz="4" w:space="0"/>
              <w:left w:val="single" w:color="auto" w:sz="4" w:space="0"/>
              <w:bottom w:val="single" w:color="auto" w:sz="4" w:space="0"/>
              <w:right w:val="single" w:color="auto" w:sz="4" w:space="0"/>
            </w:tcBorders>
            <w:noWrap/>
            <w:vAlign w:val="center"/>
          </w:tcPr>
          <w:p w14:paraId="3CDF313B">
            <w:pPr>
              <w:widowControl/>
              <w:spacing w:line="580" w:lineRule="exact"/>
              <w:jc w:val="center"/>
              <w:textAlignment w:val="center"/>
              <w:rPr>
                <w:rFonts w:hint="eastAsia" w:ascii="仿宋" w:hAnsi="仿宋" w:eastAsia="仿宋" w:cs="仿宋"/>
                <w:color w:val="000000" w:themeColor="text1"/>
                <w:kern w:val="0"/>
                <w:sz w:val="28"/>
                <w:szCs w:val="28"/>
                <w:highlight w:val="none"/>
                <w:lang w:bidi="ar"/>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3</w:t>
            </w:r>
          </w:p>
        </w:tc>
        <w:tc>
          <w:tcPr>
            <w:tcW w:w="1336" w:type="dxa"/>
            <w:tcBorders>
              <w:top w:val="single" w:color="auto" w:sz="4" w:space="0"/>
              <w:left w:val="nil"/>
              <w:bottom w:val="single" w:color="auto" w:sz="4" w:space="0"/>
              <w:right w:val="single" w:color="auto" w:sz="4" w:space="0"/>
            </w:tcBorders>
            <w:noWrap/>
            <w:vAlign w:val="center"/>
          </w:tcPr>
          <w:p w14:paraId="59707CB3">
            <w:pPr>
              <w:widowControl/>
              <w:spacing w:line="580" w:lineRule="exact"/>
              <w:jc w:val="center"/>
              <w:textAlignment w:val="cente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灭蚊蚴</w:t>
            </w:r>
          </w:p>
        </w:tc>
        <w:tc>
          <w:tcPr>
            <w:tcW w:w="1207" w:type="dxa"/>
            <w:tcBorders>
              <w:top w:val="single" w:color="auto" w:sz="4" w:space="0"/>
              <w:left w:val="nil"/>
              <w:bottom w:val="single" w:color="auto" w:sz="4" w:space="0"/>
              <w:right w:val="single" w:color="auto" w:sz="4" w:space="0"/>
            </w:tcBorders>
            <w:vAlign w:val="center"/>
          </w:tcPr>
          <w:p w14:paraId="4B6CB7D1">
            <w:pPr>
              <w:widowControl/>
              <w:spacing w:line="580" w:lineRule="exact"/>
              <w:jc w:val="center"/>
              <w:textAlignment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液体</w:t>
            </w:r>
          </w:p>
        </w:tc>
        <w:tc>
          <w:tcPr>
            <w:tcW w:w="2744" w:type="dxa"/>
            <w:tcBorders>
              <w:top w:val="single" w:color="auto" w:sz="4" w:space="0"/>
              <w:left w:val="nil"/>
              <w:bottom w:val="single" w:color="auto" w:sz="4" w:space="0"/>
              <w:right w:val="single" w:color="auto" w:sz="4" w:space="0"/>
            </w:tcBorders>
            <w:vAlign w:val="center"/>
          </w:tcPr>
          <w:p w14:paraId="24D4B022">
            <w:pPr>
              <w:widowControl/>
              <w:spacing w:line="580" w:lineRule="exact"/>
              <w:jc w:val="center"/>
              <w:textAlignment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球形芽孢杆菌</w:t>
            </w:r>
          </w:p>
        </w:tc>
        <w:tc>
          <w:tcPr>
            <w:tcW w:w="1537" w:type="dxa"/>
            <w:tcBorders>
              <w:top w:val="single" w:color="auto" w:sz="4" w:space="0"/>
              <w:left w:val="nil"/>
              <w:bottom w:val="single" w:color="auto" w:sz="4" w:space="0"/>
              <w:right w:val="single" w:color="auto" w:sz="4" w:space="0"/>
            </w:tcBorders>
            <w:vAlign w:val="center"/>
          </w:tcPr>
          <w:p w14:paraId="0E75CEB6">
            <w:pPr>
              <w:widowControl/>
              <w:spacing w:line="580" w:lineRule="exact"/>
              <w:jc w:val="center"/>
              <w:textAlignment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5kg/桶</w:t>
            </w:r>
          </w:p>
        </w:tc>
        <w:tc>
          <w:tcPr>
            <w:tcW w:w="786" w:type="dxa"/>
            <w:tcBorders>
              <w:top w:val="single" w:color="auto" w:sz="4" w:space="0"/>
              <w:left w:val="nil"/>
              <w:bottom w:val="single" w:color="auto" w:sz="4" w:space="0"/>
              <w:right w:val="single" w:color="auto" w:sz="4" w:space="0"/>
            </w:tcBorders>
            <w:vAlign w:val="center"/>
          </w:tcPr>
          <w:p w14:paraId="5887E519">
            <w:pPr>
              <w:widowControl/>
              <w:spacing w:line="580" w:lineRule="exact"/>
              <w:jc w:val="center"/>
              <w:textAlignment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kg</w:t>
            </w:r>
          </w:p>
        </w:tc>
        <w:tc>
          <w:tcPr>
            <w:tcW w:w="1043" w:type="dxa"/>
            <w:tcBorders>
              <w:top w:val="single" w:color="auto" w:sz="4" w:space="0"/>
              <w:left w:val="nil"/>
              <w:bottom w:val="single" w:color="auto" w:sz="4" w:space="0"/>
              <w:right w:val="single" w:color="auto" w:sz="4" w:space="0"/>
            </w:tcBorders>
            <w:vAlign w:val="center"/>
          </w:tcPr>
          <w:p w14:paraId="706CC6C5">
            <w:pPr>
              <w:widowControl/>
              <w:spacing w:line="580" w:lineRule="exact"/>
              <w:jc w:val="center"/>
              <w:textAlignment w:val="center"/>
              <w:rPr>
                <w:rFonts w:hint="eastAsia" w:ascii="仿宋" w:hAnsi="仿宋" w:eastAsia="仿宋" w:cs="仿宋"/>
                <w:color w:val="000000" w:themeColor="text1"/>
                <w:kern w:val="0"/>
                <w:sz w:val="28"/>
                <w:szCs w:val="28"/>
                <w:highlight w:val="none"/>
                <w:lang w:bidi="ar"/>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750</w:t>
            </w:r>
          </w:p>
        </w:tc>
      </w:tr>
      <w:tr w14:paraId="4AC25511">
        <w:tblPrEx>
          <w:tblCellMar>
            <w:top w:w="0" w:type="dxa"/>
            <w:left w:w="108" w:type="dxa"/>
            <w:bottom w:w="0" w:type="dxa"/>
            <w:right w:w="108" w:type="dxa"/>
          </w:tblCellMar>
        </w:tblPrEx>
        <w:trPr>
          <w:trHeight w:val="540" w:hRule="atLeast"/>
        </w:trPr>
        <w:tc>
          <w:tcPr>
            <w:tcW w:w="896" w:type="dxa"/>
            <w:tcBorders>
              <w:top w:val="nil"/>
              <w:left w:val="single" w:color="auto" w:sz="4" w:space="0"/>
              <w:bottom w:val="single" w:color="auto" w:sz="4" w:space="0"/>
              <w:right w:val="single" w:color="auto" w:sz="4" w:space="0"/>
            </w:tcBorders>
            <w:noWrap/>
            <w:vAlign w:val="center"/>
          </w:tcPr>
          <w:p w14:paraId="755F1165">
            <w:pPr>
              <w:widowControl/>
              <w:spacing w:line="580" w:lineRule="exact"/>
              <w:jc w:val="center"/>
              <w:textAlignment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4</w:t>
            </w:r>
          </w:p>
        </w:tc>
        <w:tc>
          <w:tcPr>
            <w:tcW w:w="1336" w:type="dxa"/>
            <w:tcBorders>
              <w:top w:val="nil"/>
              <w:left w:val="nil"/>
              <w:bottom w:val="single" w:color="auto" w:sz="4" w:space="0"/>
              <w:right w:val="single" w:color="auto" w:sz="4" w:space="0"/>
            </w:tcBorders>
            <w:noWrap/>
            <w:vAlign w:val="center"/>
          </w:tcPr>
          <w:p w14:paraId="615B76AF">
            <w:pPr>
              <w:widowControl/>
              <w:spacing w:line="580" w:lineRule="exact"/>
              <w:jc w:val="center"/>
              <w:textAlignment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灭  蟑</w:t>
            </w:r>
          </w:p>
        </w:tc>
        <w:tc>
          <w:tcPr>
            <w:tcW w:w="1207" w:type="dxa"/>
            <w:tcBorders>
              <w:top w:val="nil"/>
              <w:left w:val="nil"/>
              <w:bottom w:val="single" w:color="auto" w:sz="4" w:space="0"/>
              <w:right w:val="single" w:color="auto" w:sz="4" w:space="0"/>
            </w:tcBorders>
            <w:vAlign w:val="center"/>
          </w:tcPr>
          <w:p w14:paraId="1B2429B2">
            <w:pPr>
              <w:widowControl/>
              <w:spacing w:line="580" w:lineRule="exact"/>
              <w:jc w:val="center"/>
              <w:textAlignment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粉剂</w:t>
            </w:r>
          </w:p>
        </w:tc>
        <w:tc>
          <w:tcPr>
            <w:tcW w:w="2744" w:type="dxa"/>
            <w:tcBorders>
              <w:top w:val="nil"/>
              <w:left w:val="nil"/>
              <w:bottom w:val="single" w:color="auto" w:sz="4" w:space="0"/>
              <w:right w:val="single" w:color="auto" w:sz="4" w:space="0"/>
            </w:tcBorders>
            <w:vAlign w:val="center"/>
          </w:tcPr>
          <w:p w14:paraId="3EE4E42B">
            <w:pPr>
              <w:widowControl/>
              <w:spacing w:line="580" w:lineRule="exact"/>
              <w:jc w:val="center"/>
              <w:textAlignment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0.6%高效氯氰菊酯</w:t>
            </w:r>
          </w:p>
        </w:tc>
        <w:tc>
          <w:tcPr>
            <w:tcW w:w="1537" w:type="dxa"/>
            <w:tcBorders>
              <w:top w:val="nil"/>
              <w:left w:val="nil"/>
              <w:bottom w:val="single" w:color="auto" w:sz="4" w:space="0"/>
              <w:right w:val="single" w:color="auto" w:sz="4" w:space="0"/>
            </w:tcBorders>
            <w:vAlign w:val="center"/>
          </w:tcPr>
          <w:p w14:paraId="0C0CFCC9">
            <w:pPr>
              <w:widowControl/>
              <w:spacing w:line="580" w:lineRule="exact"/>
              <w:jc w:val="center"/>
              <w:textAlignment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60克/瓶</w:t>
            </w:r>
          </w:p>
        </w:tc>
        <w:tc>
          <w:tcPr>
            <w:tcW w:w="786" w:type="dxa"/>
            <w:tcBorders>
              <w:top w:val="nil"/>
              <w:left w:val="nil"/>
              <w:bottom w:val="single" w:color="auto" w:sz="4" w:space="0"/>
              <w:right w:val="single" w:color="auto" w:sz="4" w:space="0"/>
            </w:tcBorders>
            <w:vAlign w:val="center"/>
          </w:tcPr>
          <w:p w14:paraId="5D852BB4">
            <w:pPr>
              <w:widowControl/>
              <w:spacing w:line="580" w:lineRule="exact"/>
              <w:jc w:val="center"/>
              <w:textAlignment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瓶</w:t>
            </w:r>
          </w:p>
        </w:tc>
        <w:tc>
          <w:tcPr>
            <w:tcW w:w="1043" w:type="dxa"/>
            <w:tcBorders>
              <w:top w:val="nil"/>
              <w:left w:val="nil"/>
              <w:bottom w:val="single" w:color="auto" w:sz="4" w:space="0"/>
              <w:right w:val="single" w:color="auto" w:sz="4" w:space="0"/>
            </w:tcBorders>
            <w:vAlign w:val="center"/>
          </w:tcPr>
          <w:p w14:paraId="552961B2">
            <w:pPr>
              <w:widowControl/>
              <w:spacing w:line="580" w:lineRule="exact"/>
              <w:jc w:val="center"/>
              <w:textAlignment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3000</w:t>
            </w:r>
          </w:p>
        </w:tc>
      </w:tr>
      <w:bookmarkEnd w:id="2"/>
      <w:bookmarkEnd w:id="3"/>
    </w:tbl>
    <w:p w14:paraId="0F6B2725">
      <w:pPr>
        <w:rPr>
          <w:rFonts w:hint="eastAsia"/>
        </w:rPr>
      </w:pPr>
    </w:p>
    <w:p w14:paraId="62631939">
      <w:pPr>
        <w:jc w:val="center"/>
        <w:rPr>
          <w:rFonts w:hint="eastAsia" w:ascii="华文中宋" w:hAnsi="华文中宋"/>
          <w:b/>
          <w:bCs/>
          <w:kern w:val="44"/>
          <w:sz w:val="44"/>
          <w:szCs w:val="44"/>
        </w:rPr>
        <w:sectPr>
          <w:pgSz w:w="11906" w:h="16838"/>
          <w:pgMar w:top="1418" w:right="1588" w:bottom="1418" w:left="1365" w:header="851" w:footer="907" w:gutter="0"/>
          <w:cols w:space="720" w:num="1"/>
          <w:titlePg/>
          <w:docGrid w:type="lines" w:linePitch="290" w:charSpace="0"/>
        </w:sectPr>
      </w:pPr>
    </w:p>
    <w:p w14:paraId="13F7B35E">
      <w:pPr>
        <w:jc w:val="center"/>
        <w:rPr>
          <w:rFonts w:hint="eastAsia" w:ascii="华文中宋" w:hAnsi="华文中宋"/>
          <w:b/>
          <w:bCs/>
          <w:kern w:val="44"/>
          <w:sz w:val="44"/>
          <w:szCs w:val="44"/>
        </w:rPr>
      </w:pPr>
      <w:r>
        <w:rPr>
          <w:rFonts w:hint="eastAsia" w:ascii="华文中宋" w:hAnsi="华文中宋"/>
          <w:b/>
          <w:bCs/>
          <w:kern w:val="44"/>
          <w:sz w:val="44"/>
          <w:szCs w:val="44"/>
        </w:rPr>
        <w:t>第四部分 评标办法</w:t>
      </w:r>
    </w:p>
    <w:p w14:paraId="626EB665">
      <w:pPr>
        <w:snapToGrid w:val="0"/>
        <w:spacing w:line="580" w:lineRule="exact"/>
        <w:ind w:firstLine="555"/>
        <w:contextualSpacing/>
        <w:rPr>
          <w:rFonts w:hint="eastAsia" w:ascii="仿宋" w:hAnsi="仿宋" w:eastAsia="仿宋" w:cs="仿宋"/>
          <w:b/>
          <w:bCs/>
          <w:sz w:val="28"/>
          <w:szCs w:val="28"/>
        </w:rPr>
      </w:pPr>
      <w:bookmarkStart w:id="4" w:name="OLE_LINK1"/>
      <w:bookmarkStart w:id="5" w:name="OLE_LINK2"/>
      <w:r>
        <w:rPr>
          <w:rFonts w:hint="eastAsia" w:ascii="仿宋" w:hAnsi="仿宋" w:eastAsia="仿宋" w:cs="仿宋"/>
          <w:b/>
          <w:bCs/>
          <w:sz w:val="28"/>
          <w:szCs w:val="28"/>
        </w:rPr>
        <w:t>一、采购单位组织开标</w:t>
      </w:r>
    </w:p>
    <w:p w14:paraId="0D537D1F">
      <w:pPr>
        <w:spacing w:line="580" w:lineRule="exact"/>
        <w:ind w:firstLine="560" w:firstLineChars="200"/>
        <w:contextualSpacing/>
        <w:rPr>
          <w:rFonts w:hint="eastAsia" w:ascii="仿宋" w:hAnsi="仿宋" w:eastAsia="仿宋" w:cs="仿宋"/>
          <w:sz w:val="28"/>
          <w:szCs w:val="28"/>
        </w:rPr>
      </w:pPr>
      <w:bookmarkStart w:id="6" w:name="OLE_LINK13"/>
      <w:r>
        <w:rPr>
          <w:rFonts w:hint="eastAsia" w:ascii="仿宋" w:hAnsi="仿宋" w:eastAsia="仿宋" w:cs="仿宋"/>
          <w:sz w:val="28"/>
          <w:szCs w:val="28"/>
        </w:rPr>
        <w:t>采购单位相关人员</w:t>
      </w:r>
      <w:bookmarkEnd w:id="6"/>
      <w:r>
        <w:rPr>
          <w:rFonts w:hint="eastAsia" w:ascii="仿宋" w:hAnsi="仿宋" w:eastAsia="仿宋" w:cs="仿宋"/>
          <w:sz w:val="28"/>
          <w:szCs w:val="28"/>
        </w:rPr>
        <w:t>参与项目开标、评标工作。</w:t>
      </w:r>
    </w:p>
    <w:p w14:paraId="58E70C1D">
      <w:pPr>
        <w:snapToGrid w:val="0"/>
        <w:spacing w:line="580" w:lineRule="exact"/>
        <w:ind w:firstLine="555"/>
        <w:contextualSpacing/>
        <w:rPr>
          <w:rFonts w:hint="eastAsia" w:ascii="仿宋" w:hAnsi="仿宋" w:eastAsia="仿宋" w:cs="仿宋"/>
          <w:b/>
          <w:bCs/>
          <w:sz w:val="28"/>
          <w:szCs w:val="28"/>
        </w:rPr>
      </w:pPr>
      <w:r>
        <w:rPr>
          <w:rFonts w:hint="eastAsia" w:ascii="仿宋" w:hAnsi="仿宋" w:eastAsia="仿宋" w:cs="仿宋"/>
          <w:b/>
          <w:bCs/>
          <w:sz w:val="28"/>
          <w:szCs w:val="28"/>
        </w:rPr>
        <w:t>二、评委会的组成</w:t>
      </w:r>
    </w:p>
    <w:p w14:paraId="2BF2C83E">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评委会由采购单位相关人员共3人以上单数组成，对公开招标采购文件进行审查、质疑、评估、比较，按照公平、公正、择优的原则进行评标。</w:t>
      </w:r>
    </w:p>
    <w:p w14:paraId="658AD49D">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（一）评审内容</w:t>
      </w:r>
    </w:p>
    <w:p w14:paraId="42EF81FD">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1、供应商投标资格；</w:t>
      </w:r>
    </w:p>
    <w:p w14:paraId="71314190">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2、公开招标采购文件是否完整；</w:t>
      </w:r>
    </w:p>
    <w:p w14:paraId="5069F66B">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3、公开招标采购文件是否恰当地签署；</w:t>
      </w:r>
    </w:p>
    <w:p w14:paraId="052CFA13">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4、是否作出实质性响应（是否有实质性响应，只根据公开招标采购文件本身，而不寻求外部证据）；</w:t>
      </w:r>
    </w:p>
    <w:p w14:paraId="514F92ED">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5、是否有计算错误。</w:t>
      </w:r>
    </w:p>
    <w:p w14:paraId="63FEC915">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（二）相应的规定</w:t>
      </w:r>
    </w:p>
    <w:p w14:paraId="367245EE">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1、如果单价汇总金额与总价金额有出入，以单价金额计算结果为准；</w:t>
      </w:r>
    </w:p>
    <w:p w14:paraId="768CEBF9">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2、单价金额小数点有明显错位的，应以总价为准；</w:t>
      </w:r>
    </w:p>
    <w:p w14:paraId="6CBB2CA5">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3、正本与副本有矛盾的，以正本为准；</w:t>
      </w:r>
    </w:p>
    <w:p w14:paraId="271DEEDC">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0E03EB9A">
      <w:pPr>
        <w:snapToGrid w:val="0"/>
        <w:spacing w:line="580" w:lineRule="exact"/>
        <w:ind w:firstLine="555"/>
        <w:contextualSpacing/>
        <w:rPr>
          <w:rFonts w:hint="eastAsia" w:ascii="仿宋" w:hAnsi="仿宋" w:eastAsia="仿宋" w:cs="仿宋"/>
          <w:b/>
          <w:bCs/>
          <w:sz w:val="28"/>
          <w:szCs w:val="28"/>
        </w:rPr>
      </w:pPr>
      <w:r>
        <w:rPr>
          <w:rFonts w:hint="eastAsia" w:ascii="仿宋" w:hAnsi="仿宋" w:eastAsia="仿宋" w:cs="仿宋"/>
          <w:b/>
          <w:bCs/>
          <w:sz w:val="28"/>
          <w:szCs w:val="28"/>
        </w:rPr>
        <w:t>三、陈述、演示、答疑、澄清</w:t>
      </w:r>
    </w:p>
    <w:p w14:paraId="513F266B">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如评委会认为有必要，供应商按评委会的要求作陈述、演示、答疑及澄清其投标内容。时间由评委会掌握。</w:t>
      </w:r>
    </w:p>
    <w:p w14:paraId="5243ACBF">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重要澄清答复应是书面的，但不得对公开招标采购文件内容进行实质性修改。</w:t>
      </w:r>
    </w:p>
    <w:p w14:paraId="07C334E6">
      <w:pPr>
        <w:snapToGrid w:val="0"/>
        <w:spacing w:line="580" w:lineRule="exact"/>
        <w:ind w:firstLine="555"/>
        <w:contextualSpacing/>
        <w:rPr>
          <w:rFonts w:hint="eastAsia" w:ascii="仿宋" w:hAnsi="仿宋" w:eastAsia="仿宋" w:cs="仿宋"/>
          <w:b/>
          <w:bCs/>
          <w:sz w:val="28"/>
          <w:szCs w:val="28"/>
        </w:rPr>
      </w:pPr>
      <w:r>
        <w:rPr>
          <w:rFonts w:hint="eastAsia" w:ascii="仿宋" w:hAnsi="仿宋" w:eastAsia="仿宋" w:cs="仿宋"/>
          <w:b/>
          <w:bCs/>
          <w:sz w:val="28"/>
          <w:szCs w:val="28"/>
        </w:rPr>
        <w:t>四、出现下列情形之一的，作无效投标处理</w:t>
      </w:r>
    </w:p>
    <w:p w14:paraId="3D200064">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1、未按照公开招标采购文件规定要求装订、标记、密封、签署、盖章的；</w:t>
      </w:r>
    </w:p>
    <w:p w14:paraId="74606500">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2、不具备公开招标采购文件中规定的技术规格参数要求的；</w:t>
      </w:r>
    </w:p>
    <w:p w14:paraId="4B19D3F2">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3、不符合法律、法规和公开招标采购文件中规定的其他实质性要求的。</w:t>
      </w:r>
    </w:p>
    <w:p w14:paraId="4096E3AA">
      <w:pPr>
        <w:snapToGrid w:val="0"/>
        <w:spacing w:line="580" w:lineRule="exact"/>
        <w:ind w:firstLine="555"/>
        <w:contextualSpacing/>
        <w:rPr>
          <w:rFonts w:hint="eastAsia" w:ascii="仿宋" w:hAnsi="仿宋" w:eastAsia="仿宋" w:cs="仿宋"/>
          <w:b/>
          <w:bCs/>
          <w:sz w:val="28"/>
          <w:szCs w:val="28"/>
        </w:rPr>
      </w:pPr>
      <w:r>
        <w:rPr>
          <w:rFonts w:hint="eastAsia" w:ascii="仿宋" w:hAnsi="仿宋" w:eastAsia="仿宋" w:cs="仿宋"/>
          <w:b/>
          <w:bCs/>
          <w:sz w:val="28"/>
          <w:szCs w:val="28"/>
        </w:rPr>
        <w:t>五、出现下列情形之一的，作废标处理</w:t>
      </w:r>
    </w:p>
    <w:p w14:paraId="545717F7">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1、符合专业条件的供应商或者对公开招标采购文件作实质响应的供应商不足3家的；</w:t>
      </w:r>
    </w:p>
    <w:p w14:paraId="5E4CD7D5">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2、出现影响采购公正的违法违规行为的；</w:t>
      </w:r>
    </w:p>
    <w:p w14:paraId="0164D662">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3、供应商的报价均超过了采购预算，采购人不能支付的；</w:t>
      </w:r>
    </w:p>
    <w:p w14:paraId="4CF6CC3F">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4、因重大变故，采购任务取消的。</w:t>
      </w:r>
    </w:p>
    <w:p w14:paraId="1C59344A">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上述均保留评委会认定可以确定为无效投标或废标的其他情况。</w:t>
      </w:r>
    </w:p>
    <w:p w14:paraId="2A89DDFD">
      <w:pPr>
        <w:snapToGrid w:val="0"/>
        <w:spacing w:line="580" w:lineRule="exact"/>
        <w:ind w:firstLine="555"/>
        <w:contextualSpacing/>
        <w:rPr>
          <w:rFonts w:hint="eastAsia" w:ascii="仿宋" w:hAnsi="仿宋" w:eastAsia="仿宋" w:cs="仿宋"/>
          <w:b/>
          <w:bCs/>
          <w:sz w:val="28"/>
          <w:szCs w:val="28"/>
        </w:rPr>
      </w:pPr>
      <w:r>
        <w:rPr>
          <w:rFonts w:hint="eastAsia" w:ascii="仿宋" w:hAnsi="仿宋" w:eastAsia="仿宋" w:cs="仿宋"/>
          <w:b/>
          <w:bCs/>
          <w:sz w:val="28"/>
          <w:szCs w:val="28"/>
        </w:rPr>
        <w:t>六、变更为其他方式采购的情形</w:t>
      </w:r>
    </w:p>
    <w:p w14:paraId="6F297CC2">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投标截止时间出现如下情形的——参加投标的供应商不足3家的，及评标中出现符合专业条件的供应商或对公开采购文件作实质响应的供应商不足3家的，采购人有权视情采取其他方式采购。本次公开招标采购文件中对供应商资格、技术等要求，将作为其他方式采购的基本要求和依据。原已经参加公开招标采购并符合要求的供应商，根据自愿原则，是（否）____同意自动转为参加其他方式采购。</w:t>
      </w:r>
    </w:p>
    <w:p w14:paraId="00D7A880">
      <w:pPr>
        <w:snapToGrid w:val="0"/>
        <w:spacing w:line="580" w:lineRule="exact"/>
        <w:ind w:firstLine="555"/>
        <w:contextualSpacing/>
        <w:rPr>
          <w:rFonts w:hint="eastAsia" w:ascii="仿宋" w:hAnsi="仿宋" w:eastAsia="仿宋" w:cs="仿宋"/>
          <w:b/>
          <w:bCs/>
          <w:sz w:val="28"/>
          <w:szCs w:val="28"/>
        </w:rPr>
      </w:pPr>
      <w:r>
        <w:rPr>
          <w:rFonts w:hint="eastAsia" w:ascii="仿宋" w:hAnsi="仿宋" w:eastAsia="仿宋" w:cs="仿宋"/>
          <w:b/>
          <w:bCs/>
          <w:sz w:val="28"/>
          <w:szCs w:val="28"/>
        </w:rPr>
        <w:t>七、评审标准</w:t>
      </w:r>
    </w:p>
    <w:p w14:paraId="44E1EFB5">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本次招标的评标方法采用</w:t>
      </w:r>
      <w:r>
        <w:rPr>
          <w:rFonts w:hint="eastAsia" w:ascii="仿宋" w:hAnsi="仿宋" w:eastAsia="仿宋" w:cs="仿宋"/>
          <w:b/>
          <w:sz w:val="28"/>
          <w:szCs w:val="28"/>
          <w:u w:val="single"/>
        </w:rPr>
        <w:t>最低评标价法</w:t>
      </w:r>
      <w:r>
        <w:rPr>
          <w:rFonts w:hint="eastAsia" w:ascii="仿宋" w:hAnsi="仿宋" w:eastAsia="仿宋" w:cs="仿宋"/>
          <w:sz w:val="28"/>
          <w:szCs w:val="28"/>
        </w:rPr>
        <w:t>。即在满足公开招标采购文件资格性审查的要求前提下，按照供应商的响应报价，</w:t>
      </w:r>
      <w:bookmarkStart w:id="7" w:name="OLE_LINK3"/>
      <w:r>
        <w:rPr>
          <w:rFonts w:hint="eastAsia" w:ascii="仿宋" w:hAnsi="仿宋" w:eastAsia="仿宋" w:cs="仿宋"/>
          <w:b/>
          <w:bCs/>
          <w:sz w:val="28"/>
          <w:szCs w:val="28"/>
        </w:rPr>
        <w:t>以单品种报价最低的供应商作</w:t>
      </w:r>
      <w:bookmarkEnd w:id="7"/>
      <w:r>
        <w:rPr>
          <w:rFonts w:hint="eastAsia" w:ascii="仿宋" w:hAnsi="仿宋" w:eastAsia="仿宋" w:cs="仿宋"/>
          <w:b/>
          <w:bCs/>
          <w:sz w:val="28"/>
          <w:szCs w:val="28"/>
        </w:rPr>
        <w:t>为中标供应商的评标办法</w:t>
      </w:r>
      <w:r>
        <w:rPr>
          <w:rFonts w:hint="eastAsia" w:ascii="仿宋" w:hAnsi="仿宋" w:eastAsia="仿宋" w:cs="仿宋"/>
          <w:sz w:val="28"/>
          <w:szCs w:val="28"/>
        </w:rPr>
        <w:t>。</w:t>
      </w:r>
      <w:r>
        <w:rPr>
          <w:rFonts w:hint="eastAsia" w:ascii="仿宋" w:hAnsi="仿宋" w:eastAsia="仿宋" w:cs="仿宋"/>
          <w:b/>
          <w:bCs/>
          <w:sz w:val="28"/>
          <w:szCs w:val="28"/>
        </w:rPr>
        <w:t>若</w:t>
      </w:r>
      <w:r>
        <w:rPr>
          <w:rFonts w:hint="eastAsia" w:ascii="仿宋" w:hAnsi="仿宋" w:eastAsia="仿宋" w:cs="仿宋"/>
          <w:sz w:val="28"/>
          <w:szCs w:val="28"/>
        </w:rPr>
        <w:t>公开招标采购</w:t>
      </w:r>
      <w:r>
        <w:rPr>
          <w:rFonts w:hint="eastAsia" w:ascii="仿宋" w:hAnsi="仿宋" w:eastAsia="仿宋" w:cs="仿宋"/>
          <w:b/>
          <w:bCs/>
          <w:sz w:val="28"/>
          <w:szCs w:val="28"/>
        </w:rPr>
        <w:t>过程中出现响应供应商报价相同的情况，</w:t>
      </w:r>
      <w:r>
        <w:rPr>
          <w:rFonts w:hint="eastAsia" w:ascii="仿宋" w:hAnsi="仿宋" w:eastAsia="仿宋" w:cs="仿宋"/>
          <w:b/>
          <w:bCs/>
          <w:sz w:val="28"/>
          <w:szCs w:val="28"/>
          <w:highlight w:val="none"/>
        </w:rPr>
        <w:t>则由</w:t>
      </w:r>
      <w:r>
        <w:rPr>
          <w:rFonts w:hint="eastAsia" w:ascii="仿宋" w:hAnsi="仿宋" w:eastAsia="仿宋" w:cs="仿宋"/>
          <w:b/>
          <w:bCs/>
          <w:sz w:val="28"/>
          <w:szCs w:val="28"/>
          <w:highlight w:val="none"/>
          <w:lang w:eastAsia="zh-CN"/>
        </w:rPr>
        <w:t>采购人</w:t>
      </w:r>
      <w:r>
        <w:rPr>
          <w:rFonts w:hint="eastAsia" w:ascii="仿宋" w:hAnsi="仿宋" w:eastAsia="仿宋" w:cs="仿宋"/>
          <w:b/>
          <w:bCs/>
          <w:sz w:val="28"/>
          <w:szCs w:val="28"/>
          <w:highlight w:val="none"/>
        </w:rPr>
        <w:t>现场抽签确定中标单位。</w:t>
      </w:r>
      <w:r>
        <w:rPr>
          <w:rFonts w:hint="eastAsia" w:ascii="仿宋" w:hAnsi="仿宋" w:eastAsia="仿宋" w:cs="仿宋"/>
          <w:sz w:val="28"/>
          <w:szCs w:val="28"/>
        </w:rPr>
        <w:t>采购人确定成交供应商后，将在“通州区人民政府网”发布成交结果公告，公告期限为1个工作日。</w:t>
      </w:r>
    </w:p>
    <w:p w14:paraId="6C149566">
      <w:pPr>
        <w:spacing w:line="480" w:lineRule="exact"/>
        <w:ind w:firstLine="562" w:firstLineChars="200"/>
        <w:rPr>
          <w:rFonts w:hint="eastAsia" w:ascii="仿宋" w:hAnsi="仿宋" w:eastAsia="仿宋" w:cs="宋体"/>
          <w:b/>
          <w:bCs/>
          <w:sz w:val="28"/>
          <w:szCs w:val="28"/>
        </w:rPr>
      </w:pPr>
      <w:r>
        <w:rPr>
          <w:rFonts w:hint="eastAsia" w:ascii="仿宋" w:hAnsi="仿宋" w:eastAsia="仿宋" w:cs="宋体"/>
          <w:b/>
          <w:bCs/>
          <w:sz w:val="28"/>
          <w:szCs w:val="28"/>
        </w:rPr>
        <w:t>注：评审过程中出现下列情形之一的，评标委员会应当启动异常低价投标(响应)审查程序：</w:t>
      </w:r>
    </w:p>
    <w:p w14:paraId="6CB46DA0">
      <w:pPr>
        <w:spacing w:line="500" w:lineRule="exact"/>
        <w:ind w:firstLine="562" w:firstLineChars="200"/>
        <w:rPr>
          <w:rFonts w:hint="eastAsia" w:ascii="仿宋" w:hAnsi="仿宋" w:eastAsia="仿宋" w:cs="宋体"/>
          <w:b/>
          <w:bCs/>
          <w:sz w:val="28"/>
          <w:szCs w:val="28"/>
        </w:rPr>
      </w:pPr>
      <w:r>
        <w:rPr>
          <w:rFonts w:hint="eastAsia" w:ascii="仿宋" w:hAnsi="仿宋" w:eastAsia="仿宋" w:cs="宋体"/>
          <w:b/>
          <w:bCs/>
          <w:sz w:val="28"/>
          <w:szCs w:val="28"/>
        </w:rPr>
        <w:t>①投标(响应)报价低于全部通过符合性审查供应商投标(响应)报价平均值50%的，即投标(响应)报价&lt;全部通过符合性审查供应商投标(响应)报价平均值×50%;</w:t>
      </w:r>
    </w:p>
    <w:p w14:paraId="60DE91D4">
      <w:pPr>
        <w:spacing w:line="500" w:lineRule="exact"/>
        <w:ind w:firstLine="562" w:firstLineChars="200"/>
        <w:rPr>
          <w:rFonts w:hint="eastAsia" w:ascii="仿宋" w:hAnsi="仿宋" w:eastAsia="仿宋" w:cs="宋体"/>
          <w:b/>
          <w:bCs/>
          <w:sz w:val="28"/>
          <w:szCs w:val="28"/>
        </w:rPr>
      </w:pPr>
      <w:r>
        <w:rPr>
          <w:rFonts w:hint="eastAsia" w:ascii="仿宋" w:hAnsi="仿宋" w:eastAsia="仿宋" w:cs="宋体"/>
          <w:b/>
          <w:bCs/>
          <w:sz w:val="28"/>
          <w:szCs w:val="28"/>
        </w:rPr>
        <w:t>②投标(响应)报价低于通过符合性审查的次低报价供应商投标(响应)报价50%的，即投标(响应)报价&lt;通过符合性审查的次低报价供应商投标(响应)报价×50%;</w:t>
      </w:r>
    </w:p>
    <w:p w14:paraId="558D51D9">
      <w:pPr>
        <w:spacing w:line="500" w:lineRule="exact"/>
        <w:ind w:firstLine="562" w:firstLineChars="200"/>
        <w:rPr>
          <w:rFonts w:hint="eastAsia" w:ascii="仿宋" w:hAnsi="仿宋" w:eastAsia="仿宋" w:cs="宋体"/>
          <w:b/>
          <w:bCs/>
          <w:sz w:val="28"/>
          <w:szCs w:val="28"/>
        </w:rPr>
      </w:pPr>
      <w:r>
        <w:rPr>
          <w:rFonts w:hint="eastAsia" w:ascii="仿宋" w:hAnsi="仿宋" w:eastAsia="仿宋" w:cs="宋体"/>
          <w:b/>
          <w:bCs/>
          <w:sz w:val="28"/>
          <w:szCs w:val="28"/>
        </w:rPr>
        <w:t>③投标(响应)报价低于采购项目最高限价45%的，即投标(响应)报价&lt;采购项目最高限价×45%;</w:t>
      </w:r>
    </w:p>
    <w:p w14:paraId="2989D7E3">
      <w:pPr>
        <w:spacing w:line="500" w:lineRule="exact"/>
        <w:ind w:firstLine="562" w:firstLineChars="200"/>
        <w:rPr>
          <w:rFonts w:hint="eastAsia" w:ascii="仿宋" w:hAnsi="仿宋" w:eastAsia="仿宋" w:cs="宋体"/>
          <w:b/>
          <w:bCs/>
          <w:sz w:val="28"/>
          <w:szCs w:val="28"/>
        </w:rPr>
      </w:pPr>
      <w:r>
        <w:rPr>
          <w:rFonts w:hint="eastAsia" w:ascii="仿宋" w:hAnsi="仿宋" w:eastAsia="仿宋" w:cs="宋体"/>
          <w:b/>
          <w:bCs/>
          <w:sz w:val="28"/>
          <w:szCs w:val="28"/>
        </w:rPr>
        <w:t>④评审委员会基于专业判断，认为供应商报价过低，有可能影响产品质量或者不能诚信履约的其他情形。</w:t>
      </w:r>
    </w:p>
    <w:p w14:paraId="7EFC3C90">
      <w:pPr>
        <w:spacing w:line="580" w:lineRule="exact"/>
        <w:ind w:firstLine="562" w:firstLineChars="200"/>
        <w:rPr>
          <w:rFonts w:hint="eastAsia" w:ascii="仿宋" w:hAnsi="仿宋" w:eastAsia="仿宋" w:cs="仿宋"/>
          <w:b/>
          <w:bCs/>
          <w:sz w:val="28"/>
          <w:szCs w:val="28"/>
        </w:rPr>
      </w:pPr>
      <w:r>
        <w:rPr>
          <w:rFonts w:hint="eastAsia" w:ascii="仿宋" w:hAnsi="仿宋" w:eastAsia="仿宋" w:cs="宋体"/>
          <w:b/>
          <w:bCs/>
          <w:sz w:val="28"/>
          <w:szCs w:val="28"/>
        </w:rPr>
        <w:t>启动异常低价投标（响应）审查后，评审委员会应当要求相关供应商在评标现场30分钟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0F412E3F">
      <w:pPr>
        <w:snapToGrid w:val="0"/>
        <w:spacing w:line="580" w:lineRule="exact"/>
        <w:ind w:firstLine="555"/>
        <w:contextualSpacing/>
        <w:rPr>
          <w:rFonts w:hint="eastAsia" w:ascii="仿宋" w:hAnsi="仿宋" w:eastAsia="仿宋" w:cs="仿宋"/>
          <w:b/>
          <w:bCs/>
          <w:sz w:val="28"/>
          <w:szCs w:val="28"/>
        </w:rPr>
      </w:pPr>
      <w:r>
        <w:rPr>
          <w:rFonts w:hint="eastAsia" w:ascii="仿宋" w:hAnsi="仿宋" w:eastAsia="仿宋" w:cs="仿宋"/>
          <w:b/>
          <w:bCs/>
          <w:sz w:val="28"/>
          <w:szCs w:val="28"/>
        </w:rPr>
        <w:t>八、政府采购政策功能落实</w:t>
      </w:r>
    </w:p>
    <w:p w14:paraId="53737EFC">
      <w:pPr>
        <w:spacing w:line="580" w:lineRule="exact"/>
        <w:ind w:left="210" w:leftChars="100" w:firstLine="560" w:firstLineChars="200"/>
        <w:rPr>
          <w:rFonts w:hint="eastAsia" w:ascii="仿宋" w:hAnsi="仿宋" w:eastAsia="仿宋" w:cs="仿宋"/>
          <w:sz w:val="28"/>
          <w:szCs w:val="28"/>
        </w:rPr>
      </w:pPr>
      <w:r>
        <w:rPr>
          <w:rFonts w:hint="eastAsia" w:ascii="仿宋" w:hAnsi="仿宋" w:eastAsia="仿宋" w:cs="仿宋"/>
          <w:sz w:val="28"/>
          <w:szCs w:val="28"/>
        </w:rPr>
        <w:t>1.小微型企业价格扣除</w:t>
      </w:r>
    </w:p>
    <w:p w14:paraId="571AE7AD">
      <w:pPr>
        <w:spacing w:line="580" w:lineRule="exact"/>
        <w:ind w:left="210" w:leftChars="100" w:firstLine="560" w:firstLineChars="200"/>
        <w:rPr>
          <w:rFonts w:hint="eastAsia" w:ascii="仿宋" w:hAnsi="仿宋" w:eastAsia="仿宋" w:cs="仿宋"/>
          <w:sz w:val="28"/>
          <w:szCs w:val="28"/>
        </w:rPr>
      </w:pPr>
      <w:r>
        <w:rPr>
          <w:rFonts w:hint="eastAsia" w:ascii="仿宋" w:hAnsi="仿宋" w:eastAsia="仿宋" w:cs="仿宋"/>
          <w:sz w:val="28"/>
          <w:szCs w:val="28"/>
        </w:rPr>
        <w:t>（1）本项目对小型和微型企业产品给予10%的扣除价格，用扣除后的价格参与评审。</w:t>
      </w:r>
    </w:p>
    <w:p w14:paraId="08B4516B">
      <w:pPr>
        <w:spacing w:line="580" w:lineRule="exact"/>
        <w:ind w:left="210" w:leftChars="100" w:firstLine="560" w:firstLineChars="200"/>
        <w:rPr>
          <w:rFonts w:hint="eastAsia" w:ascii="仿宋" w:hAnsi="仿宋" w:eastAsia="仿宋" w:cs="仿宋"/>
          <w:sz w:val="28"/>
          <w:szCs w:val="28"/>
        </w:rPr>
      </w:pPr>
      <w:r>
        <w:rPr>
          <w:rFonts w:hint="eastAsia" w:ascii="仿宋" w:hAnsi="仿宋" w:eastAsia="仿宋" w:cs="仿宋"/>
          <w:sz w:val="28"/>
          <w:szCs w:val="28"/>
        </w:rPr>
        <w:t>（2）供应商需按照《政府采购促进中小企业发展管理办法》（财库﹝2020﹞46 号）的规定提供相应的《中小企业声明函》。</w:t>
      </w:r>
    </w:p>
    <w:p w14:paraId="1D944E32">
      <w:pPr>
        <w:spacing w:line="580" w:lineRule="exact"/>
        <w:ind w:left="210" w:leftChars="100" w:firstLine="560" w:firstLineChars="200"/>
        <w:rPr>
          <w:rFonts w:hint="eastAsia" w:ascii="仿宋" w:hAnsi="仿宋" w:eastAsia="仿宋" w:cs="仿宋"/>
          <w:sz w:val="28"/>
          <w:szCs w:val="28"/>
        </w:rPr>
      </w:pPr>
      <w:r>
        <w:rPr>
          <w:rFonts w:hint="eastAsia" w:ascii="仿宋" w:hAnsi="仿宋" w:eastAsia="仿宋" w:cs="仿宋"/>
          <w:sz w:val="28"/>
          <w:szCs w:val="28"/>
        </w:rPr>
        <w:t>（3）企业标准请参照《关于印发中小企业划型标准规定的通知》（工信部联企业[2011]300号）文件规定自行填写。</w:t>
      </w:r>
    </w:p>
    <w:p w14:paraId="19B9B512">
      <w:pPr>
        <w:spacing w:line="580" w:lineRule="exact"/>
        <w:ind w:left="210" w:leftChars="100" w:firstLine="560" w:firstLineChars="200"/>
        <w:rPr>
          <w:rFonts w:hint="eastAsia" w:ascii="仿宋" w:hAnsi="仿宋" w:eastAsia="仿宋" w:cs="仿宋"/>
          <w:sz w:val="28"/>
          <w:szCs w:val="28"/>
        </w:rPr>
      </w:pPr>
      <w:r>
        <w:rPr>
          <w:rFonts w:hint="eastAsia" w:ascii="仿宋" w:hAnsi="仿宋" w:eastAsia="仿宋" w:cs="仿宋"/>
          <w:sz w:val="28"/>
          <w:szCs w:val="28"/>
        </w:rPr>
        <w:t>2.残疾人福利单位价格扣除</w:t>
      </w:r>
    </w:p>
    <w:p w14:paraId="4555C040">
      <w:pPr>
        <w:spacing w:line="580" w:lineRule="exact"/>
        <w:ind w:left="210" w:leftChars="100" w:firstLine="560" w:firstLineChars="200"/>
        <w:rPr>
          <w:rFonts w:hint="eastAsia" w:ascii="仿宋" w:hAnsi="仿宋" w:eastAsia="仿宋" w:cs="仿宋"/>
          <w:sz w:val="28"/>
          <w:szCs w:val="28"/>
        </w:rPr>
      </w:pPr>
      <w:r>
        <w:rPr>
          <w:rFonts w:hint="eastAsia" w:ascii="仿宋" w:hAnsi="仿宋" w:eastAsia="仿宋" w:cs="仿宋"/>
          <w:sz w:val="28"/>
          <w:szCs w:val="28"/>
        </w:rPr>
        <w:t>（1）本项目对残疾人福利性单位，给予10%的价格扣除，用扣除后的价格参与评审。</w:t>
      </w:r>
    </w:p>
    <w:p w14:paraId="31728139">
      <w:pPr>
        <w:spacing w:line="580" w:lineRule="exact"/>
        <w:ind w:left="210" w:leftChars="100" w:firstLine="560" w:firstLineChars="200"/>
        <w:rPr>
          <w:rFonts w:hint="eastAsia" w:ascii="仿宋" w:hAnsi="仿宋" w:eastAsia="仿宋" w:cs="仿宋"/>
          <w:sz w:val="28"/>
          <w:szCs w:val="28"/>
        </w:rPr>
      </w:pPr>
      <w:r>
        <w:rPr>
          <w:rFonts w:hint="eastAsia" w:ascii="仿宋" w:hAnsi="仿宋" w:eastAsia="仿宋" w:cs="仿宋"/>
          <w:sz w:val="28"/>
          <w:szCs w:val="28"/>
        </w:rPr>
        <w:t>（2）残疾人福利单位需按照采购文件的要求提供《残疾人福利性单位声明函》。</w:t>
      </w:r>
    </w:p>
    <w:p w14:paraId="24D4BDDD">
      <w:pPr>
        <w:spacing w:line="580" w:lineRule="exact"/>
        <w:ind w:left="210" w:leftChars="100" w:firstLine="560" w:firstLineChars="200"/>
        <w:rPr>
          <w:rFonts w:hint="eastAsia" w:ascii="仿宋" w:hAnsi="仿宋" w:eastAsia="仿宋" w:cs="仿宋"/>
          <w:sz w:val="28"/>
          <w:szCs w:val="28"/>
        </w:rPr>
      </w:pPr>
      <w:r>
        <w:rPr>
          <w:rFonts w:hint="eastAsia" w:ascii="仿宋" w:hAnsi="仿宋" w:eastAsia="仿宋" w:cs="仿宋"/>
          <w:sz w:val="28"/>
          <w:szCs w:val="28"/>
        </w:rPr>
        <w:t>（3）残疾人福利单位标准请参照《关于促进残疾人就业政府采购政策的通知》（财库〔2017〕141号）。</w:t>
      </w:r>
    </w:p>
    <w:p w14:paraId="33517D8D">
      <w:pPr>
        <w:spacing w:line="580" w:lineRule="exact"/>
        <w:ind w:left="210" w:leftChars="100" w:firstLine="560" w:firstLineChars="200"/>
        <w:rPr>
          <w:rFonts w:hint="eastAsia" w:ascii="仿宋" w:hAnsi="仿宋" w:eastAsia="仿宋" w:cs="仿宋"/>
          <w:sz w:val="28"/>
          <w:szCs w:val="28"/>
        </w:rPr>
      </w:pPr>
      <w:r>
        <w:rPr>
          <w:rFonts w:hint="eastAsia" w:ascii="仿宋" w:hAnsi="仿宋" w:eastAsia="仿宋" w:cs="仿宋"/>
          <w:sz w:val="28"/>
          <w:szCs w:val="28"/>
        </w:rPr>
        <w:t>3.监狱和戒毒企业价格扣除</w:t>
      </w:r>
    </w:p>
    <w:p w14:paraId="47A28375">
      <w:pPr>
        <w:spacing w:line="580" w:lineRule="exact"/>
        <w:ind w:left="210" w:leftChars="100" w:firstLine="560" w:firstLineChars="200"/>
        <w:rPr>
          <w:rFonts w:hint="eastAsia" w:ascii="仿宋" w:hAnsi="仿宋" w:eastAsia="仿宋" w:cs="仿宋"/>
          <w:sz w:val="28"/>
          <w:szCs w:val="28"/>
        </w:rPr>
      </w:pPr>
      <w:r>
        <w:rPr>
          <w:rFonts w:hint="eastAsia" w:ascii="仿宋" w:hAnsi="仿宋" w:eastAsia="仿宋" w:cs="仿宋"/>
          <w:sz w:val="28"/>
          <w:szCs w:val="28"/>
        </w:rPr>
        <w:t>（1）本项目对监狱和戒毒企业（简称监狱企业）给予10%的价格扣除，用扣除后的价格参与评审。</w:t>
      </w:r>
    </w:p>
    <w:p w14:paraId="5DE466AA">
      <w:pPr>
        <w:spacing w:line="580" w:lineRule="exact"/>
        <w:ind w:left="210" w:leftChars="100" w:firstLine="560" w:firstLineChars="200"/>
        <w:rPr>
          <w:rFonts w:hint="eastAsia" w:ascii="仿宋" w:hAnsi="仿宋" w:eastAsia="仿宋" w:cs="仿宋"/>
          <w:sz w:val="28"/>
          <w:szCs w:val="28"/>
        </w:rPr>
      </w:pPr>
      <w:r>
        <w:rPr>
          <w:rFonts w:hint="eastAsia" w:ascii="仿宋" w:hAnsi="仿宋" w:eastAsia="仿宋" w:cs="仿宋"/>
          <w:sz w:val="28"/>
          <w:szCs w:val="28"/>
        </w:rPr>
        <w:t>（2）监狱企业参加政府采购活动时，需提供由省级以上监狱管理局、戒毒管理局(含新疆生产建设兵团)出具的属于监狱企业的证明文件。供应商如不提供上述证明文件，价格将不做相应扣除。</w:t>
      </w:r>
    </w:p>
    <w:p w14:paraId="7671C84A">
      <w:pPr>
        <w:spacing w:line="580" w:lineRule="exact"/>
        <w:ind w:left="210" w:leftChars="100" w:firstLine="560" w:firstLineChars="200"/>
        <w:rPr>
          <w:rFonts w:hint="eastAsia" w:ascii="仿宋" w:hAnsi="仿宋" w:eastAsia="仿宋" w:cs="仿宋"/>
          <w:sz w:val="28"/>
          <w:szCs w:val="28"/>
        </w:rPr>
      </w:pPr>
      <w:r>
        <w:rPr>
          <w:rFonts w:hint="eastAsia" w:ascii="仿宋" w:hAnsi="仿宋" w:eastAsia="仿宋" w:cs="仿宋"/>
          <w:sz w:val="28"/>
          <w:szCs w:val="28"/>
        </w:rPr>
        <w:t>（3）监狱企业标准请参照《关于政府采购支持监狱企业发展有关问题的通知》（财库[2014]68号）。</w:t>
      </w:r>
    </w:p>
    <w:p w14:paraId="24526FE6">
      <w:pPr>
        <w:spacing w:line="580" w:lineRule="exact"/>
        <w:ind w:left="210" w:leftChars="100" w:firstLine="560" w:firstLineChars="200"/>
        <w:rPr>
          <w:rFonts w:hint="eastAsia" w:ascii="仿宋" w:hAnsi="仿宋" w:eastAsia="仿宋" w:cs="仿宋"/>
          <w:sz w:val="28"/>
          <w:szCs w:val="28"/>
        </w:rPr>
      </w:pPr>
      <w:r>
        <w:rPr>
          <w:rFonts w:hint="eastAsia" w:ascii="仿宋" w:hAnsi="仿宋" w:eastAsia="仿宋" w:cs="仿宋"/>
          <w:sz w:val="28"/>
          <w:szCs w:val="28"/>
        </w:rPr>
        <w:t>4.残疾人福利单位、监狱企业属于小型、微型企业的，不重复享受政策。</w:t>
      </w:r>
    </w:p>
    <w:p w14:paraId="30BBD4CF">
      <w:pPr>
        <w:widowControl/>
        <w:spacing w:line="580" w:lineRule="exact"/>
        <w:rPr>
          <w:rFonts w:hint="eastAsia" w:ascii="仿宋" w:hAnsi="仿宋" w:eastAsia="仿宋" w:cs="仿宋"/>
          <w:sz w:val="28"/>
          <w:szCs w:val="28"/>
        </w:rPr>
      </w:pPr>
      <w:r>
        <w:rPr>
          <w:rFonts w:hint="eastAsia" w:ascii="仿宋" w:hAnsi="仿宋" w:eastAsia="仿宋" w:cs="仿宋"/>
          <w:sz w:val="28"/>
          <w:szCs w:val="28"/>
        </w:rPr>
        <w:br w:type="page"/>
      </w:r>
    </w:p>
    <w:bookmarkEnd w:id="4"/>
    <w:bookmarkEnd w:id="5"/>
    <w:p w14:paraId="3BC5B0ED">
      <w:pPr>
        <w:jc w:val="center"/>
        <w:rPr>
          <w:rFonts w:hint="eastAsia" w:ascii="华文中宋" w:hAnsi="华文中宋"/>
          <w:b/>
          <w:bCs/>
          <w:kern w:val="44"/>
          <w:sz w:val="44"/>
          <w:szCs w:val="44"/>
        </w:rPr>
      </w:pPr>
      <w:r>
        <w:rPr>
          <w:rFonts w:hint="eastAsia" w:ascii="华文中宋" w:hAnsi="华文中宋"/>
          <w:b/>
          <w:bCs/>
          <w:kern w:val="44"/>
          <w:sz w:val="44"/>
          <w:szCs w:val="44"/>
        </w:rPr>
        <w:t>第五部分 合同授予</w:t>
      </w:r>
    </w:p>
    <w:p w14:paraId="69778A1E">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一、中标结果确定后，采购人将向中标供应商发出成交通知书。中标单位在接到《中标通知书》后5日内必须按照公开招标采购文件及公开招标采购文件确定的事项签订采购合同。所签合同不得对采购文件作实质性修改。采购人不得向中标单位提出不合理的要求作为签订合同的条件，不得与中标单位私下订立背离采购文件实质性内容的协议。</w:t>
      </w:r>
    </w:p>
    <w:p w14:paraId="0BF73406">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二、采购人故意推迟项目验收时间的，与中标单位串通或要求中标单位通过减少货物数量的，在履行合同中采取更改配置、调换物品等手段的，要求中标单位出具虚假发票或任意更改销售发票的，谋取不正当利益的，承担相应的法律责任。</w:t>
      </w:r>
    </w:p>
    <w:p w14:paraId="3510D52D">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三、中标单位出现违约情形，应当及时纠正或补偿；造成损失的，按合同约定追究违约责任；发现有假冒、伪劣、走私产品、商业贿赂等违法情形的，应由采购人移交公安等行政执法部门依法查处。</w:t>
      </w:r>
    </w:p>
    <w:p w14:paraId="3B483864">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四、付款时间和条件：</w:t>
      </w:r>
    </w:p>
    <w:p w14:paraId="157676D9">
      <w:pPr>
        <w:spacing w:line="5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详见政府采购合同第五条：货款支付。</w:t>
      </w:r>
    </w:p>
    <w:p w14:paraId="510D170D">
      <w:pPr>
        <w:pStyle w:val="2"/>
        <w:spacing w:line="580" w:lineRule="exact"/>
        <w:jc w:val="center"/>
        <w:rPr>
          <w:rFonts w:hint="eastAsia" w:ascii="华文中宋" w:hAnsi="华文中宋" w:eastAsia="宋体"/>
          <w:b/>
          <w:bCs/>
          <w:kern w:val="44"/>
          <w:sz w:val="44"/>
          <w:szCs w:val="44"/>
        </w:rPr>
      </w:pPr>
      <w:r>
        <w:rPr>
          <w:rFonts w:hint="eastAsia" w:ascii="仿宋" w:hAnsi="仿宋" w:eastAsia="仿宋" w:cs="仿宋"/>
          <w:szCs w:val="28"/>
        </w:rPr>
        <w:br w:type="page"/>
      </w:r>
      <w:r>
        <w:rPr>
          <w:rFonts w:hint="eastAsia" w:ascii="华文中宋" w:hAnsi="华文中宋" w:eastAsia="宋体"/>
          <w:b/>
          <w:bCs/>
          <w:kern w:val="44"/>
          <w:sz w:val="44"/>
          <w:szCs w:val="44"/>
        </w:rPr>
        <w:t>第六部分 质疑处理</w:t>
      </w:r>
    </w:p>
    <w:p w14:paraId="0DA2ED41">
      <w:pPr>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、提出质疑的供应商应当是参与所质疑项目采购活动的供应商，由采购人负责答复。</w:t>
      </w:r>
    </w:p>
    <w:p w14:paraId="67C6779A">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供应商认为公开招标采购文件、采购过程和采购结果使自己的权益受到损害的，可以在知道或应知其权益受到损害之日起五个工作日内，以书面形式向采购人提出质疑。上述应知其权益受到损害之日，具体是指：</w:t>
      </w:r>
    </w:p>
    <w:p w14:paraId="1FEEA99F">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（1）对公开招标采购文件提出质疑的，为收到公开招标采购文件之日或者公开招标采购文件公告期限届满之日；</w:t>
      </w:r>
    </w:p>
    <w:p w14:paraId="62629DDB">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（2）对采购过程提出质疑的，为各采购程序环节结束之日；</w:t>
      </w:r>
    </w:p>
    <w:p w14:paraId="642EC4B2">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（3）对成交结果提出质疑的，为成交结果公告期限届满之日。</w:t>
      </w:r>
    </w:p>
    <w:p w14:paraId="37AFFA5D">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供应商应当在法定质疑期内一次性提出针对同一采购的质疑。供应商如在法定期限内对同一采购程序环节提出多次质疑的，采购人将只对供应商第一次质疑作出答复。</w:t>
      </w:r>
    </w:p>
    <w:p w14:paraId="02420563">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3、质疑函必须按照本公开招标采购文件中《质疑函范本》要求的格式和内容进行填写。</w:t>
      </w:r>
    </w:p>
    <w:p w14:paraId="3C1F03AC">
      <w:pPr>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4、采购人只接收以纸质原件形式送达的质疑。</w:t>
      </w:r>
    </w:p>
    <w:p w14:paraId="5B8C2A85">
      <w:pPr>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采购人质疑接收人、联系地址、联系电话见采购公告中的采购人联系方式。</w:t>
      </w:r>
    </w:p>
    <w:p w14:paraId="1F221161">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 以下情形的质疑不予受理：</w:t>
      </w:r>
    </w:p>
    <w:p w14:paraId="1DD8221D">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内容不符合《政府采购质疑和投诉办法》第十二条规定的质疑。</w:t>
      </w:r>
    </w:p>
    <w:p w14:paraId="095884CE">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 ）超出政府采购法定期限的质疑。</w:t>
      </w:r>
    </w:p>
    <w:p w14:paraId="3AB10DBA">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 ）以传真、电子邮件等方式递交的非原件形式的质疑。</w:t>
      </w:r>
    </w:p>
    <w:p w14:paraId="7BE23E97">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 未参加公开招标采购活动的供应商或在公开招标采购活动中自身权益未受到损害的供应商所提出的质疑。</w:t>
      </w:r>
    </w:p>
    <w:p w14:paraId="1C0ACD31">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4FEC662B">
      <w:pPr>
        <w:pStyle w:val="14"/>
        <w:spacing w:line="580" w:lineRule="exact"/>
        <w:rPr>
          <w:rFonts w:hint="eastAsia" w:ascii="仿宋" w:hAnsi="仿宋" w:eastAsia="仿宋" w:cs="仿宋"/>
          <w:szCs w:val="28"/>
        </w:rPr>
      </w:pPr>
    </w:p>
    <w:p w14:paraId="5D669C8F">
      <w:pPr>
        <w:pStyle w:val="14"/>
        <w:spacing w:line="580" w:lineRule="exact"/>
        <w:rPr>
          <w:rFonts w:hint="eastAsia" w:ascii="仿宋" w:hAnsi="仿宋" w:eastAsia="仿宋" w:cs="仿宋"/>
          <w:szCs w:val="28"/>
        </w:rPr>
      </w:pPr>
    </w:p>
    <w:p w14:paraId="05CA8436">
      <w:pPr>
        <w:jc w:val="center"/>
        <w:rPr>
          <w:rFonts w:hint="eastAsia" w:ascii="华文中宋" w:hAnsi="华文中宋"/>
          <w:b/>
          <w:bCs/>
          <w:kern w:val="44"/>
          <w:sz w:val="44"/>
          <w:szCs w:val="44"/>
        </w:rPr>
        <w:sectPr>
          <w:pgSz w:w="11906" w:h="16838"/>
          <w:pgMar w:top="1418" w:right="1588" w:bottom="1418" w:left="1365" w:header="851" w:footer="907" w:gutter="0"/>
          <w:cols w:space="720" w:num="1"/>
          <w:titlePg/>
          <w:docGrid w:type="lines" w:linePitch="290" w:charSpace="0"/>
        </w:sectPr>
      </w:pPr>
    </w:p>
    <w:p w14:paraId="234C3779">
      <w:pPr>
        <w:jc w:val="center"/>
        <w:rPr>
          <w:rFonts w:hint="eastAsia" w:ascii="华文中宋" w:hAnsi="华文中宋"/>
          <w:b/>
          <w:bCs/>
          <w:kern w:val="44"/>
          <w:sz w:val="44"/>
          <w:szCs w:val="44"/>
        </w:rPr>
      </w:pPr>
      <w:r>
        <w:rPr>
          <w:rFonts w:hint="eastAsia" w:ascii="华文中宋" w:hAnsi="华文中宋"/>
          <w:b/>
          <w:bCs/>
          <w:kern w:val="44"/>
          <w:sz w:val="44"/>
          <w:szCs w:val="44"/>
        </w:rPr>
        <w:t>第七部分 公开招标采购文件组成</w:t>
      </w:r>
    </w:p>
    <w:p w14:paraId="22763685">
      <w:pPr>
        <w:autoSpaceDE w:val="0"/>
        <w:autoSpaceDN w:val="0"/>
        <w:adjustRightInd w:val="0"/>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本次</w:t>
      </w:r>
      <w:r>
        <w:rPr>
          <w:rFonts w:hint="eastAsia" w:ascii="仿宋" w:hAnsi="仿宋" w:eastAsia="仿宋" w:cs="仿宋"/>
          <w:sz w:val="28"/>
          <w:szCs w:val="28"/>
        </w:rPr>
        <w:t>公开招标采购</w:t>
      </w:r>
      <w:r>
        <w:rPr>
          <w:rFonts w:hint="eastAsia" w:ascii="仿宋" w:hAnsi="仿宋" w:eastAsia="仿宋" w:cs="仿宋"/>
          <w:bCs/>
          <w:sz w:val="28"/>
          <w:szCs w:val="28"/>
        </w:rPr>
        <w:t>采用资格后审方式，供应商须按要求装订密封后一起递交。</w:t>
      </w:r>
      <w:r>
        <w:rPr>
          <w:rFonts w:hint="eastAsia" w:ascii="仿宋" w:hAnsi="仿宋" w:eastAsia="仿宋" w:cs="仿宋"/>
          <w:sz w:val="28"/>
          <w:szCs w:val="28"/>
        </w:rPr>
        <w:t>公开招标采购</w:t>
      </w:r>
      <w:r>
        <w:rPr>
          <w:rFonts w:hint="eastAsia" w:ascii="仿宋" w:hAnsi="仿宋" w:eastAsia="仿宋" w:cs="仿宋"/>
          <w:bCs/>
          <w:sz w:val="28"/>
          <w:szCs w:val="28"/>
        </w:rPr>
        <w:t>文件由资格审查文件和价格文件两部分组成，可装订成一册。</w:t>
      </w:r>
    </w:p>
    <w:p w14:paraId="547D2A7B">
      <w:pPr>
        <w:snapToGrid w:val="0"/>
        <w:spacing w:line="580" w:lineRule="exact"/>
        <w:ind w:firstLine="555"/>
        <w:contextualSpacing/>
        <w:rPr>
          <w:rFonts w:hint="eastAsia" w:ascii="仿宋" w:hAnsi="仿宋" w:eastAsia="仿宋" w:cs="仿宋"/>
          <w:b/>
          <w:bCs/>
          <w:sz w:val="28"/>
          <w:szCs w:val="28"/>
        </w:rPr>
      </w:pPr>
      <w:r>
        <w:rPr>
          <w:rFonts w:hint="eastAsia" w:ascii="仿宋" w:hAnsi="仿宋" w:eastAsia="仿宋" w:cs="仿宋"/>
          <w:b/>
          <w:bCs/>
          <w:sz w:val="28"/>
          <w:szCs w:val="28"/>
        </w:rPr>
        <w:t>一、资格审查文件</w:t>
      </w:r>
    </w:p>
    <w:p w14:paraId="1252BBD9">
      <w:pPr>
        <w:autoSpaceDE w:val="0"/>
        <w:autoSpaceDN w:val="0"/>
        <w:adjustRightIn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1、公开招标采购声明函</w:t>
      </w:r>
    </w:p>
    <w:p w14:paraId="1BBA3E9D">
      <w:pPr>
        <w:autoSpaceDE w:val="0"/>
        <w:autoSpaceDN w:val="0"/>
        <w:adjustRightIn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2、法定代表人身份证明</w:t>
      </w:r>
    </w:p>
    <w:p w14:paraId="72572D6B">
      <w:pPr>
        <w:autoSpaceDE w:val="0"/>
        <w:autoSpaceDN w:val="0"/>
        <w:adjustRightIn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3、授权委托书</w:t>
      </w:r>
    </w:p>
    <w:p w14:paraId="0D4FB292">
      <w:pPr>
        <w:autoSpaceDE w:val="0"/>
        <w:autoSpaceDN w:val="0"/>
        <w:adjustRightIn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4、企业法人营业执照（副本）复印件</w:t>
      </w:r>
    </w:p>
    <w:p w14:paraId="709B1292">
      <w:pPr>
        <w:autoSpaceDE w:val="0"/>
        <w:autoSpaceDN w:val="0"/>
        <w:adjustRightIn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5、提供符合《政府采购法》第二十二条要求的承诺函（见附件）</w:t>
      </w:r>
    </w:p>
    <w:p w14:paraId="17F966AC">
      <w:pPr>
        <w:autoSpaceDE w:val="0"/>
        <w:autoSpaceDN w:val="0"/>
        <w:adjustRightIn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6、公告中的其他资格要求</w:t>
      </w:r>
    </w:p>
    <w:p w14:paraId="5A285714">
      <w:pPr>
        <w:autoSpaceDE w:val="0"/>
        <w:autoSpaceDN w:val="0"/>
        <w:adjustRightInd w:val="0"/>
        <w:spacing w:line="5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以上材料为复印件的均需加盖供应商公章。</w:t>
      </w:r>
    </w:p>
    <w:p w14:paraId="6BCE4309">
      <w:pPr>
        <w:autoSpaceDE w:val="0"/>
        <w:autoSpaceDN w:val="0"/>
        <w:adjustRightInd w:val="0"/>
        <w:spacing w:line="5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二、价格文件</w:t>
      </w:r>
    </w:p>
    <w:p w14:paraId="5CD61869">
      <w:pPr>
        <w:autoSpaceDE w:val="0"/>
        <w:autoSpaceDN w:val="0"/>
        <w:adjustRightIn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1、报价函</w:t>
      </w:r>
    </w:p>
    <w:p w14:paraId="767060B3">
      <w:pPr>
        <w:autoSpaceDE w:val="0"/>
        <w:autoSpaceDN w:val="0"/>
        <w:adjustRightIn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2、报价明细表</w:t>
      </w:r>
    </w:p>
    <w:p w14:paraId="35F500F1">
      <w:pPr>
        <w:autoSpaceDE w:val="0"/>
        <w:autoSpaceDN w:val="0"/>
        <w:adjustRightInd w:val="0"/>
        <w:spacing w:line="580" w:lineRule="exact"/>
        <w:ind w:firstLine="560" w:firstLineChars="200"/>
        <w:rPr>
          <w:rFonts w:hint="eastAsia" w:ascii="仿宋" w:hAnsi="仿宋" w:eastAsia="仿宋" w:cs="仿宋"/>
          <w:sz w:val="28"/>
          <w:szCs w:val="28"/>
        </w:rPr>
      </w:pPr>
    </w:p>
    <w:p w14:paraId="453EB341">
      <w:pPr>
        <w:jc w:val="center"/>
        <w:rPr>
          <w:rFonts w:hint="eastAsia" w:ascii="华文中宋" w:hAnsi="华文中宋"/>
          <w:b/>
          <w:bCs/>
          <w:kern w:val="44"/>
          <w:sz w:val="44"/>
          <w:szCs w:val="44"/>
        </w:rPr>
        <w:sectPr>
          <w:pgSz w:w="11906" w:h="16838"/>
          <w:pgMar w:top="1418" w:right="1588" w:bottom="1418" w:left="1365" w:header="851" w:footer="907" w:gutter="0"/>
          <w:cols w:space="720" w:num="1"/>
          <w:titlePg/>
          <w:docGrid w:type="lines" w:linePitch="290" w:charSpace="0"/>
        </w:sectPr>
      </w:pPr>
    </w:p>
    <w:p w14:paraId="236410D1">
      <w:pPr>
        <w:jc w:val="center"/>
        <w:rPr>
          <w:rFonts w:hint="eastAsia" w:ascii="华文中宋" w:hAnsi="华文中宋"/>
          <w:b/>
          <w:bCs/>
          <w:kern w:val="44"/>
          <w:sz w:val="44"/>
          <w:szCs w:val="44"/>
        </w:rPr>
      </w:pPr>
      <w:r>
        <w:rPr>
          <w:rFonts w:hint="eastAsia" w:ascii="华文中宋" w:hAnsi="华文中宋"/>
          <w:b/>
          <w:bCs/>
          <w:kern w:val="44"/>
          <w:sz w:val="44"/>
          <w:szCs w:val="44"/>
        </w:rPr>
        <w:t>第八部分   合同条款及格式</w:t>
      </w:r>
    </w:p>
    <w:p w14:paraId="1ADABCBA">
      <w:pPr>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以下为成交后签定本项目合同的通用条款，成交供应商不得提出实质性的修改，关于专用条款将由采购人与成交供应商结合本项目具体情况协商后签订。</w:t>
      </w:r>
    </w:p>
    <w:p w14:paraId="5151BAD9">
      <w:pPr>
        <w:spacing w:line="580" w:lineRule="exact"/>
        <w:jc w:val="center"/>
        <w:rPr>
          <w:rFonts w:hint="eastAsia" w:ascii="仿宋" w:hAnsi="仿宋" w:eastAsia="仿宋" w:cs="仿宋"/>
          <w:b/>
          <w:bCs/>
          <w:sz w:val="28"/>
          <w:szCs w:val="28"/>
        </w:rPr>
      </w:pPr>
      <w:r>
        <w:rPr>
          <w:rFonts w:hint="eastAsia" w:ascii="仿宋" w:hAnsi="仿宋" w:eastAsia="仿宋" w:cs="仿宋"/>
          <w:b/>
          <w:sz w:val="28"/>
          <w:szCs w:val="28"/>
        </w:rPr>
        <w:t>政府采购合同（货物）</w:t>
      </w:r>
    </w:p>
    <w:p w14:paraId="46F851DA">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项目名称：                           项目编号：</w:t>
      </w:r>
    </w:p>
    <w:p w14:paraId="0CFA7154">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甲方:南通市通州区卫生健康委员会</w:t>
      </w:r>
    </w:p>
    <w:p w14:paraId="5E420A47">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乙方:</w:t>
      </w:r>
    </w:p>
    <w:p w14:paraId="057A1FDB">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甲、乙双方根据2026年南通市通州区卫生健康委员会除四害药物项目公开招标采购结果和“公开招标采购文件”的要求，并经双方协商一致，达成本采购合同:</w:t>
      </w:r>
    </w:p>
    <w:p w14:paraId="307D6DEC">
      <w:pPr>
        <w:pStyle w:val="6"/>
        <w:snapToGrid w:val="0"/>
        <w:spacing w:before="120" w:after="120" w:line="580" w:lineRule="exact"/>
        <w:ind w:firstLine="562" w:firstLineChars="200"/>
        <w:rPr>
          <w:rFonts w:ascii="仿宋" w:hAnsi="仿宋" w:eastAsia="仿宋" w:cs="仿宋"/>
          <w:b/>
          <w:bCs/>
          <w:sz w:val="28"/>
          <w:szCs w:val="28"/>
        </w:rPr>
      </w:pPr>
      <w:r>
        <w:rPr>
          <w:rFonts w:ascii="仿宋" w:hAnsi="仿宋" w:eastAsia="仿宋" w:cs="仿宋"/>
          <w:b/>
          <w:bCs/>
          <w:sz w:val="28"/>
          <w:szCs w:val="28"/>
        </w:rPr>
        <w:t>第一条 供货及知识产权</w:t>
      </w:r>
    </w:p>
    <w:p w14:paraId="53B6C890">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乙方应按公开招标采购文件规定及响应文件承诺的货物性能、技术要求、质量标准向甲方提供未经使用的全新产品。乙方应保证甲方在使用、接受本合同货物和服务或其任何一部分时不受第三方提出侵犯其专利权、版权、商标权和工业设计权等知识产权的起诉。一旦出现侵权，由乙方负全部责任。</w:t>
      </w:r>
    </w:p>
    <w:p w14:paraId="3D3AD6E8">
      <w:pPr>
        <w:pStyle w:val="6"/>
        <w:snapToGrid w:val="0"/>
        <w:spacing w:before="120" w:after="120" w:line="580" w:lineRule="exact"/>
        <w:ind w:firstLine="562" w:firstLineChars="200"/>
        <w:rPr>
          <w:rFonts w:ascii="仿宋" w:hAnsi="仿宋" w:eastAsia="仿宋" w:cs="仿宋"/>
          <w:b/>
          <w:bCs/>
          <w:sz w:val="28"/>
          <w:szCs w:val="28"/>
        </w:rPr>
      </w:pPr>
      <w:r>
        <w:rPr>
          <w:rFonts w:ascii="仿宋" w:hAnsi="仿宋" w:eastAsia="仿宋" w:cs="仿宋"/>
          <w:b/>
          <w:bCs/>
          <w:sz w:val="28"/>
          <w:szCs w:val="28"/>
        </w:rPr>
        <w:t xml:space="preserve"> </w:t>
      </w:r>
    </w:p>
    <w:p w14:paraId="2105A50A">
      <w:pPr>
        <w:pStyle w:val="6"/>
        <w:snapToGrid w:val="0"/>
        <w:spacing w:before="120" w:after="120" w:line="580" w:lineRule="exact"/>
        <w:ind w:firstLine="562" w:firstLineChars="200"/>
        <w:rPr>
          <w:rFonts w:ascii="仿宋" w:hAnsi="仿宋" w:eastAsia="仿宋" w:cs="仿宋"/>
          <w:b/>
          <w:bCs/>
          <w:sz w:val="28"/>
          <w:szCs w:val="28"/>
        </w:rPr>
      </w:pPr>
    </w:p>
    <w:p w14:paraId="2BB4EE5D">
      <w:pPr>
        <w:pStyle w:val="6"/>
        <w:snapToGrid w:val="0"/>
        <w:spacing w:before="120" w:after="120" w:line="580" w:lineRule="exact"/>
        <w:ind w:firstLine="562" w:firstLineChars="200"/>
        <w:rPr>
          <w:rFonts w:ascii="仿宋" w:hAnsi="仿宋" w:eastAsia="仿宋" w:cs="仿宋"/>
          <w:b/>
          <w:bCs/>
          <w:sz w:val="28"/>
          <w:szCs w:val="28"/>
        </w:rPr>
      </w:pPr>
    </w:p>
    <w:p w14:paraId="5E1ACF54">
      <w:pPr>
        <w:pStyle w:val="6"/>
        <w:snapToGrid w:val="0"/>
        <w:spacing w:before="120" w:after="120" w:line="580" w:lineRule="exact"/>
        <w:ind w:firstLine="562" w:firstLineChars="200"/>
        <w:rPr>
          <w:rFonts w:ascii="仿宋" w:hAnsi="仿宋" w:eastAsia="仿宋" w:cs="仿宋"/>
          <w:b/>
          <w:bCs/>
          <w:sz w:val="28"/>
          <w:szCs w:val="28"/>
        </w:rPr>
      </w:pPr>
    </w:p>
    <w:p w14:paraId="22DF4E6E">
      <w:pPr>
        <w:pStyle w:val="6"/>
        <w:snapToGrid w:val="0"/>
        <w:spacing w:before="120" w:after="120" w:line="580" w:lineRule="exact"/>
        <w:ind w:firstLine="562" w:firstLineChars="200"/>
        <w:rPr>
          <w:rFonts w:ascii="仿宋" w:hAnsi="仿宋" w:eastAsia="仿宋" w:cs="仿宋"/>
          <w:b/>
          <w:bCs/>
          <w:sz w:val="28"/>
          <w:szCs w:val="28"/>
        </w:rPr>
      </w:pPr>
      <w:r>
        <w:rPr>
          <w:rFonts w:ascii="仿宋" w:hAnsi="仿宋" w:eastAsia="仿宋" w:cs="仿宋"/>
          <w:b/>
          <w:bCs/>
          <w:sz w:val="28"/>
          <w:szCs w:val="28"/>
        </w:rPr>
        <w:t>第二条 合同总价款</w:t>
      </w:r>
    </w:p>
    <w:tbl>
      <w:tblPr>
        <w:tblStyle w:val="11"/>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742"/>
        <w:gridCol w:w="758"/>
        <w:gridCol w:w="2140"/>
        <w:gridCol w:w="1263"/>
        <w:gridCol w:w="695"/>
        <w:gridCol w:w="914"/>
        <w:gridCol w:w="784"/>
        <w:gridCol w:w="1028"/>
      </w:tblGrid>
      <w:tr w14:paraId="3518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363A5B4F">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b/>
                <w:bCs/>
                <w:kern w:val="0"/>
                <w:sz w:val="28"/>
                <w:szCs w:val="28"/>
                <w:lang w:bidi="ar"/>
              </w:rPr>
              <w:t>序号</w:t>
            </w:r>
          </w:p>
        </w:tc>
        <w:tc>
          <w:tcPr>
            <w:tcW w:w="1500" w:type="dxa"/>
            <w:gridSpan w:val="2"/>
            <w:vAlign w:val="center"/>
          </w:tcPr>
          <w:p w14:paraId="012D4C30">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b/>
                <w:bCs/>
                <w:kern w:val="0"/>
                <w:sz w:val="28"/>
                <w:szCs w:val="28"/>
                <w:lang w:bidi="ar"/>
              </w:rPr>
              <w:t>用　　途</w:t>
            </w:r>
          </w:p>
        </w:tc>
        <w:tc>
          <w:tcPr>
            <w:tcW w:w="2140" w:type="dxa"/>
            <w:vAlign w:val="center"/>
          </w:tcPr>
          <w:p w14:paraId="669F157A">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b/>
                <w:bCs/>
                <w:kern w:val="0"/>
                <w:sz w:val="28"/>
                <w:szCs w:val="28"/>
                <w:lang w:bidi="ar"/>
              </w:rPr>
              <w:t>有  效  成  份</w:t>
            </w:r>
          </w:p>
        </w:tc>
        <w:tc>
          <w:tcPr>
            <w:tcW w:w="1263" w:type="dxa"/>
            <w:vAlign w:val="center"/>
          </w:tcPr>
          <w:p w14:paraId="0605570A">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b/>
                <w:bCs/>
                <w:kern w:val="0"/>
                <w:sz w:val="28"/>
                <w:szCs w:val="28"/>
                <w:lang w:bidi="ar"/>
              </w:rPr>
              <w:t>规  格</w:t>
            </w:r>
          </w:p>
        </w:tc>
        <w:tc>
          <w:tcPr>
            <w:tcW w:w="695" w:type="dxa"/>
            <w:vAlign w:val="center"/>
          </w:tcPr>
          <w:p w14:paraId="4BD8535D">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b/>
                <w:bCs/>
                <w:kern w:val="0"/>
                <w:sz w:val="28"/>
                <w:szCs w:val="28"/>
                <w:lang w:bidi="ar"/>
              </w:rPr>
              <w:t>单位</w:t>
            </w:r>
          </w:p>
        </w:tc>
        <w:tc>
          <w:tcPr>
            <w:tcW w:w="914" w:type="dxa"/>
            <w:vAlign w:val="center"/>
          </w:tcPr>
          <w:p w14:paraId="0410BAB8">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b/>
                <w:bCs/>
                <w:kern w:val="0"/>
                <w:sz w:val="28"/>
                <w:szCs w:val="28"/>
                <w:lang w:bidi="ar"/>
              </w:rPr>
              <w:t>数量</w:t>
            </w:r>
          </w:p>
        </w:tc>
        <w:tc>
          <w:tcPr>
            <w:tcW w:w="784" w:type="dxa"/>
            <w:vAlign w:val="center"/>
          </w:tcPr>
          <w:p w14:paraId="1C93E872">
            <w:pPr>
              <w:widowControl/>
              <w:spacing w:line="580" w:lineRule="exact"/>
              <w:jc w:val="center"/>
              <w:textAlignment w:val="center"/>
              <w:rPr>
                <w:rFonts w:hint="eastAsia" w:ascii="仿宋" w:hAnsi="仿宋" w:eastAsia="仿宋" w:cs="仿宋"/>
                <w:b/>
                <w:bCs/>
                <w:kern w:val="0"/>
                <w:sz w:val="28"/>
                <w:szCs w:val="28"/>
                <w:lang w:bidi="ar"/>
              </w:rPr>
            </w:pPr>
            <w:r>
              <w:rPr>
                <w:rFonts w:hint="eastAsia" w:ascii="仿宋" w:hAnsi="仿宋" w:eastAsia="仿宋" w:cs="仿宋"/>
                <w:b/>
                <w:bCs/>
                <w:kern w:val="0"/>
                <w:sz w:val="28"/>
                <w:szCs w:val="28"/>
                <w:lang w:bidi="ar"/>
              </w:rPr>
              <w:t>单价</w:t>
            </w:r>
          </w:p>
        </w:tc>
        <w:tc>
          <w:tcPr>
            <w:tcW w:w="1028" w:type="dxa"/>
            <w:vAlign w:val="center"/>
          </w:tcPr>
          <w:p w14:paraId="0429C3F0">
            <w:pPr>
              <w:widowControl/>
              <w:spacing w:line="580" w:lineRule="exact"/>
              <w:jc w:val="center"/>
              <w:textAlignment w:val="center"/>
              <w:rPr>
                <w:rFonts w:hint="eastAsia" w:ascii="仿宋" w:hAnsi="仿宋" w:eastAsia="仿宋" w:cs="仿宋"/>
                <w:b/>
                <w:bCs/>
                <w:kern w:val="0"/>
                <w:sz w:val="28"/>
                <w:szCs w:val="28"/>
                <w:lang w:bidi="ar"/>
              </w:rPr>
            </w:pPr>
            <w:r>
              <w:rPr>
                <w:rFonts w:hint="eastAsia" w:ascii="仿宋" w:hAnsi="仿宋" w:eastAsia="仿宋" w:cs="仿宋"/>
                <w:b/>
                <w:bCs/>
                <w:kern w:val="0"/>
                <w:sz w:val="28"/>
                <w:szCs w:val="28"/>
                <w:lang w:bidi="ar"/>
              </w:rPr>
              <w:t>金额</w:t>
            </w:r>
          </w:p>
        </w:tc>
      </w:tr>
      <w:tr w14:paraId="4464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6A95EBB4">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color w:val="000000" w:themeColor="text1"/>
                <w:kern w:val="0"/>
                <w:sz w:val="28"/>
                <w:szCs w:val="28"/>
                <w:highlight w:val="none"/>
                <w:lang w:bidi="ar"/>
                <w14:textFill>
                  <w14:solidFill>
                    <w14:schemeClr w14:val="tx1"/>
                  </w14:solidFill>
                </w14:textFill>
              </w:rPr>
              <w:t>1</w:t>
            </w:r>
          </w:p>
        </w:tc>
        <w:tc>
          <w:tcPr>
            <w:tcW w:w="742" w:type="dxa"/>
            <w:vAlign w:val="center"/>
          </w:tcPr>
          <w:p w14:paraId="348EA736">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color w:val="000000" w:themeColor="text1"/>
                <w:kern w:val="0"/>
                <w:sz w:val="28"/>
                <w:szCs w:val="28"/>
                <w:highlight w:val="none"/>
                <w:lang w:bidi="ar"/>
                <w14:textFill>
                  <w14:solidFill>
                    <w14:schemeClr w14:val="tx1"/>
                  </w14:solidFill>
                </w14:textFill>
              </w:rPr>
              <w:t>灭  鼠</w:t>
            </w:r>
          </w:p>
        </w:tc>
        <w:tc>
          <w:tcPr>
            <w:tcW w:w="758" w:type="dxa"/>
            <w:vAlign w:val="center"/>
          </w:tcPr>
          <w:p w14:paraId="4D1BD25E">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color w:val="000000" w:themeColor="text1"/>
                <w:sz w:val="28"/>
                <w:szCs w:val="28"/>
                <w:highlight w:val="none"/>
                <w14:textFill>
                  <w14:solidFill>
                    <w14:schemeClr w14:val="tx1"/>
                  </w14:solidFill>
                </w14:textFill>
              </w:rPr>
              <w:t>饵粒</w:t>
            </w:r>
          </w:p>
        </w:tc>
        <w:tc>
          <w:tcPr>
            <w:tcW w:w="2140" w:type="dxa"/>
            <w:vAlign w:val="center"/>
          </w:tcPr>
          <w:p w14:paraId="0F99E7DB">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color w:val="000000" w:themeColor="text1"/>
                <w:sz w:val="28"/>
                <w:szCs w:val="28"/>
                <w:highlight w:val="none"/>
                <w14:textFill>
                  <w14:solidFill>
                    <w14:schemeClr w14:val="tx1"/>
                  </w14:solidFill>
                </w14:textFill>
              </w:rPr>
              <w:t>0.075%胆钙化醇</w:t>
            </w:r>
          </w:p>
        </w:tc>
        <w:tc>
          <w:tcPr>
            <w:tcW w:w="1263" w:type="dxa"/>
            <w:vAlign w:val="center"/>
          </w:tcPr>
          <w:p w14:paraId="544D966E">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color w:val="000000" w:themeColor="text1"/>
                <w:sz w:val="28"/>
                <w:szCs w:val="28"/>
                <w:highlight w:val="none"/>
                <w14:textFill>
                  <w14:solidFill>
                    <w14:schemeClr w14:val="tx1"/>
                  </w14:solidFill>
                </w14:textFill>
              </w:rPr>
              <w:t>5kg/桶</w:t>
            </w:r>
          </w:p>
        </w:tc>
        <w:tc>
          <w:tcPr>
            <w:tcW w:w="695" w:type="dxa"/>
            <w:vAlign w:val="center"/>
          </w:tcPr>
          <w:p w14:paraId="3AB12ADC">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color w:val="000000" w:themeColor="text1"/>
                <w:sz w:val="28"/>
                <w:szCs w:val="28"/>
                <w:highlight w:val="none"/>
                <w14:textFill>
                  <w14:solidFill>
                    <w14:schemeClr w14:val="tx1"/>
                  </w14:solidFill>
                </w14:textFill>
              </w:rPr>
              <w:t>kg</w:t>
            </w:r>
          </w:p>
        </w:tc>
        <w:tc>
          <w:tcPr>
            <w:tcW w:w="914" w:type="dxa"/>
            <w:vAlign w:val="center"/>
          </w:tcPr>
          <w:p w14:paraId="65AED6F3">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color w:val="000000" w:themeColor="text1"/>
                <w:kern w:val="0"/>
                <w:sz w:val="28"/>
                <w:szCs w:val="28"/>
                <w:highlight w:val="none"/>
                <w:lang w:bidi="ar"/>
                <w14:textFill>
                  <w14:solidFill>
                    <w14:schemeClr w14:val="tx1"/>
                  </w14:solidFill>
                </w14:textFill>
              </w:rPr>
              <w:t>750</w:t>
            </w:r>
          </w:p>
        </w:tc>
        <w:tc>
          <w:tcPr>
            <w:tcW w:w="784" w:type="dxa"/>
            <w:vAlign w:val="center"/>
          </w:tcPr>
          <w:p w14:paraId="7A7A0773">
            <w:pPr>
              <w:widowControl/>
              <w:spacing w:line="580" w:lineRule="exact"/>
              <w:jc w:val="center"/>
              <w:textAlignment w:val="center"/>
              <w:rPr>
                <w:rFonts w:hint="eastAsia" w:ascii="仿宋" w:hAnsi="仿宋" w:eastAsia="仿宋" w:cs="仿宋"/>
                <w:sz w:val="28"/>
                <w:szCs w:val="28"/>
              </w:rPr>
            </w:pPr>
          </w:p>
        </w:tc>
        <w:tc>
          <w:tcPr>
            <w:tcW w:w="1028" w:type="dxa"/>
            <w:vAlign w:val="center"/>
          </w:tcPr>
          <w:p w14:paraId="58FFA91A">
            <w:pPr>
              <w:widowControl/>
              <w:spacing w:line="580" w:lineRule="exact"/>
              <w:jc w:val="center"/>
              <w:textAlignment w:val="center"/>
              <w:rPr>
                <w:rFonts w:hint="eastAsia" w:ascii="仿宋" w:hAnsi="仿宋" w:eastAsia="仿宋" w:cs="仿宋"/>
                <w:sz w:val="28"/>
                <w:szCs w:val="28"/>
              </w:rPr>
            </w:pPr>
          </w:p>
        </w:tc>
      </w:tr>
      <w:tr w14:paraId="3D76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26288278">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color w:val="000000" w:themeColor="text1"/>
                <w:kern w:val="0"/>
                <w:sz w:val="28"/>
                <w:szCs w:val="28"/>
                <w:highlight w:val="none"/>
                <w:lang w:bidi="ar"/>
                <w14:textFill>
                  <w14:solidFill>
                    <w14:schemeClr w14:val="tx1"/>
                  </w14:solidFill>
                </w14:textFill>
              </w:rPr>
              <w:t>2</w:t>
            </w:r>
          </w:p>
        </w:tc>
        <w:tc>
          <w:tcPr>
            <w:tcW w:w="742" w:type="dxa"/>
            <w:vAlign w:val="center"/>
          </w:tcPr>
          <w:p w14:paraId="202389C7">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color w:val="000000" w:themeColor="text1"/>
                <w:kern w:val="0"/>
                <w:sz w:val="28"/>
                <w:szCs w:val="28"/>
                <w:highlight w:val="none"/>
                <w:lang w:bidi="ar"/>
                <w14:textFill>
                  <w14:solidFill>
                    <w14:schemeClr w14:val="tx1"/>
                  </w14:solidFill>
                </w14:textFill>
              </w:rPr>
              <w:t>灭蚊蝇蟑</w:t>
            </w:r>
          </w:p>
        </w:tc>
        <w:tc>
          <w:tcPr>
            <w:tcW w:w="758" w:type="dxa"/>
            <w:vAlign w:val="center"/>
          </w:tcPr>
          <w:p w14:paraId="04CC29AF">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olor w:val="000000" w:themeColor="text1"/>
                <w:sz w:val="28"/>
                <w:szCs w:val="28"/>
                <w:highlight w:val="none"/>
                <w14:textFill>
                  <w14:solidFill>
                    <w14:schemeClr w14:val="tx1"/>
                  </w14:solidFill>
                </w14:textFill>
              </w:rPr>
              <w:t>乳油</w:t>
            </w:r>
          </w:p>
        </w:tc>
        <w:tc>
          <w:tcPr>
            <w:tcW w:w="2140" w:type="dxa"/>
            <w:vAlign w:val="center"/>
          </w:tcPr>
          <w:p w14:paraId="66E7732E">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olor w:val="000000" w:themeColor="text1"/>
                <w:sz w:val="28"/>
                <w:szCs w:val="28"/>
                <w:highlight w:val="none"/>
                <w14:textFill>
                  <w14:solidFill>
                    <w14:schemeClr w14:val="tx1"/>
                  </w14:solidFill>
                </w14:textFill>
              </w:rPr>
              <w:t>10%顺式残杀威</w:t>
            </w:r>
          </w:p>
        </w:tc>
        <w:tc>
          <w:tcPr>
            <w:tcW w:w="1263" w:type="dxa"/>
            <w:vAlign w:val="center"/>
          </w:tcPr>
          <w:p w14:paraId="4055E0D6">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color w:val="000000" w:themeColor="text1"/>
                <w:kern w:val="0"/>
                <w:sz w:val="28"/>
                <w:szCs w:val="28"/>
                <w:highlight w:val="none"/>
                <w:lang w:bidi="ar"/>
                <w14:textFill>
                  <w14:solidFill>
                    <w14:schemeClr w14:val="tx1"/>
                  </w14:solidFill>
                </w14:textFill>
              </w:rPr>
              <w:t>500ml/瓶</w:t>
            </w:r>
          </w:p>
        </w:tc>
        <w:tc>
          <w:tcPr>
            <w:tcW w:w="695" w:type="dxa"/>
            <w:vAlign w:val="center"/>
          </w:tcPr>
          <w:p w14:paraId="69937ED0">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color w:val="000000" w:themeColor="text1"/>
                <w:sz w:val="28"/>
                <w:szCs w:val="28"/>
                <w:highlight w:val="none"/>
                <w14:textFill>
                  <w14:solidFill>
                    <w14:schemeClr w14:val="tx1"/>
                  </w14:solidFill>
                </w14:textFill>
              </w:rPr>
              <w:t>瓶</w:t>
            </w:r>
          </w:p>
        </w:tc>
        <w:tc>
          <w:tcPr>
            <w:tcW w:w="914" w:type="dxa"/>
            <w:vAlign w:val="center"/>
          </w:tcPr>
          <w:p w14:paraId="15581CC3">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color w:val="000000" w:themeColor="text1"/>
                <w:kern w:val="0"/>
                <w:sz w:val="28"/>
                <w:szCs w:val="28"/>
                <w:highlight w:val="none"/>
                <w:lang w:bidi="ar"/>
                <w14:textFill>
                  <w14:solidFill>
                    <w14:schemeClr w14:val="tx1"/>
                  </w14:solidFill>
                </w14:textFill>
              </w:rPr>
              <w:t>2300</w:t>
            </w:r>
          </w:p>
        </w:tc>
        <w:tc>
          <w:tcPr>
            <w:tcW w:w="784" w:type="dxa"/>
            <w:vAlign w:val="center"/>
          </w:tcPr>
          <w:p w14:paraId="78AA9302">
            <w:pPr>
              <w:widowControl/>
              <w:spacing w:line="580" w:lineRule="exact"/>
              <w:jc w:val="center"/>
              <w:textAlignment w:val="center"/>
              <w:rPr>
                <w:rFonts w:hint="eastAsia" w:ascii="仿宋" w:hAnsi="仿宋" w:eastAsia="仿宋" w:cs="仿宋"/>
                <w:sz w:val="28"/>
                <w:szCs w:val="28"/>
              </w:rPr>
            </w:pPr>
          </w:p>
        </w:tc>
        <w:tc>
          <w:tcPr>
            <w:tcW w:w="1028" w:type="dxa"/>
            <w:vAlign w:val="center"/>
          </w:tcPr>
          <w:p w14:paraId="7332EEFD">
            <w:pPr>
              <w:widowControl/>
              <w:spacing w:line="580" w:lineRule="exact"/>
              <w:jc w:val="center"/>
              <w:textAlignment w:val="center"/>
              <w:rPr>
                <w:rFonts w:hint="eastAsia" w:ascii="仿宋" w:hAnsi="仿宋" w:eastAsia="仿宋" w:cs="仿宋"/>
                <w:sz w:val="28"/>
                <w:szCs w:val="28"/>
              </w:rPr>
            </w:pPr>
          </w:p>
        </w:tc>
      </w:tr>
      <w:tr w14:paraId="049C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330F01B4">
            <w:pPr>
              <w:widowControl/>
              <w:spacing w:line="58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color w:val="000000" w:themeColor="text1"/>
                <w:kern w:val="0"/>
                <w:sz w:val="28"/>
                <w:szCs w:val="28"/>
                <w:highlight w:val="none"/>
                <w:lang w:bidi="ar"/>
                <w14:textFill>
                  <w14:solidFill>
                    <w14:schemeClr w14:val="tx1"/>
                  </w14:solidFill>
                </w14:textFill>
              </w:rPr>
              <w:t>3</w:t>
            </w:r>
          </w:p>
        </w:tc>
        <w:tc>
          <w:tcPr>
            <w:tcW w:w="742" w:type="dxa"/>
            <w:vAlign w:val="center"/>
          </w:tcPr>
          <w:p w14:paraId="61C12BA8">
            <w:pPr>
              <w:widowControl/>
              <w:spacing w:line="58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灭蚊蚴</w:t>
            </w:r>
          </w:p>
        </w:tc>
        <w:tc>
          <w:tcPr>
            <w:tcW w:w="758" w:type="dxa"/>
            <w:vAlign w:val="center"/>
          </w:tcPr>
          <w:p w14:paraId="4AB4C0FE">
            <w:pPr>
              <w:widowControl/>
              <w:spacing w:line="58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color w:val="000000" w:themeColor="text1"/>
                <w:sz w:val="28"/>
                <w:szCs w:val="28"/>
                <w:highlight w:val="none"/>
                <w:lang w:eastAsia="zh-CN"/>
                <w14:textFill>
                  <w14:solidFill>
                    <w14:schemeClr w14:val="tx1"/>
                  </w14:solidFill>
                </w14:textFill>
              </w:rPr>
              <w:t>液体</w:t>
            </w:r>
          </w:p>
        </w:tc>
        <w:tc>
          <w:tcPr>
            <w:tcW w:w="2140" w:type="dxa"/>
            <w:vAlign w:val="center"/>
          </w:tcPr>
          <w:p w14:paraId="135CBEDF">
            <w:pPr>
              <w:widowControl/>
              <w:spacing w:line="580" w:lineRule="exact"/>
              <w:jc w:val="center"/>
              <w:textAlignment w:val="center"/>
              <w:rPr>
                <w:rFonts w:hint="eastAsia" w:ascii="仿宋" w:hAnsi="仿宋" w:eastAsia="仿宋" w:cs="仿宋"/>
                <w:kern w:val="0"/>
                <w:sz w:val="28"/>
                <w:szCs w:val="28"/>
                <w:lang w:bidi="ar"/>
              </w:rPr>
            </w:pPr>
            <w:r>
              <w:rPr>
                <w:rFonts w:hint="eastAsia" w:ascii="仿宋" w:hAnsi="仿宋" w:eastAsia="仿宋"/>
                <w:color w:val="000000" w:themeColor="text1"/>
                <w:sz w:val="28"/>
                <w:szCs w:val="28"/>
                <w:highlight w:val="none"/>
                <w14:textFill>
                  <w14:solidFill>
                    <w14:schemeClr w14:val="tx1"/>
                  </w14:solidFill>
                </w14:textFill>
              </w:rPr>
              <w:t>球形芽孢杆菌</w:t>
            </w:r>
          </w:p>
        </w:tc>
        <w:tc>
          <w:tcPr>
            <w:tcW w:w="1263" w:type="dxa"/>
            <w:vAlign w:val="center"/>
          </w:tcPr>
          <w:p w14:paraId="68132862">
            <w:pPr>
              <w:widowControl/>
              <w:spacing w:line="58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color w:val="000000" w:themeColor="text1"/>
                <w:sz w:val="28"/>
                <w:szCs w:val="28"/>
                <w:highlight w:val="none"/>
                <w14:textFill>
                  <w14:solidFill>
                    <w14:schemeClr w14:val="tx1"/>
                  </w14:solidFill>
                </w14:textFill>
              </w:rPr>
              <w:t>5kg/桶</w:t>
            </w:r>
          </w:p>
        </w:tc>
        <w:tc>
          <w:tcPr>
            <w:tcW w:w="695" w:type="dxa"/>
            <w:vAlign w:val="center"/>
          </w:tcPr>
          <w:p w14:paraId="42011A5B">
            <w:pPr>
              <w:widowControl/>
              <w:spacing w:line="58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color w:val="000000" w:themeColor="text1"/>
                <w:sz w:val="28"/>
                <w:szCs w:val="28"/>
                <w:highlight w:val="none"/>
                <w14:textFill>
                  <w14:solidFill>
                    <w14:schemeClr w14:val="tx1"/>
                  </w14:solidFill>
                </w14:textFill>
              </w:rPr>
              <w:t>kg</w:t>
            </w:r>
          </w:p>
        </w:tc>
        <w:tc>
          <w:tcPr>
            <w:tcW w:w="914" w:type="dxa"/>
            <w:vAlign w:val="center"/>
          </w:tcPr>
          <w:p w14:paraId="3F5CFE55">
            <w:pPr>
              <w:widowControl/>
              <w:spacing w:line="58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color w:val="000000" w:themeColor="text1"/>
                <w:kern w:val="0"/>
                <w:sz w:val="28"/>
                <w:szCs w:val="28"/>
                <w:highlight w:val="none"/>
                <w:lang w:bidi="ar"/>
                <w14:textFill>
                  <w14:solidFill>
                    <w14:schemeClr w14:val="tx1"/>
                  </w14:solidFill>
                </w14:textFill>
              </w:rPr>
              <w:t>750</w:t>
            </w:r>
          </w:p>
        </w:tc>
        <w:tc>
          <w:tcPr>
            <w:tcW w:w="784" w:type="dxa"/>
            <w:vAlign w:val="center"/>
          </w:tcPr>
          <w:p w14:paraId="6D95E495">
            <w:pPr>
              <w:widowControl/>
              <w:spacing w:line="580" w:lineRule="exact"/>
              <w:jc w:val="center"/>
              <w:textAlignment w:val="center"/>
              <w:rPr>
                <w:rFonts w:hint="eastAsia" w:ascii="仿宋" w:hAnsi="仿宋" w:eastAsia="仿宋" w:cs="仿宋"/>
                <w:sz w:val="28"/>
                <w:szCs w:val="28"/>
              </w:rPr>
            </w:pPr>
          </w:p>
        </w:tc>
        <w:tc>
          <w:tcPr>
            <w:tcW w:w="1028" w:type="dxa"/>
            <w:vAlign w:val="center"/>
          </w:tcPr>
          <w:p w14:paraId="2A6F22F0">
            <w:pPr>
              <w:widowControl/>
              <w:spacing w:line="580" w:lineRule="exact"/>
              <w:jc w:val="center"/>
              <w:textAlignment w:val="center"/>
              <w:rPr>
                <w:rFonts w:hint="eastAsia" w:ascii="仿宋" w:hAnsi="仿宋" w:eastAsia="仿宋" w:cs="仿宋"/>
                <w:sz w:val="28"/>
                <w:szCs w:val="28"/>
              </w:rPr>
            </w:pPr>
          </w:p>
        </w:tc>
      </w:tr>
      <w:tr w14:paraId="7127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675ACF54">
            <w:pPr>
              <w:widowControl/>
              <w:spacing w:line="58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color w:val="000000" w:themeColor="text1"/>
                <w:kern w:val="0"/>
                <w:sz w:val="28"/>
                <w:szCs w:val="28"/>
                <w:highlight w:val="none"/>
                <w:lang w:bidi="ar"/>
                <w14:textFill>
                  <w14:solidFill>
                    <w14:schemeClr w14:val="tx1"/>
                  </w14:solidFill>
                </w14:textFill>
              </w:rPr>
              <w:t>4</w:t>
            </w:r>
          </w:p>
        </w:tc>
        <w:tc>
          <w:tcPr>
            <w:tcW w:w="742" w:type="dxa"/>
            <w:vAlign w:val="center"/>
          </w:tcPr>
          <w:p w14:paraId="3F7BC31C">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color w:val="000000" w:themeColor="text1"/>
                <w:kern w:val="0"/>
                <w:sz w:val="28"/>
                <w:szCs w:val="28"/>
                <w:highlight w:val="none"/>
                <w:lang w:bidi="ar"/>
                <w14:textFill>
                  <w14:solidFill>
                    <w14:schemeClr w14:val="tx1"/>
                  </w14:solidFill>
                </w14:textFill>
              </w:rPr>
              <w:t>灭  蟑</w:t>
            </w:r>
          </w:p>
        </w:tc>
        <w:tc>
          <w:tcPr>
            <w:tcW w:w="758" w:type="dxa"/>
            <w:vAlign w:val="center"/>
          </w:tcPr>
          <w:p w14:paraId="3C4461CC">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color w:val="000000" w:themeColor="text1"/>
                <w:kern w:val="0"/>
                <w:sz w:val="28"/>
                <w:szCs w:val="28"/>
                <w:highlight w:val="none"/>
                <w:lang w:bidi="ar"/>
                <w14:textFill>
                  <w14:solidFill>
                    <w14:schemeClr w14:val="tx1"/>
                  </w14:solidFill>
                </w14:textFill>
              </w:rPr>
              <w:t>粉剂</w:t>
            </w:r>
          </w:p>
        </w:tc>
        <w:tc>
          <w:tcPr>
            <w:tcW w:w="2140" w:type="dxa"/>
            <w:vAlign w:val="center"/>
          </w:tcPr>
          <w:p w14:paraId="34EFAE93">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color w:val="000000" w:themeColor="text1"/>
                <w:kern w:val="0"/>
                <w:sz w:val="28"/>
                <w:szCs w:val="28"/>
                <w:highlight w:val="none"/>
                <w:lang w:bidi="ar"/>
                <w14:textFill>
                  <w14:solidFill>
                    <w14:schemeClr w14:val="tx1"/>
                  </w14:solidFill>
                </w14:textFill>
              </w:rPr>
              <w:t>0.6%高效氯氰菊酯</w:t>
            </w:r>
          </w:p>
        </w:tc>
        <w:tc>
          <w:tcPr>
            <w:tcW w:w="1263" w:type="dxa"/>
            <w:vAlign w:val="center"/>
          </w:tcPr>
          <w:p w14:paraId="503267F3">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color w:val="000000" w:themeColor="text1"/>
                <w:kern w:val="0"/>
                <w:sz w:val="28"/>
                <w:szCs w:val="28"/>
                <w:highlight w:val="none"/>
                <w:lang w:bidi="ar"/>
                <w14:textFill>
                  <w14:solidFill>
                    <w14:schemeClr w14:val="tx1"/>
                  </w14:solidFill>
                </w14:textFill>
              </w:rPr>
              <w:t>60克/瓶</w:t>
            </w:r>
          </w:p>
        </w:tc>
        <w:tc>
          <w:tcPr>
            <w:tcW w:w="695" w:type="dxa"/>
            <w:vAlign w:val="center"/>
          </w:tcPr>
          <w:p w14:paraId="66D795E1">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color w:val="000000" w:themeColor="text1"/>
                <w:kern w:val="0"/>
                <w:sz w:val="28"/>
                <w:szCs w:val="28"/>
                <w:highlight w:val="none"/>
                <w:lang w:bidi="ar"/>
                <w14:textFill>
                  <w14:solidFill>
                    <w14:schemeClr w14:val="tx1"/>
                  </w14:solidFill>
                </w14:textFill>
              </w:rPr>
              <w:t>瓶</w:t>
            </w:r>
          </w:p>
        </w:tc>
        <w:tc>
          <w:tcPr>
            <w:tcW w:w="914" w:type="dxa"/>
            <w:vAlign w:val="center"/>
          </w:tcPr>
          <w:p w14:paraId="2C314EA8">
            <w:pPr>
              <w:widowControl/>
              <w:spacing w:line="580" w:lineRule="exact"/>
              <w:jc w:val="center"/>
              <w:textAlignment w:val="center"/>
              <w:rPr>
                <w:rFonts w:hint="eastAsia" w:ascii="仿宋" w:hAnsi="仿宋" w:eastAsia="仿宋" w:cs="仿宋"/>
                <w:sz w:val="28"/>
                <w:szCs w:val="28"/>
              </w:rPr>
            </w:pPr>
            <w:r>
              <w:rPr>
                <w:rFonts w:hint="eastAsia" w:ascii="仿宋" w:hAnsi="仿宋" w:eastAsia="仿宋" w:cs="仿宋"/>
                <w:color w:val="000000" w:themeColor="text1"/>
                <w:kern w:val="0"/>
                <w:sz w:val="28"/>
                <w:szCs w:val="28"/>
                <w:highlight w:val="none"/>
                <w:lang w:bidi="ar"/>
                <w14:textFill>
                  <w14:solidFill>
                    <w14:schemeClr w14:val="tx1"/>
                  </w14:solidFill>
                </w14:textFill>
              </w:rPr>
              <w:t>3000</w:t>
            </w:r>
          </w:p>
        </w:tc>
        <w:tc>
          <w:tcPr>
            <w:tcW w:w="784" w:type="dxa"/>
            <w:vAlign w:val="center"/>
          </w:tcPr>
          <w:p w14:paraId="3D040414">
            <w:pPr>
              <w:widowControl/>
              <w:spacing w:line="580" w:lineRule="exact"/>
              <w:jc w:val="center"/>
              <w:textAlignment w:val="center"/>
              <w:rPr>
                <w:rFonts w:hint="eastAsia" w:ascii="仿宋" w:hAnsi="仿宋" w:eastAsia="仿宋" w:cs="仿宋"/>
                <w:sz w:val="28"/>
                <w:szCs w:val="28"/>
              </w:rPr>
            </w:pPr>
          </w:p>
        </w:tc>
        <w:tc>
          <w:tcPr>
            <w:tcW w:w="1028" w:type="dxa"/>
            <w:vAlign w:val="center"/>
          </w:tcPr>
          <w:p w14:paraId="61C69AF5">
            <w:pPr>
              <w:widowControl/>
              <w:spacing w:line="580" w:lineRule="exact"/>
              <w:jc w:val="center"/>
              <w:textAlignment w:val="center"/>
              <w:rPr>
                <w:rFonts w:hint="eastAsia" w:ascii="仿宋" w:hAnsi="仿宋" w:eastAsia="仿宋" w:cs="仿宋"/>
                <w:sz w:val="28"/>
                <w:szCs w:val="28"/>
              </w:rPr>
            </w:pPr>
          </w:p>
        </w:tc>
      </w:tr>
      <w:tr w14:paraId="3561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9" w:type="dxa"/>
            <w:gridSpan w:val="9"/>
          </w:tcPr>
          <w:p w14:paraId="074198B7">
            <w:pPr>
              <w:pStyle w:val="6"/>
              <w:snapToGrid w:val="0"/>
              <w:spacing w:before="120" w:after="120" w:line="580" w:lineRule="exact"/>
              <w:rPr>
                <w:rFonts w:ascii="仿宋" w:hAnsi="仿宋" w:eastAsia="仿宋" w:cs="仿宋"/>
                <w:sz w:val="28"/>
                <w:szCs w:val="28"/>
              </w:rPr>
            </w:pPr>
            <w:r>
              <w:rPr>
                <w:rFonts w:ascii="仿宋" w:hAnsi="仿宋" w:eastAsia="仿宋" w:cs="仿宋"/>
                <w:b/>
                <w:bCs/>
                <w:color w:val="000000"/>
                <w:kern w:val="0"/>
                <w:sz w:val="28"/>
                <w:szCs w:val="28"/>
                <w:lang w:bidi="ar"/>
              </w:rPr>
              <w:t>合计总价（人民币大写）：               ￥：</w:t>
            </w:r>
          </w:p>
        </w:tc>
      </w:tr>
    </w:tbl>
    <w:p w14:paraId="7C440337">
      <w:pPr>
        <w:pStyle w:val="6"/>
        <w:snapToGrid w:val="0"/>
        <w:spacing w:before="120" w:after="120" w:line="580" w:lineRule="exact"/>
        <w:ind w:firstLine="562" w:firstLineChars="200"/>
        <w:rPr>
          <w:rFonts w:ascii="仿宋" w:hAnsi="仿宋" w:eastAsia="仿宋" w:cs="仿宋"/>
          <w:b/>
          <w:bCs/>
          <w:sz w:val="28"/>
          <w:szCs w:val="28"/>
        </w:rPr>
      </w:pPr>
      <w:r>
        <w:rPr>
          <w:rFonts w:ascii="仿宋" w:hAnsi="仿宋" w:eastAsia="仿宋" w:cs="仿宋"/>
          <w:b/>
          <w:bCs/>
          <w:sz w:val="28"/>
          <w:szCs w:val="28"/>
        </w:rPr>
        <w:t xml:space="preserve">第三条   </w:t>
      </w:r>
      <w:r>
        <w:rPr>
          <w:rFonts w:hint="eastAsia" w:ascii="仿宋" w:hAnsi="仿宋" w:eastAsia="仿宋" w:cs="仿宋"/>
          <w:b/>
          <w:bCs/>
          <w:sz w:val="28"/>
          <w:szCs w:val="28"/>
          <w:lang w:eastAsia="zh-CN"/>
        </w:rPr>
        <w:t>药物有效</w:t>
      </w:r>
      <w:r>
        <w:rPr>
          <w:rFonts w:ascii="仿宋" w:hAnsi="仿宋" w:eastAsia="仿宋" w:cs="仿宋"/>
          <w:b/>
          <w:bCs/>
          <w:sz w:val="28"/>
          <w:szCs w:val="28"/>
        </w:rPr>
        <w:t>期内的技术支持与售后服务</w:t>
      </w:r>
    </w:p>
    <w:p w14:paraId="2AC6F7CF">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1.所提供</w:t>
      </w:r>
      <w:r>
        <w:rPr>
          <w:rFonts w:hint="eastAsia" w:ascii="仿宋" w:hAnsi="仿宋" w:eastAsia="仿宋" w:cs="仿宋"/>
          <w:sz w:val="28"/>
          <w:szCs w:val="28"/>
          <w:lang w:eastAsia="zh-CN"/>
        </w:rPr>
        <w:t>药物</w:t>
      </w:r>
      <w:r>
        <w:rPr>
          <w:rFonts w:ascii="仿宋" w:hAnsi="仿宋" w:eastAsia="仿宋" w:cs="仿宋"/>
          <w:sz w:val="28"/>
          <w:szCs w:val="28"/>
        </w:rPr>
        <w:t>的出厂时间距发货日不得超过6个月(进口产品除外)，</w:t>
      </w:r>
      <w:r>
        <w:rPr>
          <w:rFonts w:hint="eastAsia" w:ascii="仿宋" w:hAnsi="仿宋" w:eastAsia="仿宋" w:cs="仿宋"/>
          <w:sz w:val="28"/>
          <w:szCs w:val="28"/>
          <w:lang w:eastAsia="zh-CN"/>
        </w:rPr>
        <w:t>有效</w:t>
      </w:r>
      <w:r>
        <w:rPr>
          <w:rFonts w:ascii="仿宋" w:hAnsi="仿宋" w:eastAsia="仿宋" w:cs="仿宋"/>
          <w:sz w:val="28"/>
          <w:szCs w:val="28"/>
        </w:rPr>
        <w:t>期确保交货后至少1年以上。</w:t>
      </w:r>
    </w:p>
    <w:p w14:paraId="3063CAB5">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2.乙方针对本项目指定______作为售后联系人，联系电话:__________负责协调产品销售以及售后问题。</w:t>
      </w:r>
    </w:p>
    <w:p w14:paraId="28380F14">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3.在</w:t>
      </w:r>
      <w:r>
        <w:rPr>
          <w:rFonts w:hint="eastAsia" w:ascii="仿宋" w:hAnsi="仿宋" w:eastAsia="仿宋" w:cs="仿宋"/>
          <w:sz w:val="28"/>
          <w:szCs w:val="28"/>
          <w:lang w:eastAsia="zh-CN"/>
        </w:rPr>
        <w:t>药物有效</w:t>
      </w:r>
      <w:r>
        <w:rPr>
          <w:rFonts w:ascii="仿宋" w:hAnsi="仿宋" w:eastAsia="仿宋" w:cs="仿宋"/>
          <w:sz w:val="28"/>
          <w:szCs w:val="28"/>
        </w:rPr>
        <w:t>期内，因乙方所供产品质量出现问题时，乙方在接甲方通知后，2小时内响应，在 12小时内赶到甲方现场,24小时内解决,并赔偿甲方因此造成的直接损失。而因甲方使用不当原因出现问题时，乙方在接甲方通知后，应在上述条款中所述的时限内赶到甲方现场，帮助解决问题，酌情收取费用。</w:t>
      </w:r>
    </w:p>
    <w:p w14:paraId="63C4CBB1">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4.在</w:t>
      </w:r>
      <w:r>
        <w:rPr>
          <w:rFonts w:hint="eastAsia" w:ascii="仿宋" w:hAnsi="仿宋" w:eastAsia="仿宋" w:cs="仿宋"/>
          <w:sz w:val="28"/>
          <w:szCs w:val="28"/>
          <w:lang w:eastAsia="zh-CN"/>
        </w:rPr>
        <w:t>药物有效</w:t>
      </w:r>
      <w:r>
        <w:rPr>
          <w:rFonts w:ascii="仿宋" w:hAnsi="仿宋" w:eastAsia="仿宋" w:cs="仿宋"/>
          <w:sz w:val="28"/>
          <w:szCs w:val="28"/>
        </w:rPr>
        <w:t>期内,未能在规定时间内解决问题需赔偿甲方因此造成的直接损失和间接损失。</w:t>
      </w:r>
    </w:p>
    <w:p w14:paraId="348B9903">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5.提供的产品若有问题，应主动召回并承担由此引起的所有损失。</w:t>
      </w:r>
    </w:p>
    <w:p w14:paraId="16F60EAF">
      <w:pPr>
        <w:pStyle w:val="6"/>
        <w:snapToGrid w:val="0"/>
        <w:spacing w:before="120" w:after="120" w:line="580" w:lineRule="exact"/>
        <w:ind w:firstLine="562" w:firstLineChars="200"/>
        <w:rPr>
          <w:rFonts w:ascii="仿宋" w:hAnsi="仿宋" w:eastAsia="仿宋" w:cs="仿宋"/>
          <w:b/>
          <w:bCs/>
          <w:sz w:val="28"/>
          <w:szCs w:val="28"/>
        </w:rPr>
      </w:pPr>
      <w:r>
        <w:rPr>
          <w:rFonts w:ascii="仿宋" w:hAnsi="仿宋" w:eastAsia="仿宋" w:cs="仿宋"/>
          <w:b/>
          <w:bCs/>
          <w:sz w:val="28"/>
          <w:szCs w:val="28"/>
        </w:rPr>
        <w:t>第四条 交货和验收</w:t>
      </w:r>
    </w:p>
    <w:p w14:paraId="4B5231AD">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1、乙方应在合同签订后根据甲方规定的时间、数量和地点交付货物，交货地点:南通市通州区卫生健康委员会指定地点。</w:t>
      </w:r>
    </w:p>
    <w:p w14:paraId="0F790D61">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2、乙方交付的货物应当完全符合本合同所规定的货物、数量和规格要求且符合国家、地方或者行业的各种标准规范要求(如标准规范不一致的，概以要求最为严格的为准)。乙方提供的货物不符合合同规定的，甲方有权拒收货物,由此引起的风险，由乙方承担。</w:t>
      </w:r>
    </w:p>
    <w:p w14:paraId="3CA78E4F">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3、甲方应当在到货后五日内对货物进行验收，验收包括:型号、规格、数量、外观质量及货物包装是否完好、是否合格。验收合格后甲方应在验收记录上签字盖章。</w:t>
      </w:r>
    </w:p>
    <w:p w14:paraId="2D1F62CF">
      <w:pPr>
        <w:pStyle w:val="6"/>
        <w:snapToGrid w:val="0"/>
        <w:spacing w:before="120" w:after="120" w:line="580" w:lineRule="exact"/>
        <w:ind w:firstLine="562" w:firstLineChars="200"/>
        <w:rPr>
          <w:rFonts w:ascii="仿宋" w:hAnsi="仿宋" w:eastAsia="仿宋" w:cs="仿宋"/>
          <w:b/>
          <w:bCs/>
          <w:sz w:val="28"/>
          <w:szCs w:val="28"/>
        </w:rPr>
      </w:pPr>
      <w:r>
        <w:rPr>
          <w:rFonts w:ascii="仿宋" w:hAnsi="仿宋" w:eastAsia="仿宋" w:cs="仿宋"/>
          <w:b/>
          <w:bCs/>
          <w:sz w:val="28"/>
          <w:szCs w:val="28"/>
        </w:rPr>
        <w:t>第五条 货款支付</w:t>
      </w:r>
    </w:p>
    <w:p w14:paraId="215FF663">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合同签订后,采购人收到第一批货物和增值税发票后的30天内支付50%合同价款计人民币_</w:t>
      </w:r>
      <w:bookmarkStart w:id="8" w:name="OLE_LINK14"/>
      <w:r>
        <w:rPr>
          <w:rFonts w:ascii="仿宋" w:hAnsi="仿宋" w:eastAsia="仿宋" w:cs="仿宋"/>
          <w:sz w:val="28"/>
          <w:szCs w:val="28"/>
        </w:rPr>
        <w:t>___________(￥__________元)</w:t>
      </w:r>
      <w:bookmarkEnd w:id="8"/>
      <w:r>
        <w:rPr>
          <w:rFonts w:ascii="仿宋" w:hAnsi="仿宋" w:eastAsia="仿宋" w:cs="仿宋"/>
          <w:sz w:val="28"/>
          <w:szCs w:val="28"/>
        </w:rPr>
        <w:t>给中标供应商，待采购人收到全部货物后30天内支付剩余50%的合同价款计人民币____________(￥__________元)给中标供应商。</w:t>
      </w:r>
    </w:p>
    <w:p w14:paraId="74E319A9">
      <w:pPr>
        <w:pStyle w:val="6"/>
        <w:snapToGrid w:val="0"/>
        <w:spacing w:before="120" w:after="120" w:line="580" w:lineRule="exact"/>
        <w:ind w:firstLine="562" w:firstLineChars="200"/>
        <w:rPr>
          <w:rFonts w:ascii="仿宋" w:hAnsi="仿宋" w:eastAsia="仿宋" w:cs="仿宋"/>
          <w:b/>
          <w:bCs/>
          <w:sz w:val="28"/>
          <w:szCs w:val="28"/>
        </w:rPr>
      </w:pPr>
      <w:r>
        <w:rPr>
          <w:rFonts w:ascii="仿宋" w:hAnsi="仿宋" w:eastAsia="仿宋" w:cs="仿宋"/>
          <w:b/>
          <w:bCs/>
          <w:sz w:val="28"/>
          <w:szCs w:val="28"/>
        </w:rPr>
        <w:t>第六条 违约责任</w:t>
      </w:r>
    </w:p>
    <w:p w14:paraId="353637A7">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1、甲方无正当理由拒收货物的，由甲方向乙方偿付拒收货物部分总价的5%违约金。</w:t>
      </w:r>
    </w:p>
    <w:p w14:paraId="5BA40EAC">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2、甲方未按合同规定的期限向乙方支付货款的，经乙方书面催告后，甲方无正当理由在15个工作日内仍未支付的，则按照一年期贷款市场报价利率标准向乙方支付逾期付款利息。</w:t>
      </w:r>
    </w:p>
    <w:p w14:paraId="673CCB12">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3、如乙方不能交付货物，或不按甲方要求方式、时间、地点交付的，乙方应向甲方支付合同总价5%的违约金，承担违约责任。</w:t>
      </w:r>
    </w:p>
    <w:p w14:paraId="238FF953">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4、乙方逾期交付货物的，每逾期1天，乙方向甲方支付逾期交货部分货款总额的5%</w:t>
      </w:r>
      <w:r>
        <w:rPr>
          <w:rFonts w:ascii="仿宋" w:hAnsi="仿宋" w:eastAsia="仿宋" w:cs="仿宋"/>
          <w:sz w:val="28"/>
          <w:szCs w:val="28"/>
          <w:vertAlign w:val="subscript"/>
        </w:rPr>
        <w:t>0</w:t>
      </w:r>
      <w:r>
        <w:rPr>
          <w:rFonts w:ascii="仿宋" w:hAnsi="仿宋" w:eastAsia="仿宋" w:cs="仿宋"/>
          <w:sz w:val="28"/>
          <w:szCs w:val="28"/>
        </w:rPr>
        <w:t>的滞纳金。如乙方逾期交货达10天，甲方有权解除合同，解除合同的通知自到达乙方时生效。</w:t>
      </w:r>
    </w:p>
    <w:p w14:paraId="0A0AF92E">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5.乙方所交付的货物品种、规格、数量等不符合合同约定的，甲方有权拒收，甲方拒收的，乙方应向甲方支付拒收部分货款总额的5%的违约金作为处罚。</w:t>
      </w:r>
    </w:p>
    <w:p w14:paraId="68C71580">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6.在乙方承诺的或</w:t>
      </w:r>
      <w:r>
        <w:rPr>
          <w:rFonts w:hint="eastAsia" w:ascii="仿宋" w:hAnsi="仿宋" w:eastAsia="仿宋" w:cs="仿宋"/>
          <w:sz w:val="28"/>
          <w:szCs w:val="28"/>
          <w:lang w:eastAsia="zh-CN"/>
        </w:rPr>
        <w:t>药物</w:t>
      </w:r>
      <w:r>
        <w:rPr>
          <w:rFonts w:ascii="仿宋" w:hAnsi="仿宋" w:eastAsia="仿宋" w:cs="仿宋"/>
          <w:sz w:val="28"/>
          <w:szCs w:val="28"/>
        </w:rPr>
        <w:t>规定的</w:t>
      </w:r>
      <w:r>
        <w:rPr>
          <w:rFonts w:hint="eastAsia" w:ascii="仿宋" w:hAnsi="仿宋" w:eastAsia="仿宋" w:cs="仿宋"/>
          <w:sz w:val="28"/>
          <w:szCs w:val="28"/>
          <w:lang w:eastAsia="zh-CN"/>
        </w:rPr>
        <w:t>有效</w:t>
      </w:r>
      <w:r>
        <w:rPr>
          <w:rFonts w:ascii="仿宋" w:hAnsi="仿宋" w:eastAsia="仿宋" w:cs="仿宋"/>
          <w:sz w:val="28"/>
          <w:szCs w:val="28"/>
        </w:rPr>
        <w:t>期内（取两者中最长的期限），如经乙方两次更换，货物仍不能达到合同约定的</w:t>
      </w:r>
      <w:r>
        <w:rPr>
          <w:rFonts w:hint="eastAsia" w:ascii="仿宋" w:hAnsi="仿宋" w:eastAsia="仿宋" w:cs="仿宋"/>
          <w:sz w:val="28"/>
          <w:szCs w:val="28"/>
          <w:lang w:eastAsia="zh-CN"/>
        </w:rPr>
        <w:t>要求</w:t>
      </w:r>
      <w:r>
        <w:rPr>
          <w:rFonts w:ascii="仿宋" w:hAnsi="仿宋" w:eastAsia="仿宋" w:cs="仿宋"/>
          <w:sz w:val="28"/>
          <w:szCs w:val="28"/>
        </w:rPr>
        <w:t>标准，甲方有权退货，乙方应退回全部货款，并按第3款处理，同时，乙方还须赔偿甲方因此遭受的全部损失。</w:t>
      </w:r>
    </w:p>
    <w:p w14:paraId="46B1F368">
      <w:pPr>
        <w:pStyle w:val="6"/>
        <w:snapToGrid w:val="0"/>
        <w:spacing w:before="120" w:after="120" w:line="580" w:lineRule="exact"/>
        <w:ind w:firstLine="562" w:firstLineChars="200"/>
        <w:rPr>
          <w:rFonts w:ascii="仿宋" w:hAnsi="仿宋" w:eastAsia="仿宋" w:cs="仿宋"/>
          <w:b/>
          <w:bCs/>
          <w:sz w:val="28"/>
          <w:szCs w:val="28"/>
        </w:rPr>
      </w:pPr>
      <w:r>
        <w:rPr>
          <w:rFonts w:ascii="仿宋" w:hAnsi="仿宋" w:eastAsia="仿宋" w:cs="仿宋"/>
          <w:b/>
          <w:bCs/>
          <w:sz w:val="28"/>
          <w:szCs w:val="28"/>
        </w:rPr>
        <w:t>第七条  合同的变更和终止</w:t>
      </w:r>
    </w:p>
    <w:p w14:paraId="00832899">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除《政府采购法》第 49 条、第 50 条第二款规定的情形外，本合同一经签订,甲乙双方不得擅自变更、中止或终止合同。</w:t>
      </w:r>
    </w:p>
    <w:p w14:paraId="28F50285">
      <w:pPr>
        <w:pStyle w:val="6"/>
        <w:snapToGrid w:val="0"/>
        <w:spacing w:before="120" w:after="120" w:line="580" w:lineRule="exact"/>
        <w:ind w:firstLine="562" w:firstLineChars="200"/>
        <w:rPr>
          <w:rFonts w:ascii="仿宋" w:hAnsi="仿宋" w:eastAsia="仿宋" w:cs="仿宋"/>
          <w:b/>
          <w:bCs/>
          <w:sz w:val="28"/>
          <w:szCs w:val="28"/>
        </w:rPr>
      </w:pPr>
      <w:r>
        <w:rPr>
          <w:rFonts w:ascii="仿宋" w:hAnsi="仿宋" w:eastAsia="仿宋" w:cs="仿宋"/>
          <w:b/>
          <w:bCs/>
          <w:sz w:val="28"/>
          <w:szCs w:val="28"/>
        </w:rPr>
        <w:t>第八条  合同的转让</w:t>
      </w:r>
    </w:p>
    <w:p w14:paraId="6103F4E4">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乙方不得擅自部分或全部转让其应履行的合同义务及其在本合同项下的各项权利。</w:t>
      </w:r>
    </w:p>
    <w:p w14:paraId="29F99050">
      <w:pPr>
        <w:pStyle w:val="6"/>
        <w:snapToGrid w:val="0"/>
        <w:spacing w:before="120" w:after="120" w:line="580" w:lineRule="exact"/>
        <w:ind w:firstLine="562" w:firstLineChars="200"/>
        <w:rPr>
          <w:rFonts w:ascii="仿宋" w:hAnsi="仿宋" w:eastAsia="仿宋" w:cs="仿宋"/>
          <w:b/>
          <w:bCs/>
          <w:sz w:val="28"/>
          <w:szCs w:val="28"/>
        </w:rPr>
      </w:pPr>
      <w:r>
        <w:rPr>
          <w:rFonts w:ascii="仿宋" w:hAnsi="仿宋" w:eastAsia="仿宋" w:cs="仿宋"/>
          <w:b/>
          <w:bCs/>
          <w:sz w:val="28"/>
          <w:szCs w:val="28"/>
        </w:rPr>
        <w:t>第九条  争议的解决</w:t>
      </w:r>
    </w:p>
    <w:p w14:paraId="7AB2BB91">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1、因货物的质量问题发生争议的，应当邀请国家认可的质量检测机构对货物质量进行鉴定。货物符合标准的，鉴定费由甲方承担:货物不符合质量标准的鉴定费由乙方承担、并更换有问题商品或部件。</w:t>
      </w:r>
    </w:p>
    <w:p w14:paraId="0EAE5FFF">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2、因履行本合同引起的或与本合同有关的争议，甲、乙双方应首先通过友好协商解决,如果协商不能解决争议,向相关仲裁委员会按其仲裁规则申请仲裁。</w:t>
      </w:r>
    </w:p>
    <w:p w14:paraId="735D2BC5">
      <w:pPr>
        <w:pStyle w:val="6"/>
        <w:snapToGrid w:val="0"/>
        <w:spacing w:before="120" w:after="120" w:line="580" w:lineRule="exact"/>
        <w:ind w:firstLine="562" w:firstLineChars="200"/>
        <w:rPr>
          <w:rFonts w:ascii="仿宋" w:hAnsi="仿宋" w:eastAsia="仿宋" w:cs="仿宋"/>
          <w:b/>
          <w:bCs/>
          <w:sz w:val="28"/>
          <w:szCs w:val="28"/>
        </w:rPr>
      </w:pPr>
      <w:r>
        <w:rPr>
          <w:rFonts w:ascii="仿宋" w:hAnsi="仿宋" w:eastAsia="仿宋" w:cs="仿宋"/>
          <w:b/>
          <w:bCs/>
          <w:sz w:val="28"/>
          <w:szCs w:val="28"/>
        </w:rPr>
        <w:t>第十条 履约保证金</w:t>
      </w:r>
    </w:p>
    <w:p w14:paraId="53CD7CA7">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①履约保证金形式：不可撤销、不可转让、无条件见索即付的独立保函。</w:t>
      </w:r>
    </w:p>
    <w:p w14:paraId="744EB78B">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②履约保证金的金额：为合同价的10%。</w:t>
      </w:r>
    </w:p>
    <w:p w14:paraId="466598D5">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中标单位在收到中标通知书后，须在30个日历天内向招标人足额提交履约保证金，否则视为放弃中标资格。</w:t>
      </w:r>
    </w:p>
    <w:p w14:paraId="67563BEA">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如使用保函的，保函担保有效期开具时间为合同约定期限（含</w:t>
      </w:r>
      <w:r>
        <w:rPr>
          <w:rFonts w:hint="eastAsia" w:ascii="仿宋" w:hAnsi="仿宋" w:eastAsia="仿宋" w:cs="仿宋"/>
          <w:sz w:val="28"/>
          <w:szCs w:val="28"/>
          <w:lang w:eastAsia="zh-CN"/>
        </w:rPr>
        <w:t>药物有效</w:t>
      </w:r>
      <w:r>
        <w:rPr>
          <w:rFonts w:ascii="仿宋" w:hAnsi="仿宋" w:eastAsia="仿宋" w:cs="仿宋"/>
          <w:sz w:val="28"/>
          <w:szCs w:val="28"/>
        </w:rPr>
        <w:t>期）基础延长6个月。</w:t>
      </w:r>
    </w:p>
    <w:p w14:paraId="7C1E5BA6">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③履约保证金的返还：合同乙方全部履约合同义务，经甲方验收合格无质量、进度等问题的且乙方无违约责任后，甲方在合同履行完成（含</w:t>
      </w:r>
      <w:r>
        <w:rPr>
          <w:rFonts w:hint="eastAsia" w:ascii="仿宋" w:hAnsi="仿宋" w:eastAsia="仿宋" w:cs="仿宋"/>
          <w:sz w:val="28"/>
          <w:szCs w:val="28"/>
          <w:lang w:eastAsia="zh-CN"/>
        </w:rPr>
        <w:t>药物有效</w:t>
      </w:r>
      <w:r>
        <w:rPr>
          <w:rFonts w:ascii="仿宋" w:hAnsi="仿宋" w:eastAsia="仿宋" w:cs="仿宋"/>
          <w:sz w:val="28"/>
          <w:szCs w:val="28"/>
        </w:rPr>
        <w:t>期）后无</w:t>
      </w:r>
      <w:r>
        <w:rPr>
          <w:rFonts w:hint="eastAsia" w:ascii="仿宋" w:hAnsi="仿宋" w:eastAsia="仿宋" w:cs="仿宋"/>
          <w:sz w:val="28"/>
          <w:szCs w:val="28"/>
          <w:lang w:eastAsia="zh-CN"/>
        </w:rPr>
        <w:t>任何</w:t>
      </w:r>
      <w:r>
        <w:rPr>
          <w:rFonts w:ascii="仿宋" w:hAnsi="仿宋" w:eastAsia="仿宋" w:cs="仿宋"/>
          <w:sz w:val="28"/>
          <w:szCs w:val="28"/>
        </w:rPr>
        <w:t>问题三个月内一次性退还履约保证金。</w:t>
      </w:r>
    </w:p>
    <w:p w14:paraId="0968514B">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④发生以下情况的，履约保证金不予退还或部分退还：</w:t>
      </w:r>
    </w:p>
    <w:p w14:paraId="316BB517">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a.签订合同后，成交投标人不履行合同义务的，采购单位有权全额扣除履约保证金，全额不予退还，同时采购单位亦有权终止合同，中标人还须承担相应的法律赔偿责任。</w:t>
      </w:r>
    </w:p>
    <w:p w14:paraId="01471CA7">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b.成交投标人在履约过程中发生违约行为，给采购单位造成损失的，采购单位有权在成交投标人缴纳的履约保证金中予以扣款，以弥补采购单位经济损失，不足的部分成交投标人另外补齐。</w:t>
      </w:r>
    </w:p>
    <w:p w14:paraId="2A9160B6">
      <w:pPr>
        <w:pStyle w:val="6"/>
        <w:snapToGrid w:val="0"/>
        <w:spacing w:before="120" w:after="120" w:line="580" w:lineRule="exact"/>
        <w:ind w:firstLine="562" w:firstLineChars="200"/>
        <w:rPr>
          <w:rFonts w:ascii="仿宋" w:hAnsi="仿宋" w:eastAsia="仿宋" w:cs="仿宋"/>
          <w:b/>
          <w:bCs/>
          <w:sz w:val="28"/>
          <w:szCs w:val="28"/>
        </w:rPr>
      </w:pPr>
      <w:r>
        <w:rPr>
          <w:rFonts w:ascii="仿宋" w:hAnsi="仿宋" w:eastAsia="仿宋" w:cs="仿宋"/>
          <w:b/>
          <w:bCs/>
          <w:sz w:val="28"/>
          <w:szCs w:val="28"/>
        </w:rPr>
        <w:t>第十一条 合同生效及其他</w:t>
      </w:r>
    </w:p>
    <w:p w14:paraId="7F7C7EB3">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1、本合同自签订之日起生效。</w:t>
      </w:r>
    </w:p>
    <w:p w14:paraId="5ED77D56">
      <w:pPr>
        <w:pStyle w:val="6"/>
        <w:snapToGrid w:val="0"/>
        <w:spacing w:before="120" w:after="120" w:line="580" w:lineRule="exact"/>
        <w:ind w:firstLine="560" w:firstLineChars="200"/>
        <w:rPr>
          <w:rFonts w:ascii="仿宋" w:hAnsi="仿宋" w:eastAsia="仿宋" w:cs="仿宋"/>
          <w:sz w:val="28"/>
          <w:szCs w:val="28"/>
        </w:rPr>
      </w:pPr>
      <w:r>
        <w:rPr>
          <w:rFonts w:ascii="仿宋" w:hAnsi="仿宋" w:eastAsia="仿宋" w:cs="仿宋"/>
          <w:sz w:val="28"/>
          <w:szCs w:val="28"/>
        </w:rPr>
        <w:t>2、本合同一式四份，甲方执三份，乙方执一份，均具同等效力。</w:t>
      </w:r>
    </w:p>
    <w:p w14:paraId="3601C43E">
      <w:pPr>
        <w:pStyle w:val="6"/>
        <w:snapToGrid w:val="0"/>
        <w:spacing w:before="120" w:after="120" w:line="580" w:lineRule="exact"/>
        <w:ind w:left="560" w:hanging="560" w:hangingChars="200"/>
        <w:rPr>
          <w:rFonts w:ascii="仿宋" w:hAnsi="仿宋" w:eastAsia="仿宋" w:cs="仿宋"/>
          <w:sz w:val="28"/>
          <w:szCs w:val="28"/>
        </w:rPr>
      </w:pPr>
      <w:r>
        <w:rPr>
          <w:rFonts w:ascii="仿宋" w:hAnsi="仿宋" w:eastAsia="仿宋" w:cs="仿宋"/>
          <w:sz w:val="28"/>
          <w:szCs w:val="28"/>
        </w:rPr>
        <w:t xml:space="preserve">  甲方（公章）：                          乙方（公章）： </w:t>
      </w:r>
    </w:p>
    <w:p w14:paraId="02383E61">
      <w:pPr>
        <w:pStyle w:val="6"/>
        <w:snapToGrid w:val="0"/>
        <w:spacing w:before="120" w:after="120" w:line="580" w:lineRule="exact"/>
        <w:rPr>
          <w:rFonts w:ascii="仿宋" w:hAnsi="仿宋" w:eastAsia="仿宋" w:cs="仿宋"/>
          <w:sz w:val="28"/>
          <w:szCs w:val="28"/>
        </w:rPr>
      </w:pPr>
      <w:r>
        <w:rPr>
          <w:rFonts w:ascii="仿宋" w:hAnsi="仿宋" w:eastAsia="仿宋" w:cs="仿宋"/>
          <w:sz w:val="28"/>
          <w:szCs w:val="28"/>
        </w:rPr>
        <w:t xml:space="preserve">  法定代表人：                            法定代表人：</w:t>
      </w:r>
    </w:p>
    <w:p w14:paraId="2C3BCA28">
      <w:pPr>
        <w:pStyle w:val="6"/>
        <w:snapToGrid w:val="0"/>
        <w:spacing w:before="120" w:after="120" w:line="580" w:lineRule="exact"/>
        <w:ind w:firstLine="280" w:firstLineChars="100"/>
        <w:rPr>
          <w:rFonts w:ascii="仿宋" w:hAnsi="仿宋" w:eastAsia="仿宋" w:cs="仿宋"/>
          <w:sz w:val="28"/>
          <w:szCs w:val="28"/>
        </w:rPr>
      </w:pPr>
      <w:r>
        <w:rPr>
          <w:rFonts w:ascii="仿宋" w:hAnsi="仿宋" w:eastAsia="仿宋" w:cs="仿宋"/>
          <w:sz w:val="28"/>
          <w:szCs w:val="28"/>
        </w:rPr>
        <w:t>或授权代表：                            或授权代表：</w:t>
      </w:r>
    </w:p>
    <w:p w14:paraId="08A96BCE">
      <w:pPr>
        <w:pStyle w:val="6"/>
        <w:snapToGrid w:val="0"/>
        <w:spacing w:before="120" w:after="120" w:line="580" w:lineRule="exact"/>
        <w:rPr>
          <w:rFonts w:ascii="仿宋" w:hAnsi="仿宋" w:eastAsia="仿宋" w:cs="仿宋"/>
          <w:sz w:val="28"/>
          <w:szCs w:val="28"/>
        </w:rPr>
      </w:pPr>
      <w:r>
        <w:rPr>
          <w:rFonts w:ascii="仿宋" w:hAnsi="仿宋" w:eastAsia="仿宋" w:cs="仿宋"/>
          <w:sz w:val="28"/>
          <w:szCs w:val="28"/>
        </w:rPr>
        <w:t xml:space="preserve">  联系电话：                               联系电话：</w:t>
      </w:r>
    </w:p>
    <w:p w14:paraId="08EEE94A">
      <w:pPr>
        <w:pStyle w:val="6"/>
        <w:snapToGrid w:val="0"/>
        <w:spacing w:before="120" w:after="120" w:line="580" w:lineRule="exact"/>
        <w:ind w:firstLine="140" w:firstLineChars="50"/>
        <w:rPr>
          <w:rFonts w:ascii="仿宋" w:hAnsi="仿宋" w:eastAsia="仿宋" w:cs="仿宋"/>
          <w:sz w:val="28"/>
          <w:szCs w:val="28"/>
        </w:rPr>
      </w:pPr>
      <w:r>
        <w:rPr>
          <w:rFonts w:ascii="仿宋" w:hAnsi="仿宋" w:eastAsia="仿宋" w:cs="仿宋"/>
          <w:sz w:val="28"/>
          <w:szCs w:val="28"/>
        </w:rPr>
        <w:t xml:space="preserve"> </w:t>
      </w:r>
    </w:p>
    <w:p w14:paraId="021518D6">
      <w:pPr>
        <w:pStyle w:val="6"/>
        <w:snapToGrid w:val="0"/>
        <w:spacing w:before="120" w:after="120" w:line="580" w:lineRule="exact"/>
        <w:ind w:firstLine="4200" w:firstLineChars="1500"/>
        <w:rPr>
          <w:rFonts w:ascii="仿宋" w:hAnsi="仿宋" w:eastAsia="仿宋" w:cs="仿宋"/>
          <w:sz w:val="28"/>
          <w:szCs w:val="28"/>
        </w:rPr>
      </w:pPr>
      <w:r>
        <w:rPr>
          <w:rFonts w:ascii="仿宋" w:hAnsi="仿宋" w:eastAsia="仿宋" w:cs="仿宋"/>
          <w:sz w:val="28"/>
          <w:szCs w:val="28"/>
        </w:rPr>
        <w:t>签订日期：      年  月  日</w:t>
      </w:r>
    </w:p>
    <w:p w14:paraId="4C1319A0">
      <w:pPr>
        <w:adjustRightInd w:val="0"/>
        <w:snapToGrid w:val="0"/>
        <w:spacing w:line="580" w:lineRule="exact"/>
        <w:rPr>
          <w:rFonts w:hint="eastAsia" w:ascii="仿宋" w:hAnsi="仿宋" w:eastAsia="仿宋" w:cs="仿宋"/>
          <w:b/>
          <w:sz w:val="28"/>
          <w:szCs w:val="28"/>
        </w:rPr>
      </w:pPr>
      <w:r>
        <w:rPr>
          <w:rFonts w:hint="eastAsia" w:ascii="仿宋" w:hAnsi="仿宋" w:eastAsia="仿宋" w:cs="仿宋"/>
          <w:bCs/>
          <w:sz w:val="28"/>
          <w:szCs w:val="28"/>
        </w:rPr>
        <w:br w:type="page"/>
      </w:r>
    </w:p>
    <w:p w14:paraId="610B4773">
      <w:pPr>
        <w:adjustRightInd w:val="0"/>
        <w:snapToGrid w:val="0"/>
        <w:spacing w:line="580" w:lineRule="exact"/>
        <w:rPr>
          <w:rFonts w:hint="eastAsia" w:ascii="仿宋" w:hAnsi="仿宋" w:eastAsia="仿宋" w:cs="仿宋"/>
          <w:b/>
          <w:sz w:val="28"/>
          <w:szCs w:val="28"/>
        </w:rPr>
      </w:pPr>
      <w:r>
        <w:rPr>
          <w:rFonts w:hint="eastAsia" w:ascii="仿宋" w:hAnsi="仿宋" w:eastAsia="仿宋" w:cs="仿宋"/>
          <w:b/>
          <w:sz w:val="28"/>
          <w:szCs w:val="28"/>
        </w:rPr>
        <w:t>附件：</w:t>
      </w:r>
    </w:p>
    <w:p w14:paraId="0C4A5A1A">
      <w:pPr>
        <w:pStyle w:val="3"/>
        <w:spacing w:line="580" w:lineRule="exact"/>
        <w:jc w:val="center"/>
        <w:rPr>
          <w:rFonts w:hint="eastAsia" w:ascii="仿宋" w:hAnsi="仿宋" w:eastAsia="仿宋" w:cs="仿宋"/>
          <w:sz w:val="28"/>
          <w:szCs w:val="28"/>
        </w:rPr>
      </w:pPr>
      <w:r>
        <w:rPr>
          <w:rFonts w:hint="eastAsia" w:ascii="仿宋" w:hAnsi="仿宋" w:eastAsia="仿宋" w:cs="仿宋"/>
          <w:sz w:val="28"/>
          <w:szCs w:val="28"/>
        </w:rPr>
        <w:t>一、公开招标采购声明函</w:t>
      </w:r>
    </w:p>
    <w:p w14:paraId="72BE08F4">
      <w:pPr>
        <w:widowControl/>
        <w:spacing w:line="580" w:lineRule="exact"/>
        <w:rPr>
          <w:rFonts w:hint="eastAsia" w:ascii="仿宋" w:hAnsi="仿宋" w:eastAsia="仿宋" w:cs="仿宋"/>
          <w:sz w:val="28"/>
          <w:szCs w:val="28"/>
          <w:u w:val="single"/>
        </w:rPr>
      </w:pPr>
      <w:r>
        <w:rPr>
          <w:rFonts w:hint="eastAsia" w:ascii="仿宋" w:hAnsi="仿宋" w:eastAsia="仿宋" w:cs="仿宋"/>
          <w:color w:val="FF0000"/>
          <w:sz w:val="28"/>
          <w:szCs w:val="28"/>
          <w:u w:val="single"/>
        </w:rPr>
        <w:t>采购人名称</w:t>
      </w:r>
      <w:r>
        <w:rPr>
          <w:rFonts w:hint="eastAsia" w:ascii="仿宋" w:hAnsi="仿宋" w:eastAsia="仿宋" w:cs="仿宋"/>
          <w:sz w:val="28"/>
          <w:szCs w:val="28"/>
          <w:u w:val="single"/>
        </w:rPr>
        <w:t>：</w:t>
      </w:r>
    </w:p>
    <w:p w14:paraId="4EB1B9C1">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依据贵单位</w:t>
      </w:r>
      <w:r>
        <w:rPr>
          <w:rFonts w:hint="eastAsia" w:ascii="仿宋" w:hAnsi="仿宋" w:eastAsia="仿宋" w:cs="仿宋"/>
          <w:kern w:val="0"/>
          <w:sz w:val="28"/>
          <w:szCs w:val="28"/>
          <w:u w:val="single"/>
        </w:rPr>
        <w:t>（项目名称）</w:t>
      </w:r>
      <w:r>
        <w:rPr>
          <w:rFonts w:hint="eastAsia" w:ascii="仿宋" w:hAnsi="仿宋" w:eastAsia="仿宋" w:cs="仿宋"/>
          <w:sz w:val="28"/>
          <w:szCs w:val="28"/>
        </w:rPr>
        <w:t>公开招标采购文件，我方授权</w:t>
      </w:r>
      <w:r>
        <w:rPr>
          <w:rFonts w:hint="eastAsia" w:ascii="仿宋" w:hAnsi="仿宋" w:eastAsia="仿宋" w:cs="仿宋"/>
          <w:sz w:val="28"/>
          <w:szCs w:val="28"/>
          <w:u w:val="single"/>
        </w:rPr>
        <w:t>（姓名）（职务）</w:t>
      </w:r>
      <w:r>
        <w:rPr>
          <w:rFonts w:hint="eastAsia" w:ascii="仿宋" w:hAnsi="仿宋" w:eastAsia="仿宋" w:cs="仿宋"/>
          <w:sz w:val="28"/>
          <w:szCs w:val="28"/>
        </w:rPr>
        <w:t>为全权代表参加该项目的公开招标采购，全权处理本次采购的有关事宜。同时，我公司声明如下：</w:t>
      </w:r>
    </w:p>
    <w:p w14:paraId="465FB4D6">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1、我单位经研究公开招标采购文件后，我方愿意以总价</w:t>
      </w:r>
      <w:r>
        <w:rPr>
          <w:rFonts w:hint="eastAsia" w:ascii="仿宋" w:hAnsi="仿宋" w:eastAsia="仿宋" w:cs="仿宋"/>
          <w:sz w:val="28"/>
          <w:szCs w:val="28"/>
          <w:u w:val="single"/>
        </w:rPr>
        <w:t xml:space="preserve">         </w:t>
      </w:r>
      <w:r>
        <w:rPr>
          <w:rFonts w:hint="eastAsia" w:ascii="仿宋" w:hAnsi="仿宋" w:eastAsia="仿宋" w:cs="仿宋"/>
          <w:sz w:val="28"/>
          <w:szCs w:val="28"/>
        </w:rPr>
        <w:t>元承担本项目内所有内容。</w:t>
      </w:r>
    </w:p>
    <w:p w14:paraId="2A39E7BB">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2、同意并接受公开招标采购文件的各项要求，遵守公开招标采购文件中的各项规定，按公开招标采购文件的要求提供报价。</w:t>
      </w:r>
    </w:p>
    <w:p w14:paraId="353A4ED8">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3、我公司已经详细阅读了全部公开招标采购文件及其附件，我方已完全清晰理解公开招标采购文件的要求，不存在任何含糊不清和误解之处，同意放弃对这些文件所提出的异议和质疑的权利。</w:t>
      </w:r>
    </w:p>
    <w:p w14:paraId="1B0322F3">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4、我公司已毫无保留地向贵方提供一切所需的证明材料。</w:t>
      </w:r>
    </w:p>
    <w:p w14:paraId="496C4E6A">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5、我公司承诺在本次公开招标采购响应中提供的一切文件，无论是原件还是复印件均真实有效，绝无任何虚假、伪造和夸大的成份。否则，愿承担相应的后果和法律责任。</w:t>
      </w:r>
    </w:p>
    <w:p w14:paraId="26C2D0BF">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6、一旦我方中标，我方将根据公开招标采购文件的要求和公开招标采购响应文件的承诺签订合同，严格履行合同的责任和义务，并保证在采购文件规定的时间完成任务，交付采购人合格成果。</w:t>
      </w:r>
    </w:p>
    <w:p w14:paraId="4055CACD">
      <w:pPr>
        <w:spacing w:line="580" w:lineRule="exact"/>
        <w:ind w:firstLine="2240" w:firstLineChars="800"/>
        <w:rPr>
          <w:rFonts w:hint="eastAsia" w:ascii="仿宋" w:hAnsi="仿宋" w:eastAsia="仿宋" w:cs="仿宋"/>
          <w:sz w:val="28"/>
          <w:szCs w:val="28"/>
        </w:rPr>
      </w:pPr>
      <w:r>
        <w:rPr>
          <w:rFonts w:hint="eastAsia" w:ascii="仿宋" w:hAnsi="仿宋" w:eastAsia="仿宋" w:cs="仿宋"/>
          <w:sz w:val="28"/>
          <w:szCs w:val="28"/>
        </w:rPr>
        <w:t>供应商：（加盖公章）</w:t>
      </w:r>
    </w:p>
    <w:p w14:paraId="0112D6A6">
      <w:pPr>
        <w:spacing w:line="580" w:lineRule="exact"/>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法定代表人或其授权人：（签字或盖章）</w:t>
      </w:r>
    </w:p>
    <w:p w14:paraId="477BA30C">
      <w:pPr>
        <w:spacing w:line="580" w:lineRule="exact"/>
        <w:ind w:firstLine="5880" w:firstLineChars="2100"/>
        <w:rPr>
          <w:rFonts w:hint="eastAsia" w:ascii="仿宋" w:hAnsi="仿宋" w:eastAsia="仿宋" w:cs="仿宋"/>
          <w:sz w:val="28"/>
          <w:szCs w:val="28"/>
        </w:rPr>
        <w:sectPr>
          <w:pgSz w:w="11906" w:h="16838"/>
          <w:pgMar w:top="1418" w:right="1588" w:bottom="1418" w:left="1365" w:header="851" w:footer="907" w:gutter="0"/>
          <w:cols w:space="720" w:num="1"/>
          <w:titlePg/>
          <w:docGrid w:type="lines" w:linePitch="290" w:charSpace="0"/>
        </w:sectPr>
      </w:pPr>
      <w:r>
        <w:rPr>
          <w:rFonts w:hint="eastAsia" w:ascii="仿宋" w:hAnsi="仿宋" w:eastAsia="仿宋" w:cs="仿宋"/>
          <w:sz w:val="28"/>
          <w:szCs w:val="28"/>
        </w:rPr>
        <w:t>年   月   日</w:t>
      </w:r>
    </w:p>
    <w:p w14:paraId="0A459BB2">
      <w:pPr>
        <w:pStyle w:val="14"/>
        <w:spacing w:line="580" w:lineRule="exact"/>
        <w:rPr>
          <w:rFonts w:hint="eastAsia" w:ascii="仿宋" w:hAnsi="仿宋" w:eastAsia="仿宋" w:cs="仿宋"/>
          <w:szCs w:val="28"/>
        </w:rPr>
      </w:pPr>
    </w:p>
    <w:p w14:paraId="678916CB">
      <w:pPr>
        <w:spacing w:line="580" w:lineRule="exact"/>
        <w:jc w:val="center"/>
        <w:rPr>
          <w:rFonts w:hint="eastAsia" w:ascii="仿宋" w:hAnsi="仿宋" w:eastAsia="仿宋" w:cs="仿宋"/>
          <w:b/>
          <w:sz w:val="28"/>
          <w:szCs w:val="28"/>
        </w:rPr>
      </w:pPr>
      <w:r>
        <w:rPr>
          <w:rFonts w:hint="eastAsia" w:ascii="仿宋" w:hAnsi="仿宋" w:eastAsia="仿宋" w:cs="仿宋"/>
          <w:b/>
          <w:sz w:val="28"/>
          <w:szCs w:val="28"/>
        </w:rPr>
        <w:t>二、法定代表人身份证明</w:t>
      </w:r>
    </w:p>
    <w:p w14:paraId="1D18E838">
      <w:pPr>
        <w:spacing w:line="580" w:lineRule="exact"/>
        <w:jc w:val="center"/>
        <w:rPr>
          <w:rFonts w:hint="eastAsia" w:ascii="仿宋" w:hAnsi="仿宋" w:eastAsia="仿宋" w:cs="仿宋"/>
          <w:sz w:val="28"/>
          <w:szCs w:val="28"/>
        </w:rPr>
      </w:pPr>
      <w:r>
        <w:rPr>
          <w:rFonts w:hint="eastAsia" w:ascii="仿宋" w:hAnsi="仿宋" w:eastAsia="仿宋" w:cs="仿宋"/>
          <w:sz w:val="28"/>
          <w:szCs w:val="28"/>
        </w:rPr>
        <w:t>（法定代表人参加公开招标采购，须出示此证明）</w:t>
      </w:r>
    </w:p>
    <w:p w14:paraId="55DB7137">
      <w:pPr>
        <w:spacing w:line="580" w:lineRule="exact"/>
        <w:rPr>
          <w:rFonts w:hint="eastAsia" w:ascii="仿宋" w:hAnsi="仿宋" w:eastAsia="仿宋" w:cs="仿宋"/>
          <w:sz w:val="28"/>
          <w:szCs w:val="28"/>
          <w:u w:val="single"/>
        </w:rPr>
      </w:pPr>
      <w:r>
        <w:rPr>
          <w:rFonts w:hint="eastAsia" w:ascii="仿宋" w:hAnsi="仿宋" w:eastAsia="仿宋" w:cs="仿宋"/>
          <w:color w:val="FF0000"/>
          <w:sz w:val="28"/>
          <w:szCs w:val="28"/>
          <w:u w:val="single"/>
        </w:rPr>
        <w:t>采购人名称</w:t>
      </w:r>
      <w:r>
        <w:rPr>
          <w:rFonts w:hint="eastAsia" w:ascii="仿宋" w:hAnsi="仿宋" w:eastAsia="仿宋" w:cs="仿宋"/>
          <w:sz w:val="28"/>
          <w:szCs w:val="28"/>
          <w:u w:val="single"/>
        </w:rPr>
        <w:t>：</w:t>
      </w:r>
    </w:p>
    <w:p w14:paraId="3D2D7438">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我公司法定代表人参加贵单位组织的（采购项目名称及项目编号）项目公开招标采购活动，全权代表我公司处理响应的有关事宜。</w:t>
      </w:r>
    </w:p>
    <w:p w14:paraId="28F7ECF9">
      <w:pPr>
        <w:spacing w:line="580" w:lineRule="exact"/>
        <w:rPr>
          <w:rFonts w:hint="eastAsia" w:ascii="仿宋" w:hAnsi="仿宋" w:eastAsia="仿宋" w:cs="仿宋"/>
          <w:sz w:val="28"/>
          <w:szCs w:val="28"/>
        </w:rPr>
      </w:pPr>
      <w:r>
        <w:rPr>
          <w:rFonts w:hint="eastAsia" w:ascii="仿宋" w:hAnsi="仿宋" w:eastAsia="仿宋" w:cs="仿宋"/>
          <w:sz w:val="28"/>
          <w:szCs w:val="28"/>
        </w:rPr>
        <w:t>附：法定代表人情况：</w:t>
      </w:r>
    </w:p>
    <w:p w14:paraId="0F2F9807">
      <w:pPr>
        <w:spacing w:line="580" w:lineRule="exact"/>
        <w:rPr>
          <w:rFonts w:hint="eastAsia" w:ascii="仿宋" w:hAnsi="仿宋" w:eastAsia="仿宋" w:cs="仿宋"/>
          <w:sz w:val="28"/>
          <w:szCs w:val="28"/>
        </w:rPr>
      </w:pPr>
      <w:r>
        <w:rPr>
          <w:rFonts w:hint="eastAsia" w:ascii="仿宋" w:hAnsi="仿宋" w:eastAsia="仿宋" w:cs="仿宋"/>
          <w:sz w:val="28"/>
          <w:szCs w:val="28"/>
        </w:rPr>
        <w:t>姓名：         性别：        年龄：       职务：</w:t>
      </w:r>
    </w:p>
    <w:p w14:paraId="328F37DE">
      <w:pPr>
        <w:spacing w:line="580" w:lineRule="exact"/>
        <w:rPr>
          <w:rFonts w:hint="eastAsia" w:ascii="仿宋" w:hAnsi="仿宋" w:eastAsia="仿宋" w:cs="仿宋"/>
          <w:sz w:val="28"/>
          <w:szCs w:val="28"/>
        </w:rPr>
      </w:pPr>
      <w:r>
        <w:rPr>
          <w:rFonts w:hint="eastAsia" w:ascii="仿宋" w:hAnsi="仿宋" w:eastAsia="仿宋" w:cs="仿宋"/>
          <w:sz w:val="28"/>
          <w:szCs w:val="28"/>
        </w:rPr>
        <w:t xml:space="preserve">身份证号码：                 手机：   </w:t>
      </w:r>
    </w:p>
    <w:p w14:paraId="6294726B">
      <w:pPr>
        <w:spacing w:line="580" w:lineRule="exact"/>
        <w:ind w:right="1120"/>
        <w:rPr>
          <w:rFonts w:hint="eastAsia" w:ascii="仿宋" w:hAnsi="仿宋" w:eastAsia="仿宋" w:cs="仿宋"/>
          <w:sz w:val="28"/>
          <w:szCs w:val="28"/>
        </w:rPr>
      </w:pPr>
    </w:p>
    <w:p w14:paraId="65B3F8A5">
      <w:pPr>
        <w:spacing w:line="580" w:lineRule="exact"/>
        <w:ind w:right="1120"/>
        <w:rPr>
          <w:rFonts w:hint="eastAsia" w:ascii="仿宋" w:hAnsi="仿宋" w:eastAsia="仿宋" w:cs="仿宋"/>
          <w:sz w:val="28"/>
          <w:szCs w:val="28"/>
        </w:rPr>
      </w:pPr>
      <w:r>
        <w:rPr>
          <w:rFonts w:hint="eastAsia" w:ascii="仿宋" w:hAnsi="仿宋" w:eastAsia="仿宋" w:cs="仿宋"/>
          <w:sz w:val="28"/>
          <w:szCs w:val="28"/>
        </w:rPr>
        <w:t>单位名称（公章）            法定代表人（签字或盖章）</w:t>
      </w:r>
    </w:p>
    <w:p w14:paraId="327EA0A0">
      <w:pPr>
        <w:spacing w:line="580" w:lineRule="exact"/>
        <w:ind w:right="1120"/>
        <w:rPr>
          <w:rFonts w:hint="eastAsia" w:ascii="仿宋" w:hAnsi="仿宋" w:eastAsia="仿宋" w:cs="仿宋"/>
          <w:sz w:val="28"/>
          <w:szCs w:val="28"/>
        </w:rPr>
      </w:pPr>
      <w:r>
        <w:rPr>
          <w:rFonts w:hint="eastAsia" w:ascii="仿宋" w:hAnsi="仿宋" w:eastAsia="仿宋" w:cs="仿宋"/>
          <w:sz w:val="28"/>
          <w:szCs w:val="28"/>
        </w:rPr>
        <w:t xml:space="preserve">年   月   日                 年   月    日  </w:t>
      </w:r>
    </w:p>
    <w:p w14:paraId="4705F930">
      <w:pPr>
        <w:spacing w:line="580" w:lineRule="exact"/>
        <w:ind w:firstLine="1400" w:firstLineChars="500"/>
        <w:rPr>
          <w:rFonts w:hint="eastAsia" w:ascii="仿宋" w:hAnsi="仿宋" w:eastAsia="仿宋" w:cs="仿宋"/>
          <w:sz w:val="28"/>
          <w:szCs w:val="28"/>
        </w:rPr>
      </w:pPr>
    </w:p>
    <w:p w14:paraId="4FAED670">
      <w:pPr>
        <w:spacing w:line="580" w:lineRule="exact"/>
        <w:rPr>
          <w:rFonts w:hint="eastAsia" w:ascii="仿宋" w:hAnsi="仿宋" w:eastAsia="仿宋" w:cs="仿宋"/>
          <w:sz w:val="28"/>
          <w:szCs w:val="28"/>
        </w:rPr>
      </w:pPr>
      <w:r>
        <w:rPr>
          <w:rFonts w:hint="eastAsia" w:ascii="仿宋" w:hAnsi="仿宋" w:eastAsia="仿宋" w:cs="仿宋"/>
          <w:sz w:val="28"/>
          <w:szCs w:val="28"/>
        </w:rPr>
        <w:t>法定代表人身份证复印件：</w:t>
      </w:r>
    </w:p>
    <w:p w14:paraId="3803267B">
      <w:pPr>
        <w:spacing w:line="580" w:lineRule="exact"/>
        <w:ind w:firstLine="2660" w:firstLineChars="950"/>
        <w:rPr>
          <w:rFonts w:hint="eastAsia" w:ascii="仿宋" w:hAnsi="仿宋" w:eastAsia="仿宋" w:cs="仿宋"/>
          <w:sz w:val="28"/>
          <w:szCs w:val="28"/>
        </w:rPr>
      </w:pPr>
      <w:r>
        <w:rPr>
          <w:rFonts w:hint="eastAsia" w:ascii="仿宋" w:hAnsi="仿宋" w:eastAsia="仿宋" w:cs="仿宋"/>
          <w:sz w:val="28"/>
          <w:szCs w:val="28"/>
        </w:rPr>
        <w:t>（粘贴此处）</w:t>
      </w:r>
    </w:p>
    <w:p w14:paraId="6EE63A28">
      <w:pPr>
        <w:pStyle w:val="14"/>
        <w:spacing w:line="580" w:lineRule="exact"/>
        <w:rPr>
          <w:rFonts w:hint="eastAsia" w:ascii="仿宋" w:hAnsi="仿宋" w:eastAsia="仿宋" w:cs="仿宋"/>
          <w:szCs w:val="28"/>
        </w:rPr>
      </w:pPr>
    </w:p>
    <w:p w14:paraId="339B1CF9">
      <w:pPr>
        <w:spacing w:line="580" w:lineRule="exact"/>
        <w:jc w:val="center"/>
        <w:rPr>
          <w:rFonts w:hint="eastAsia" w:ascii="仿宋" w:hAnsi="仿宋" w:eastAsia="仿宋" w:cs="仿宋"/>
          <w:b/>
          <w:bCs/>
          <w:sz w:val="28"/>
          <w:szCs w:val="28"/>
        </w:rPr>
      </w:pPr>
      <w:r>
        <w:rPr>
          <w:rFonts w:hint="eastAsia" w:ascii="仿宋" w:hAnsi="仿宋" w:eastAsia="仿宋" w:cs="仿宋"/>
          <w:sz w:val="28"/>
          <w:szCs w:val="28"/>
        </w:rPr>
        <w:br w:type="page"/>
      </w:r>
      <w:r>
        <w:rPr>
          <w:rFonts w:hint="eastAsia" w:ascii="仿宋" w:hAnsi="仿宋" w:eastAsia="仿宋" w:cs="仿宋"/>
          <w:b/>
          <w:bCs/>
          <w:sz w:val="28"/>
          <w:szCs w:val="28"/>
        </w:rPr>
        <w:t>三、授权委托书</w:t>
      </w:r>
    </w:p>
    <w:p w14:paraId="1CE24B2F">
      <w:pPr>
        <w:spacing w:line="580" w:lineRule="exact"/>
        <w:jc w:val="center"/>
        <w:rPr>
          <w:rFonts w:hint="eastAsia" w:ascii="仿宋" w:hAnsi="仿宋" w:eastAsia="仿宋" w:cs="仿宋"/>
          <w:sz w:val="28"/>
          <w:szCs w:val="28"/>
        </w:rPr>
      </w:pPr>
      <w:r>
        <w:rPr>
          <w:rFonts w:hint="eastAsia" w:ascii="仿宋" w:hAnsi="仿宋" w:eastAsia="仿宋" w:cs="仿宋"/>
          <w:sz w:val="28"/>
          <w:szCs w:val="28"/>
        </w:rPr>
        <w:t>（非法定代表人参加公开招标采购，须出示此证明）</w:t>
      </w:r>
    </w:p>
    <w:p w14:paraId="3CDA947D">
      <w:pPr>
        <w:snapToGrid w:val="0"/>
        <w:spacing w:line="580" w:lineRule="exact"/>
        <w:rPr>
          <w:rFonts w:hint="eastAsia" w:ascii="仿宋" w:hAnsi="仿宋" w:eastAsia="仿宋" w:cs="仿宋"/>
          <w:sz w:val="28"/>
          <w:szCs w:val="28"/>
          <w:u w:val="single"/>
        </w:rPr>
      </w:pPr>
      <w:r>
        <w:rPr>
          <w:rFonts w:hint="eastAsia" w:ascii="仿宋" w:hAnsi="仿宋" w:eastAsia="仿宋" w:cs="仿宋"/>
          <w:color w:val="FF0000"/>
          <w:sz w:val="28"/>
          <w:szCs w:val="28"/>
          <w:u w:val="single"/>
        </w:rPr>
        <w:t>采购人名称</w:t>
      </w:r>
      <w:r>
        <w:rPr>
          <w:rFonts w:hint="eastAsia" w:ascii="仿宋" w:hAnsi="仿宋" w:eastAsia="仿宋" w:cs="仿宋"/>
          <w:sz w:val="28"/>
          <w:szCs w:val="28"/>
          <w:u w:val="single"/>
        </w:rPr>
        <w:t>：</w:t>
      </w:r>
    </w:p>
    <w:p w14:paraId="27A46521">
      <w:pPr>
        <w:snapToGrid w:val="0"/>
        <w:spacing w:line="580" w:lineRule="exact"/>
        <w:rPr>
          <w:rFonts w:hint="eastAsia" w:ascii="仿宋" w:hAnsi="仿宋" w:eastAsia="仿宋" w:cs="仿宋"/>
          <w:sz w:val="28"/>
          <w:szCs w:val="28"/>
        </w:rPr>
      </w:pPr>
    </w:p>
    <w:p w14:paraId="3646E024">
      <w:pPr>
        <w:pStyle w:val="6"/>
        <w:adjustRightInd w:val="0"/>
        <w:snapToGrid w:val="0"/>
        <w:spacing w:line="580" w:lineRule="exact"/>
        <w:ind w:firstLine="560" w:firstLineChars="200"/>
        <w:rPr>
          <w:rFonts w:ascii="仿宋" w:hAnsi="仿宋" w:eastAsia="仿宋" w:cs="仿宋"/>
          <w:sz w:val="28"/>
          <w:szCs w:val="28"/>
        </w:rPr>
      </w:pPr>
      <w:r>
        <w:rPr>
          <w:rFonts w:ascii="仿宋" w:hAnsi="仿宋" w:eastAsia="仿宋" w:cs="仿宋"/>
          <w:sz w:val="28"/>
          <w:szCs w:val="28"/>
        </w:rPr>
        <w:t>兹授权</w:t>
      </w:r>
      <w:r>
        <w:rPr>
          <w:rFonts w:ascii="仿宋" w:hAnsi="仿宋" w:eastAsia="仿宋" w:cs="仿宋"/>
          <w:sz w:val="28"/>
          <w:szCs w:val="28"/>
          <w:u w:val="single"/>
        </w:rPr>
        <w:t xml:space="preserve">      </w:t>
      </w:r>
      <w:r>
        <w:rPr>
          <w:rFonts w:ascii="仿宋" w:hAnsi="仿宋" w:eastAsia="仿宋" w:cs="仿宋"/>
          <w:sz w:val="28"/>
          <w:szCs w:val="28"/>
        </w:rPr>
        <w:t>（被授权人的姓名）代表我公司参加（采购项目名称及项目编号）的采购活动，全权处理一切与该项目公开招标采购有关的事务。其在办理上述事宜过程中所签署的所有文件我公司均予以承认。</w:t>
      </w:r>
    </w:p>
    <w:p w14:paraId="1133B2AF">
      <w:pPr>
        <w:pStyle w:val="6"/>
        <w:adjustRightInd w:val="0"/>
        <w:snapToGrid w:val="0"/>
        <w:spacing w:line="580" w:lineRule="exact"/>
        <w:ind w:firstLine="560" w:firstLineChars="200"/>
        <w:rPr>
          <w:rFonts w:ascii="仿宋" w:hAnsi="仿宋" w:eastAsia="仿宋" w:cs="仿宋"/>
          <w:sz w:val="28"/>
          <w:szCs w:val="28"/>
        </w:rPr>
      </w:pPr>
      <w:r>
        <w:rPr>
          <w:rFonts w:ascii="仿宋" w:hAnsi="仿宋" w:eastAsia="仿宋" w:cs="仿宋"/>
          <w:sz w:val="28"/>
          <w:szCs w:val="28"/>
        </w:rPr>
        <w:t>被授权人无转委托权，特此委托。</w:t>
      </w:r>
    </w:p>
    <w:p w14:paraId="0E36A3EC">
      <w:pPr>
        <w:pStyle w:val="6"/>
        <w:adjustRightInd w:val="0"/>
        <w:snapToGrid w:val="0"/>
        <w:spacing w:line="580" w:lineRule="exact"/>
        <w:ind w:firstLine="560" w:firstLineChars="200"/>
        <w:rPr>
          <w:rFonts w:ascii="仿宋" w:hAnsi="仿宋" w:eastAsia="仿宋" w:cs="仿宋"/>
          <w:sz w:val="28"/>
          <w:szCs w:val="28"/>
        </w:rPr>
      </w:pPr>
    </w:p>
    <w:p w14:paraId="23EBCA9E">
      <w:pPr>
        <w:spacing w:line="580" w:lineRule="exact"/>
        <w:rPr>
          <w:rFonts w:hint="eastAsia" w:ascii="仿宋" w:hAnsi="仿宋" w:eastAsia="仿宋" w:cs="仿宋"/>
          <w:sz w:val="28"/>
          <w:szCs w:val="28"/>
        </w:rPr>
      </w:pPr>
      <w:r>
        <w:rPr>
          <w:rFonts w:hint="eastAsia" w:ascii="仿宋" w:hAnsi="仿宋" w:eastAsia="仿宋" w:cs="仿宋"/>
          <w:sz w:val="28"/>
          <w:szCs w:val="28"/>
        </w:rPr>
        <w:t>附：被授权人情况：</w:t>
      </w:r>
    </w:p>
    <w:p w14:paraId="13BD843A">
      <w:pPr>
        <w:spacing w:line="580" w:lineRule="exact"/>
        <w:rPr>
          <w:rFonts w:hint="eastAsia" w:ascii="仿宋" w:hAnsi="仿宋" w:eastAsia="仿宋" w:cs="仿宋"/>
          <w:sz w:val="28"/>
          <w:szCs w:val="28"/>
        </w:rPr>
      </w:pPr>
      <w:r>
        <w:rPr>
          <w:rFonts w:hint="eastAsia" w:ascii="仿宋" w:hAnsi="仿宋" w:eastAsia="仿宋" w:cs="仿宋"/>
          <w:sz w:val="28"/>
          <w:szCs w:val="28"/>
        </w:rPr>
        <w:t>姓名：         性别：        年龄：       职务：</w:t>
      </w:r>
    </w:p>
    <w:p w14:paraId="736D67A2">
      <w:pPr>
        <w:spacing w:line="580" w:lineRule="exact"/>
        <w:rPr>
          <w:rFonts w:hint="eastAsia" w:ascii="仿宋" w:hAnsi="仿宋" w:eastAsia="仿宋" w:cs="仿宋"/>
          <w:sz w:val="28"/>
          <w:szCs w:val="28"/>
        </w:rPr>
      </w:pPr>
      <w:r>
        <w:rPr>
          <w:rFonts w:hint="eastAsia" w:ascii="仿宋" w:hAnsi="仿宋" w:eastAsia="仿宋" w:cs="仿宋"/>
          <w:sz w:val="28"/>
          <w:szCs w:val="28"/>
        </w:rPr>
        <w:t xml:space="preserve">身份证号码：                 手机：   </w:t>
      </w:r>
    </w:p>
    <w:p w14:paraId="662F0DE7">
      <w:pPr>
        <w:spacing w:line="580" w:lineRule="exact"/>
        <w:ind w:right="1120"/>
        <w:rPr>
          <w:rFonts w:hint="eastAsia" w:ascii="仿宋" w:hAnsi="仿宋" w:eastAsia="仿宋" w:cs="仿宋"/>
          <w:sz w:val="28"/>
          <w:szCs w:val="28"/>
        </w:rPr>
      </w:pPr>
    </w:p>
    <w:p w14:paraId="791F00FF">
      <w:pPr>
        <w:spacing w:line="580" w:lineRule="exact"/>
        <w:ind w:right="1120"/>
        <w:rPr>
          <w:rFonts w:hint="eastAsia" w:ascii="仿宋" w:hAnsi="仿宋" w:eastAsia="仿宋" w:cs="仿宋"/>
          <w:sz w:val="28"/>
          <w:szCs w:val="28"/>
        </w:rPr>
      </w:pPr>
      <w:r>
        <w:rPr>
          <w:rFonts w:hint="eastAsia" w:ascii="仿宋" w:hAnsi="仿宋" w:eastAsia="仿宋" w:cs="仿宋"/>
          <w:sz w:val="28"/>
          <w:szCs w:val="28"/>
        </w:rPr>
        <w:t>单位名称（公章）            法定代表人（签字或盖章）</w:t>
      </w:r>
    </w:p>
    <w:p w14:paraId="4E8F8C53">
      <w:pPr>
        <w:spacing w:line="580" w:lineRule="exact"/>
        <w:ind w:right="1120"/>
        <w:rPr>
          <w:rFonts w:hint="eastAsia" w:ascii="仿宋" w:hAnsi="仿宋" w:eastAsia="仿宋" w:cs="仿宋"/>
          <w:sz w:val="28"/>
          <w:szCs w:val="28"/>
        </w:rPr>
      </w:pPr>
      <w:r>
        <w:rPr>
          <w:rFonts w:hint="eastAsia" w:ascii="仿宋" w:hAnsi="仿宋" w:eastAsia="仿宋" w:cs="仿宋"/>
          <w:sz w:val="28"/>
          <w:szCs w:val="28"/>
        </w:rPr>
        <w:t xml:space="preserve">年   月   日                 年   月    日  </w:t>
      </w:r>
    </w:p>
    <w:p w14:paraId="3A6A9C1D">
      <w:pPr>
        <w:spacing w:line="580" w:lineRule="exact"/>
        <w:rPr>
          <w:rFonts w:hint="eastAsia" w:ascii="仿宋" w:hAnsi="仿宋" w:eastAsia="仿宋" w:cs="仿宋"/>
          <w:sz w:val="28"/>
          <w:szCs w:val="28"/>
        </w:rPr>
      </w:pPr>
    </w:p>
    <w:p w14:paraId="2094E93C">
      <w:pPr>
        <w:spacing w:line="580" w:lineRule="exact"/>
        <w:rPr>
          <w:rFonts w:hint="eastAsia" w:ascii="仿宋" w:hAnsi="仿宋" w:eastAsia="仿宋" w:cs="仿宋"/>
          <w:sz w:val="28"/>
          <w:szCs w:val="28"/>
        </w:rPr>
      </w:pPr>
      <w:r>
        <w:rPr>
          <w:rFonts w:hint="eastAsia" w:ascii="仿宋" w:hAnsi="仿宋" w:eastAsia="仿宋" w:cs="仿宋"/>
          <w:sz w:val="28"/>
          <w:szCs w:val="28"/>
        </w:rPr>
        <w:t>被授权人身份证复印件</w:t>
      </w:r>
    </w:p>
    <w:p w14:paraId="48715A72">
      <w:pPr>
        <w:spacing w:line="580" w:lineRule="exact"/>
        <w:ind w:firstLine="2660" w:firstLineChars="950"/>
        <w:rPr>
          <w:rFonts w:hint="eastAsia" w:ascii="仿宋" w:hAnsi="仿宋" w:eastAsia="仿宋" w:cs="仿宋"/>
          <w:sz w:val="28"/>
          <w:szCs w:val="28"/>
        </w:rPr>
      </w:pPr>
      <w:r>
        <w:rPr>
          <w:rFonts w:hint="eastAsia" w:ascii="仿宋" w:hAnsi="仿宋" w:eastAsia="仿宋" w:cs="仿宋"/>
          <w:sz w:val="28"/>
          <w:szCs w:val="28"/>
        </w:rPr>
        <w:t>（粘贴此处）</w:t>
      </w:r>
    </w:p>
    <w:p w14:paraId="735A155B">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br w:type="page"/>
      </w:r>
    </w:p>
    <w:p w14:paraId="6BBA0FC1">
      <w:pPr>
        <w:spacing w:line="580" w:lineRule="exact"/>
        <w:jc w:val="center"/>
        <w:rPr>
          <w:rFonts w:hint="eastAsia" w:ascii="仿宋" w:hAnsi="仿宋" w:eastAsia="仿宋" w:cs="仿宋"/>
          <w:b/>
          <w:sz w:val="28"/>
          <w:szCs w:val="28"/>
        </w:rPr>
      </w:pPr>
      <w:r>
        <w:rPr>
          <w:rFonts w:hint="eastAsia" w:ascii="仿宋" w:hAnsi="仿宋" w:eastAsia="仿宋" w:cs="仿宋"/>
          <w:b/>
          <w:sz w:val="28"/>
          <w:szCs w:val="28"/>
        </w:rPr>
        <w:t>四、符合《政府采购法》第二十二条要求的承诺函</w:t>
      </w:r>
    </w:p>
    <w:p w14:paraId="551E0919">
      <w:pPr>
        <w:spacing w:line="580" w:lineRule="exact"/>
        <w:ind w:firstLine="361"/>
        <w:jc w:val="center"/>
        <w:rPr>
          <w:rFonts w:hint="eastAsia" w:ascii="仿宋" w:hAnsi="仿宋" w:eastAsia="仿宋" w:cs="仿宋"/>
          <w:kern w:val="0"/>
          <w:sz w:val="28"/>
          <w:szCs w:val="28"/>
        </w:rPr>
      </w:pPr>
    </w:p>
    <w:p w14:paraId="6912F64C">
      <w:pPr>
        <w:snapToGrid w:val="0"/>
        <w:spacing w:line="580" w:lineRule="exact"/>
        <w:rPr>
          <w:rFonts w:hint="eastAsia" w:ascii="仿宋" w:hAnsi="仿宋" w:eastAsia="仿宋" w:cs="仿宋"/>
          <w:sz w:val="28"/>
          <w:szCs w:val="28"/>
          <w:u w:val="single"/>
        </w:rPr>
      </w:pPr>
      <w:r>
        <w:rPr>
          <w:rFonts w:hint="eastAsia" w:ascii="仿宋" w:hAnsi="仿宋" w:eastAsia="仿宋" w:cs="仿宋"/>
          <w:color w:val="FF0000"/>
          <w:sz w:val="28"/>
          <w:szCs w:val="28"/>
          <w:u w:val="single"/>
        </w:rPr>
        <w:t>采购人名称</w:t>
      </w:r>
      <w:r>
        <w:rPr>
          <w:rFonts w:hint="eastAsia" w:ascii="仿宋" w:hAnsi="仿宋" w:eastAsia="仿宋" w:cs="仿宋"/>
          <w:sz w:val="28"/>
          <w:szCs w:val="28"/>
          <w:u w:val="single"/>
        </w:rPr>
        <w:t>：</w:t>
      </w:r>
    </w:p>
    <w:p w14:paraId="44BAEEAD">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承诺符合《政府采购法》第二十二条之规定：具有独立承担民事责任的能力；具有良好的商业信誉和健全的财务会计制度；具有履行合同所必需的设备和专业技术能力；有依法缴纳税收和社会保障资金的良好记录，参加政府活动前三年内，在经营活动中没有重大违纪记录。</w:t>
      </w:r>
    </w:p>
    <w:p w14:paraId="2836163F">
      <w:pPr>
        <w:spacing w:line="580" w:lineRule="exact"/>
        <w:ind w:firstLine="560" w:firstLineChars="200"/>
        <w:rPr>
          <w:rFonts w:hint="eastAsia" w:ascii="仿宋" w:hAnsi="仿宋" w:eastAsia="仿宋" w:cs="仿宋"/>
          <w:sz w:val="28"/>
          <w:szCs w:val="28"/>
        </w:rPr>
      </w:pPr>
    </w:p>
    <w:p w14:paraId="6CA74A52">
      <w:pPr>
        <w:spacing w:line="580" w:lineRule="exact"/>
        <w:ind w:firstLine="560" w:firstLineChars="200"/>
        <w:rPr>
          <w:rFonts w:hint="eastAsia" w:ascii="仿宋" w:hAnsi="仿宋" w:eastAsia="仿宋" w:cs="仿宋"/>
          <w:sz w:val="28"/>
          <w:szCs w:val="28"/>
        </w:rPr>
      </w:pPr>
    </w:p>
    <w:p w14:paraId="260F62C1">
      <w:pPr>
        <w:spacing w:line="580" w:lineRule="exact"/>
        <w:ind w:firstLine="560" w:firstLineChars="200"/>
        <w:rPr>
          <w:rFonts w:hint="eastAsia" w:ascii="仿宋" w:hAnsi="仿宋" w:eastAsia="仿宋" w:cs="仿宋"/>
          <w:sz w:val="28"/>
          <w:szCs w:val="28"/>
        </w:rPr>
      </w:pPr>
    </w:p>
    <w:p w14:paraId="6DD347C2">
      <w:pPr>
        <w:spacing w:line="580" w:lineRule="exact"/>
        <w:ind w:firstLine="560" w:firstLineChars="200"/>
        <w:rPr>
          <w:rFonts w:hint="eastAsia" w:ascii="仿宋" w:hAnsi="仿宋" w:eastAsia="仿宋" w:cs="仿宋"/>
          <w:sz w:val="28"/>
          <w:szCs w:val="28"/>
        </w:rPr>
      </w:pPr>
    </w:p>
    <w:p w14:paraId="2C7B5F51">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法定代表人或被委托授权人（签字或盖章）：</w:t>
      </w:r>
    </w:p>
    <w:p w14:paraId="3F355835">
      <w:pPr>
        <w:spacing w:line="580" w:lineRule="exact"/>
        <w:ind w:firstLine="560" w:firstLineChars="200"/>
        <w:rPr>
          <w:rFonts w:hint="eastAsia" w:ascii="仿宋" w:hAnsi="仿宋" w:eastAsia="仿宋" w:cs="仿宋"/>
          <w:sz w:val="28"/>
          <w:szCs w:val="28"/>
        </w:rPr>
      </w:pPr>
    </w:p>
    <w:p w14:paraId="760BB0C6">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（响应供应商）公章：</w:t>
      </w:r>
    </w:p>
    <w:p w14:paraId="3CC12D1C">
      <w:pPr>
        <w:spacing w:line="580" w:lineRule="exact"/>
        <w:ind w:firstLine="560" w:firstLineChars="200"/>
        <w:rPr>
          <w:rFonts w:hint="eastAsia" w:ascii="仿宋" w:hAnsi="仿宋" w:eastAsia="仿宋" w:cs="仿宋"/>
          <w:sz w:val="28"/>
          <w:szCs w:val="28"/>
        </w:rPr>
      </w:pPr>
    </w:p>
    <w:p w14:paraId="4AC7205B">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年</w:t>
      </w:r>
      <w:r>
        <w:rPr>
          <w:rFonts w:hint="eastAsia" w:ascii="仿宋" w:hAnsi="仿宋" w:eastAsia="仿宋" w:cs="仿宋"/>
          <w:sz w:val="28"/>
          <w:szCs w:val="28"/>
        </w:rPr>
        <w:tab/>
      </w:r>
      <w:r>
        <w:rPr>
          <w:rFonts w:hint="eastAsia" w:ascii="仿宋" w:hAnsi="仿宋" w:eastAsia="仿宋" w:cs="仿宋"/>
          <w:sz w:val="28"/>
          <w:szCs w:val="28"/>
        </w:rPr>
        <w:t xml:space="preserve">  月 </w:t>
      </w:r>
      <w:r>
        <w:rPr>
          <w:rFonts w:hint="eastAsia" w:ascii="仿宋" w:hAnsi="仿宋" w:eastAsia="仿宋" w:cs="仿宋"/>
          <w:sz w:val="28"/>
          <w:szCs w:val="28"/>
        </w:rPr>
        <w:tab/>
      </w:r>
      <w:r>
        <w:rPr>
          <w:rFonts w:hint="eastAsia" w:ascii="仿宋" w:hAnsi="仿宋" w:eastAsia="仿宋" w:cs="仿宋"/>
          <w:sz w:val="28"/>
          <w:szCs w:val="28"/>
        </w:rPr>
        <w:t xml:space="preserve"> 日</w:t>
      </w:r>
    </w:p>
    <w:p w14:paraId="26679126">
      <w:pPr>
        <w:spacing w:line="580" w:lineRule="exact"/>
        <w:ind w:firstLine="560" w:firstLineChars="200"/>
        <w:rPr>
          <w:rFonts w:hint="eastAsia" w:ascii="仿宋" w:hAnsi="仿宋" w:eastAsia="仿宋" w:cs="仿宋"/>
          <w:sz w:val="28"/>
          <w:szCs w:val="28"/>
        </w:rPr>
      </w:pPr>
    </w:p>
    <w:p w14:paraId="387CD52B">
      <w:pPr>
        <w:widowControl/>
        <w:tabs>
          <w:tab w:val="left" w:pos="0"/>
          <w:tab w:val="left" w:pos="993"/>
          <w:tab w:val="left" w:pos="1134"/>
        </w:tabs>
        <w:spacing w:line="580" w:lineRule="exact"/>
        <w:jc w:val="center"/>
        <w:rPr>
          <w:rFonts w:hint="eastAsia" w:ascii="仿宋" w:hAnsi="仿宋" w:eastAsia="仿宋" w:cs="仿宋"/>
          <w:b/>
          <w:bCs/>
          <w:sz w:val="28"/>
          <w:szCs w:val="28"/>
        </w:rPr>
      </w:pPr>
      <w:r>
        <w:rPr>
          <w:rFonts w:hint="eastAsia" w:ascii="仿宋" w:hAnsi="仿宋" w:eastAsia="仿宋" w:cs="仿宋"/>
          <w:sz w:val="28"/>
          <w:szCs w:val="28"/>
        </w:rPr>
        <w:br w:type="page"/>
      </w:r>
      <w:r>
        <w:rPr>
          <w:rFonts w:hint="eastAsia" w:ascii="仿宋" w:hAnsi="仿宋" w:eastAsia="仿宋" w:cs="仿宋"/>
          <w:b/>
          <w:bCs/>
          <w:sz w:val="28"/>
          <w:szCs w:val="28"/>
        </w:rPr>
        <w:t>五、报价函</w:t>
      </w:r>
    </w:p>
    <w:p w14:paraId="2B2AC784">
      <w:pPr>
        <w:spacing w:line="580" w:lineRule="exact"/>
        <w:rPr>
          <w:rFonts w:hint="eastAsia" w:ascii="仿宋" w:hAnsi="仿宋" w:eastAsia="仿宋" w:cs="仿宋"/>
          <w:sz w:val="28"/>
          <w:szCs w:val="28"/>
        </w:rPr>
      </w:pPr>
      <w:r>
        <w:rPr>
          <w:rFonts w:hint="eastAsia" w:ascii="仿宋" w:hAnsi="仿宋" w:eastAsia="仿宋" w:cs="仿宋"/>
          <w:color w:val="FF0000"/>
          <w:sz w:val="28"/>
          <w:szCs w:val="28"/>
          <w:u w:val="single"/>
        </w:rPr>
        <w:t>采购人名称</w:t>
      </w:r>
      <w:r>
        <w:rPr>
          <w:rFonts w:hint="eastAsia" w:ascii="仿宋" w:hAnsi="仿宋" w:eastAsia="仿宋" w:cs="仿宋"/>
          <w:sz w:val="28"/>
          <w:szCs w:val="28"/>
          <w:u w:val="single"/>
        </w:rPr>
        <w:t>：</w:t>
      </w:r>
    </w:p>
    <w:p w14:paraId="1556EAF7">
      <w:pPr>
        <w:widowControl/>
        <w:spacing w:line="580" w:lineRule="exact"/>
        <w:ind w:firstLine="560" w:firstLineChars="200"/>
        <w:rPr>
          <w:rFonts w:hint="eastAsia" w:ascii="仿宋" w:hAnsi="仿宋" w:eastAsia="仿宋" w:cs="仿宋"/>
          <w:kern w:val="0"/>
          <w:sz w:val="28"/>
          <w:szCs w:val="28"/>
        </w:rPr>
      </w:pPr>
      <w:r>
        <w:rPr>
          <w:rFonts w:hint="eastAsia" w:ascii="仿宋" w:hAnsi="仿宋" w:eastAsia="仿宋" w:cs="仿宋"/>
          <w:sz w:val="28"/>
          <w:szCs w:val="28"/>
        </w:rPr>
        <w:t>根据已收到的项目公开招标采购文件，我单位经研究公开招标采购文件和有关资料后，愿意按公开招标采购文件规定的内容承担该项目采购内容，严格执行供应商所承担的责任和义务。</w:t>
      </w:r>
    </w:p>
    <w:p w14:paraId="6D929907">
      <w:pPr>
        <w:numPr>
          <w:ilvl w:val="0"/>
          <w:numId w:val="1"/>
        </w:numPr>
        <w:spacing w:line="580" w:lineRule="exact"/>
        <w:ind w:left="279" w:leftChars="133" w:firstLine="280" w:firstLineChars="100"/>
        <w:rPr>
          <w:rFonts w:hint="eastAsia" w:ascii="仿宋" w:hAnsi="仿宋" w:eastAsia="仿宋" w:cs="仿宋"/>
          <w:sz w:val="28"/>
          <w:szCs w:val="28"/>
        </w:rPr>
      </w:pPr>
      <w:r>
        <w:rPr>
          <w:rFonts w:hint="eastAsia" w:ascii="仿宋" w:hAnsi="仿宋" w:eastAsia="仿宋" w:cs="仿宋"/>
          <w:sz w:val="28"/>
          <w:szCs w:val="28"/>
        </w:rPr>
        <w:t>（项目名称）项目总价</w:t>
      </w:r>
      <w:bookmarkStart w:id="9" w:name="OLE_LINK6"/>
      <w:r>
        <w:rPr>
          <w:rFonts w:hint="eastAsia" w:ascii="仿宋" w:hAnsi="仿宋" w:eastAsia="仿宋" w:cs="仿宋"/>
          <w:sz w:val="28"/>
          <w:szCs w:val="28"/>
        </w:rPr>
        <w:t>为人民币</w:t>
      </w:r>
      <w:r>
        <w:rPr>
          <w:rFonts w:hint="eastAsia" w:ascii="仿宋" w:hAnsi="仿宋" w:eastAsia="仿宋" w:cs="仿宋"/>
          <w:sz w:val="28"/>
          <w:szCs w:val="28"/>
          <w:u w:val="single"/>
        </w:rPr>
        <w:t xml:space="preserve">大写 </w:t>
      </w:r>
      <w:bookmarkStart w:id="10" w:name="OLE_LINK7"/>
      <w:r>
        <w:rPr>
          <w:rFonts w:hint="eastAsia" w:ascii="仿宋" w:hAnsi="仿宋" w:eastAsia="仿宋" w:cs="仿宋"/>
          <w:sz w:val="28"/>
          <w:szCs w:val="28"/>
          <w:u w:val="single"/>
        </w:rPr>
        <w:t xml:space="preserve">      </w:t>
      </w:r>
      <w:bookmarkEnd w:id="10"/>
      <w:r>
        <w:rPr>
          <w:rFonts w:hint="eastAsia" w:ascii="仿宋" w:hAnsi="仿宋" w:eastAsia="仿宋" w:cs="仿宋"/>
          <w:sz w:val="28"/>
          <w:szCs w:val="28"/>
          <w:u w:val="single"/>
        </w:rPr>
        <w:t xml:space="preserve"> </w:t>
      </w:r>
      <w:r>
        <w:rPr>
          <w:rFonts w:hint="eastAsia" w:ascii="仿宋" w:hAnsi="仿宋" w:eastAsia="仿宋" w:cs="仿宋"/>
          <w:sz w:val="28"/>
          <w:szCs w:val="28"/>
        </w:rPr>
        <w:t>万元（</w:t>
      </w:r>
      <w:r>
        <w:rPr>
          <w:rFonts w:hint="eastAsia" w:ascii="仿宋" w:hAnsi="仿宋" w:eastAsia="仿宋" w:cs="仿宋"/>
          <w:sz w:val="28"/>
          <w:szCs w:val="28"/>
          <w:u w:val="single"/>
        </w:rPr>
        <w:t>小写            ________</w:t>
      </w:r>
      <w:r>
        <w:rPr>
          <w:rFonts w:hint="eastAsia" w:ascii="仿宋" w:hAnsi="仿宋" w:eastAsia="仿宋" w:cs="仿宋"/>
          <w:sz w:val="28"/>
          <w:szCs w:val="28"/>
        </w:rPr>
        <w:t>万元）</w:t>
      </w:r>
      <w:bookmarkEnd w:id="9"/>
      <w:r>
        <w:rPr>
          <w:rFonts w:hint="eastAsia" w:ascii="仿宋" w:hAnsi="仿宋" w:eastAsia="仿宋" w:cs="仿宋"/>
          <w:sz w:val="28"/>
          <w:szCs w:val="28"/>
        </w:rPr>
        <w:t>。 其中：</w:t>
      </w:r>
    </w:p>
    <w:p w14:paraId="1D373804">
      <w:pPr>
        <w:spacing w:line="580" w:lineRule="exact"/>
        <w:ind w:left="489" w:leftChars="233"/>
        <w:rPr>
          <w:rFonts w:hint="eastAsia" w:ascii="仿宋" w:hAnsi="仿宋" w:eastAsia="仿宋" w:cs="仿宋"/>
          <w:sz w:val="28"/>
          <w:szCs w:val="28"/>
        </w:rPr>
      </w:pPr>
      <w:r>
        <w:rPr>
          <w:rFonts w:hint="eastAsia" w:ascii="仿宋" w:hAnsi="仿宋" w:eastAsia="仿宋" w:cs="仿宋"/>
          <w:kern w:val="0"/>
          <w:sz w:val="28"/>
          <w:szCs w:val="28"/>
          <w:lang w:bidi="ar"/>
        </w:rPr>
        <w:t>（1）</w:t>
      </w:r>
      <w:bookmarkStart w:id="11" w:name="OLE_LINK16"/>
      <w:r>
        <w:rPr>
          <w:rFonts w:hint="eastAsia" w:ascii="仿宋" w:hAnsi="仿宋" w:eastAsia="仿宋"/>
          <w:sz w:val="28"/>
          <w:szCs w:val="28"/>
        </w:rPr>
        <w:t>0.075%胆钙化醇灭鼠饵粒</w:t>
      </w:r>
      <w:r>
        <w:rPr>
          <w:rFonts w:hint="eastAsia" w:ascii="仿宋" w:hAnsi="仿宋" w:eastAsia="仿宋" w:cs="仿宋"/>
          <w:sz w:val="28"/>
          <w:szCs w:val="28"/>
        </w:rPr>
        <w:t>为人民币</w:t>
      </w:r>
      <w:r>
        <w:rPr>
          <w:rFonts w:hint="eastAsia" w:ascii="仿宋" w:hAnsi="仿宋" w:eastAsia="仿宋" w:cs="仿宋"/>
          <w:sz w:val="28"/>
          <w:szCs w:val="28"/>
          <w:u w:val="single"/>
        </w:rPr>
        <w:t xml:space="preserve">大写        </w:t>
      </w:r>
      <w:r>
        <w:rPr>
          <w:rFonts w:hint="eastAsia" w:ascii="仿宋" w:hAnsi="仿宋" w:eastAsia="仿宋" w:cs="仿宋"/>
          <w:sz w:val="28"/>
          <w:szCs w:val="28"/>
        </w:rPr>
        <w:t>万元（</w:t>
      </w:r>
      <w:r>
        <w:rPr>
          <w:rFonts w:hint="eastAsia" w:ascii="仿宋" w:hAnsi="仿宋" w:eastAsia="仿宋" w:cs="仿宋"/>
          <w:sz w:val="28"/>
          <w:szCs w:val="28"/>
          <w:u w:val="single"/>
        </w:rPr>
        <w:t xml:space="preserve">小写       </w:t>
      </w:r>
      <w:r>
        <w:rPr>
          <w:rFonts w:hint="eastAsia" w:ascii="仿宋" w:hAnsi="仿宋" w:eastAsia="仿宋" w:cs="仿宋"/>
          <w:sz w:val="28"/>
          <w:szCs w:val="28"/>
        </w:rPr>
        <w:t>万元）</w:t>
      </w:r>
      <w:bookmarkEnd w:id="11"/>
      <w:r>
        <w:rPr>
          <w:rFonts w:hint="eastAsia" w:ascii="仿宋" w:hAnsi="仿宋" w:eastAsia="仿宋" w:cs="仿宋"/>
          <w:sz w:val="28"/>
          <w:szCs w:val="28"/>
        </w:rPr>
        <w:t>；</w:t>
      </w:r>
    </w:p>
    <w:p w14:paraId="27353042">
      <w:pPr>
        <w:spacing w:line="580" w:lineRule="exact"/>
        <w:ind w:left="489" w:leftChars="233"/>
        <w:rPr>
          <w:rFonts w:hint="eastAsia" w:ascii="仿宋" w:hAnsi="仿宋" w:eastAsia="仿宋" w:cs="仿宋"/>
          <w:sz w:val="28"/>
          <w:szCs w:val="28"/>
        </w:rPr>
      </w:pPr>
      <w:r>
        <w:rPr>
          <w:rFonts w:hint="eastAsia" w:ascii="仿宋" w:hAnsi="仿宋" w:eastAsia="仿宋" w:cs="仿宋"/>
          <w:sz w:val="28"/>
          <w:szCs w:val="28"/>
        </w:rPr>
        <w:t>（2）</w:t>
      </w:r>
      <w:bookmarkStart w:id="12" w:name="OLE_LINK18"/>
      <w:r>
        <w:rPr>
          <w:rFonts w:hint="eastAsia" w:ascii="仿宋" w:hAnsi="仿宋" w:eastAsia="仿宋"/>
          <w:sz w:val="28"/>
          <w:szCs w:val="28"/>
        </w:rPr>
        <w:t>10%顺式残杀威乳油</w:t>
      </w:r>
      <w:r>
        <w:rPr>
          <w:rFonts w:hint="eastAsia" w:ascii="仿宋" w:hAnsi="仿宋" w:eastAsia="仿宋" w:cs="仿宋"/>
          <w:sz w:val="28"/>
          <w:szCs w:val="28"/>
        </w:rPr>
        <w:t>为人民币</w:t>
      </w:r>
      <w:r>
        <w:rPr>
          <w:rFonts w:hint="eastAsia" w:ascii="仿宋" w:hAnsi="仿宋" w:eastAsia="仿宋" w:cs="仿宋"/>
          <w:sz w:val="28"/>
          <w:szCs w:val="28"/>
          <w:u w:val="single"/>
        </w:rPr>
        <w:t>大写        _______</w:t>
      </w:r>
      <w:r>
        <w:rPr>
          <w:rFonts w:hint="eastAsia" w:ascii="仿宋" w:hAnsi="仿宋" w:eastAsia="仿宋" w:cs="仿宋"/>
          <w:sz w:val="28"/>
          <w:szCs w:val="28"/>
        </w:rPr>
        <w:t>万</w:t>
      </w:r>
    </w:p>
    <w:p w14:paraId="76082F15">
      <w:pPr>
        <w:spacing w:line="580" w:lineRule="exact"/>
        <w:rPr>
          <w:rFonts w:hint="eastAsia" w:ascii="仿宋" w:hAnsi="仿宋" w:eastAsia="仿宋" w:cs="仿宋"/>
          <w:sz w:val="28"/>
          <w:szCs w:val="28"/>
        </w:rPr>
      </w:pPr>
      <w:r>
        <w:rPr>
          <w:rFonts w:hint="eastAsia" w:ascii="仿宋" w:hAnsi="仿宋" w:eastAsia="仿宋" w:cs="仿宋"/>
          <w:sz w:val="28"/>
          <w:szCs w:val="28"/>
        </w:rPr>
        <w:t>元（</w:t>
      </w:r>
      <w:r>
        <w:rPr>
          <w:rFonts w:hint="eastAsia" w:ascii="仿宋" w:hAnsi="仿宋" w:eastAsia="仿宋" w:cs="仿宋"/>
          <w:sz w:val="28"/>
          <w:szCs w:val="28"/>
          <w:u w:val="single"/>
        </w:rPr>
        <w:t xml:space="preserve">小写       </w:t>
      </w:r>
      <w:r>
        <w:rPr>
          <w:rFonts w:hint="eastAsia" w:ascii="仿宋" w:hAnsi="仿宋" w:eastAsia="仿宋" w:cs="仿宋"/>
          <w:sz w:val="28"/>
          <w:szCs w:val="28"/>
        </w:rPr>
        <w:t>万元）</w:t>
      </w:r>
      <w:bookmarkEnd w:id="12"/>
      <w:r>
        <w:rPr>
          <w:rFonts w:hint="eastAsia" w:ascii="仿宋" w:hAnsi="仿宋" w:eastAsia="仿宋" w:cs="仿宋"/>
          <w:sz w:val="28"/>
          <w:szCs w:val="28"/>
        </w:rPr>
        <w:t>；</w:t>
      </w:r>
    </w:p>
    <w:p w14:paraId="776D8776">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sz w:val="28"/>
          <w:szCs w:val="28"/>
        </w:rPr>
        <w:t>球形芽孢杆菌</w:t>
      </w:r>
      <w:r>
        <w:rPr>
          <w:rFonts w:hint="eastAsia" w:ascii="仿宋" w:hAnsi="仿宋" w:eastAsia="仿宋" w:cs="仿宋"/>
          <w:sz w:val="28"/>
          <w:szCs w:val="28"/>
        </w:rPr>
        <w:t>为人民币</w:t>
      </w:r>
      <w:r>
        <w:rPr>
          <w:rFonts w:hint="eastAsia" w:ascii="仿宋" w:hAnsi="仿宋" w:eastAsia="仿宋" w:cs="仿宋"/>
          <w:sz w:val="28"/>
          <w:szCs w:val="28"/>
          <w:u w:val="single"/>
        </w:rPr>
        <w:t xml:space="preserve">大写        </w:t>
      </w:r>
      <w:r>
        <w:rPr>
          <w:rFonts w:hint="eastAsia" w:ascii="仿宋" w:hAnsi="仿宋" w:eastAsia="仿宋" w:cs="仿宋"/>
          <w:sz w:val="28"/>
          <w:szCs w:val="28"/>
        </w:rPr>
        <w:t>万元（</w:t>
      </w:r>
      <w:r>
        <w:rPr>
          <w:rFonts w:hint="eastAsia" w:ascii="仿宋" w:hAnsi="仿宋" w:eastAsia="仿宋" w:cs="仿宋"/>
          <w:sz w:val="28"/>
          <w:szCs w:val="28"/>
          <w:u w:val="single"/>
        </w:rPr>
        <w:t xml:space="preserve">小写       </w:t>
      </w:r>
      <w:r>
        <w:rPr>
          <w:rFonts w:hint="eastAsia" w:ascii="仿宋" w:hAnsi="仿宋" w:eastAsia="仿宋" w:cs="仿宋"/>
          <w:sz w:val="28"/>
          <w:szCs w:val="28"/>
        </w:rPr>
        <w:t>万元）；</w:t>
      </w:r>
    </w:p>
    <w:p w14:paraId="076856A2">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sz w:val="28"/>
          <w:szCs w:val="28"/>
        </w:rPr>
        <w:t>0.6%高效氯氰菊酯灭蟑粉剂</w:t>
      </w:r>
      <w:r>
        <w:rPr>
          <w:rFonts w:hint="eastAsia" w:ascii="仿宋" w:hAnsi="仿宋" w:eastAsia="仿宋" w:cs="仿宋"/>
          <w:sz w:val="28"/>
          <w:szCs w:val="28"/>
        </w:rPr>
        <w:t>为人民币</w:t>
      </w:r>
      <w:r>
        <w:rPr>
          <w:rFonts w:hint="eastAsia" w:ascii="仿宋" w:hAnsi="仿宋" w:eastAsia="仿宋" w:cs="仿宋"/>
          <w:sz w:val="28"/>
          <w:szCs w:val="28"/>
          <w:u w:val="single"/>
        </w:rPr>
        <w:t xml:space="preserve">大写        </w:t>
      </w:r>
      <w:r>
        <w:rPr>
          <w:rFonts w:hint="eastAsia" w:ascii="仿宋" w:hAnsi="仿宋" w:eastAsia="仿宋" w:cs="仿宋"/>
          <w:sz w:val="28"/>
          <w:szCs w:val="28"/>
        </w:rPr>
        <w:t>万元（</w:t>
      </w:r>
      <w:r>
        <w:rPr>
          <w:rFonts w:hint="eastAsia" w:ascii="仿宋" w:hAnsi="仿宋" w:eastAsia="仿宋" w:cs="仿宋"/>
          <w:sz w:val="28"/>
          <w:szCs w:val="28"/>
          <w:u w:val="single"/>
        </w:rPr>
        <w:t xml:space="preserve">小写       </w:t>
      </w:r>
      <w:r>
        <w:rPr>
          <w:rFonts w:hint="eastAsia" w:ascii="仿宋" w:hAnsi="仿宋" w:eastAsia="仿宋" w:cs="仿宋"/>
          <w:sz w:val="28"/>
          <w:szCs w:val="28"/>
        </w:rPr>
        <w:t>万元）。</w:t>
      </w:r>
    </w:p>
    <w:p w14:paraId="0498784D">
      <w:pPr>
        <w:spacing w:line="580" w:lineRule="exact"/>
        <w:ind w:firstLine="480"/>
        <w:rPr>
          <w:rFonts w:hint="eastAsia" w:ascii="仿宋" w:hAnsi="仿宋" w:eastAsia="仿宋" w:cs="仿宋"/>
          <w:sz w:val="28"/>
          <w:szCs w:val="28"/>
        </w:rPr>
      </w:pPr>
      <w:r>
        <w:rPr>
          <w:rFonts w:hint="eastAsia" w:ascii="仿宋" w:hAnsi="仿宋" w:eastAsia="仿宋" w:cs="仿宋"/>
          <w:sz w:val="28"/>
          <w:szCs w:val="28"/>
        </w:rPr>
        <w:t>（三）如果我方中标，我们保证按公开招标采购文件的要求和采购人签订采购合同，项目负责人（姓名）</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28679DCE">
      <w:pPr>
        <w:spacing w:line="580" w:lineRule="exact"/>
        <w:ind w:firstLine="480"/>
        <w:rPr>
          <w:rFonts w:hint="eastAsia" w:ascii="仿宋" w:hAnsi="仿宋" w:eastAsia="仿宋" w:cs="仿宋"/>
          <w:sz w:val="28"/>
          <w:szCs w:val="28"/>
        </w:rPr>
      </w:pPr>
      <w:r>
        <w:rPr>
          <w:rFonts w:hint="eastAsia" w:ascii="仿宋" w:hAnsi="仿宋" w:eastAsia="仿宋" w:cs="仿宋"/>
          <w:sz w:val="28"/>
          <w:szCs w:val="28"/>
        </w:rPr>
        <w:t>（四）贵单位的公开招标采购文件及其附件、中标通知书和本公开招标采购文件将构成约束我们双方的合同。</w:t>
      </w:r>
    </w:p>
    <w:p w14:paraId="3FEEF532">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供应商（盖章）：</w:t>
      </w:r>
    </w:p>
    <w:p w14:paraId="046330BF">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14:paraId="60CE25B2">
      <w:pPr>
        <w:spacing w:line="580" w:lineRule="exact"/>
        <w:ind w:firstLine="2520" w:firstLineChars="900"/>
        <w:rPr>
          <w:rFonts w:hint="eastAsia" w:ascii="仿宋" w:hAnsi="仿宋" w:eastAsia="仿宋" w:cs="仿宋"/>
          <w:sz w:val="28"/>
          <w:szCs w:val="28"/>
        </w:rPr>
      </w:pPr>
      <w:r>
        <w:rPr>
          <w:rFonts w:hint="eastAsia" w:ascii="仿宋" w:hAnsi="仿宋" w:eastAsia="仿宋" w:cs="仿宋"/>
          <w:sz w:val="28"/>
          <w:szCs w:val="28"/>
        </w:rPr>
        <w:t>日期：      年     月     日</w:t>
      </w:r>
    </w:p>
    <w:p w14:paraId="7B3BF34F">
      <w:pPr>
        <w:widowControl/>
        <w:spacing w:line="580" w:lineRule="exact"/>
        <w:rPr>
          <w:rFonts w:hint="eastAsia" w:ascii="仿宋" w:hAnsi="仿宋" w:eastAsia="仿宋" w:cs="仿宋"/>
          <w:sz w:val="28"/>
          <w:szCs w:val="28"/>
        </w:rPr>
      </w:pPr>
      <w:r>
        <w:rPr>
          <w:rFonts w:hint="eastAsia" w:ascii="仿宋" w:hAnsi="仿宋" w:eastAsia="仿宋" w:cs="仿宋"/>
          <w:sz w:val="28"/>
          <w:szCs w:val="28"/>
        </w:rPr>
        <w:br w:type="page"/>
      </w:r>
    </w:p>
    <w:p w14:paraId="6F3FA4B0">
      <w:pPr>
        <w:spacing w:line="360" w:lineRule="auto"/>
        <w:jc w:val="center"/>
        <w:rPr>
          <w:rFonts w:ascii="宋体"/>
          <w:sz w:val="24"/>
          <w:szCs w:val="24"/>
        </w:rPr>
      </w:pPr>
      <w:r>
        <w:rPr>
          <w:rFonts w:hint="eastAsia" w:ascii="仿宋" w:hAnsi="仿宋" w:eastAsia="仿宋" w:cs="仿宋"/>
          <w:b/>
          <w:kern w:val="0"/>
          <w:sz w:val="28"/>
          <w:szCs w:val="28"/>
        </w:rPr>
        <w:t>六、</w:t>
      </w:r>
      <w:r>
        <w:rPr>
          <w:rFonts w:hint="eastAsia" w:ascii="宋体" w:hAnsi="宋体" w:cs="宋体"/>
          <w:b/>
          <w:bCs/>
          <w:sz w:val="28"/>
          <w:szCs w:val="28"/>
        </w:rPr>
        <w:t>中小企业声明函</w:t>
      </w:r>
    </w:p>
    <w:p w14:paraId="71A095B2">
      <w:pPr>
        <w:autoSpaceDE w:val="0"/>
        <w:autoSpaceDN w:val="0"/>
        <w:spacing w:line="440" w:lineRule="exact"/>
        <w:ind w:firstLine="480" w:firstLineChars="200"/>
        <w:rPr>
          <w:rFonts w:ascii="宋体"/>
          <w:kern w:val="0"/>
          <w:sz w:val="24"/>
          <w:szCs w:val="24"/>
        </w:rPr>
      </w:pPr>
      <w:r>
        <w:rPr>
          <w:rFonts w:hint="eastAsia" w:ascii="宋体" w:hAnsi="宋体" w:cs="宋体"/>
          <w:kern w:val="0"/>
          <w:sz w:val="24"/>
          <w:szCs w:val="24"/>
        </w:rPr>
        <w:t>本公司（联合体）郑重声明，根据《政府采购促进中小企业发展管理办法》（财库﹝</w:t>
      </w:r>
      <w:r>
        <w:rPr>
          <w:rFonts w:ascii="宋体" w:hAnsi="宋体" w:cs="宋体"/>
          <w:kern w:val="0"/>
          <w:sz w:val="24"/>
          <w:szCs w:val="24"/>
        </w:rPr>
        <w:t>2020</w:t>
      </w:r>
      <w:r>
        <w:rPr>
          <w:rFonts w:hint="eastAsia" w:ascii="宋体" w:hAnsi="宋体" w:cs="宋体"/>
          <w:kern w:val="0"/>
          <w:sz w:val="24"/>
          <w:szCs w:val="24"/>
        </w:rPr>
        <w:t>﹞</w:t>
      </w:r>
      <w:r>
        <w:rPr>
          <w:rFonts w:ascii="宋体" w:hAnsi="宋体" w:cs="宋体"/>
          <w:kern w:val="0"/>
          <w:sz w:val="24"/>
          <w:szCs w:val="24"/>
        </w:rPr>
        <w:t xml:space="preserve">46 </w:t>
      </w:r>
      <w:r>
        <w:rPr>
          <w:rFonts w:hint="eastAsia" w:ascii="宋体" w:hAnsi="宋体" w:cs="宋体"/>
          <w:kern w:val="0"/>
          <w:sz w:val="24"/>
          <w:szCs w:val="24"/>
        </w:rPr>
        <w:t>号）的规定，本公司（联合体）参加</w:t>
      </w:r>
      <w:r>
        <w:rPr>
          <w:rFonts w:hint="eastAsia" w:ascii="宋体" w:hAnsi="宋体" w:cs="宋体"/>
          <w:kern w:val="0"/>
          <w:sz w:val="24"/>
          <w:szCs w:val="24"/>
          <w:u w:val="single"/>
        </w:rPr>
        <w:t>（单位名称）</w:t>
      </w:r>
      <w:r>
        <w:rPr>
          <w:rFonts w:hint="eastAsia" w:ascii="宋体" w:hAnsi="宋体" w:cs="宋体"/>
          <w:kern w:val="0"/>
          <w:sz w:val="24"/>
          <w:szCs w:val="24"/>
        </w:rPr>
        <w:t>的</w:t>
      </w:r>
      <w:r>
        <w:rPr>
          <w:rFonts w:hint="eastAsia" w:ascii="宋体" w:hAnsi="宋体" w:cs="宋体"/>
          <w:kern w:val="0"/>
          <w:sz w:val="24"/>
          <w:szCs w:val="24"/>
          <w:u w:val="single"/>
        </w:rPr>
        <w:t>（项目名称）</w:t>
      </w:r>
      <w:r>
        <w:rPr>
          <w:rFonts w:hint="eastAsia" w:ascii="宋体" w:hAnsi="宋体" w:cs="宋体"/>
          <w:kern w:val="0"/>
          <w:sz w:val="24"/>
          <w:szCs w:val="24"/>
        </w:rPr>
        <w:t>采购活动，服务全部由符合政策要求的中小企业承接。相关企业（含联合体中的中小企业、签订分包意向协议的中小企业）的具体情况如下：</w:t>
      </w:r>
    </w:p>
    <w:p w14:paraId="3145F6FA">
      <w:pPr>
        <w:autoSpaceDE w:val="0"/>
        <w:autoSpaceDN w:val="0"/>
        <w:spacing w:line="440" w:lineRule="exact"/>
        <w:ind w:firstLine="480" w:firstLineChars="200"/>
        <w:rPr>
          <w:rFonts w:ascii="宋体"/>
          <w:kern w:val="0"/>
          <w:sz w:val="24"/>
          <w:szCs w:val="24"/>
        </w:rPr>
      </w:pPr>
      <w:r>
        <w:rPr>
          <w:rFonts w:ascii="宋体" w:hAnsi="宋体" w:cs="宋体"/>
          <w:kern w:val="0"/>
          <w:sz w:val="24"/>
          <w:szCs w:val="24"/>
        </w:rPr>
        <w:t>1.</w:t>
      </w:r>
      <w:r>
        <w:rPr>
          <w:rFonts w:hint="eastAsia" w:ascii="宋体" w:hAnsi="宋体" w:cs="宋体"/>
          <w:kern w:val="0"/>
          <w:sz w:val="24"/>
          <w:szCs w:val="24"/>
          <w:u w:val="single"/>
        </w:rPr>
        <w:t>（标的名称）</w:t>
      </w:r>
      <w:r>
        <w:rPr>
          <w:rFonts w:hint="eastAsia" w:ascii="宋体" w:hAnsi="宋体" w:cs="宋体"/>
          <w:kern w:val="0"/>
          <w:sz w:val="24"/>
          <w:szCs w:val="24"/>
        </w:rPr>
        <w:t>，属于</w:t>
      </w:r>
      <w:r>
        <w:rPr>
          <w:rFonts w:hint="eastAsia" w:ascii="宋体" w:hAnsi="宋体" w:cs="宋体"/>
          <w:kern w:val="0"/>
          <w:sz w:val="24"/>
          <w:szCs w:val="24"/>
          <w:u w:val="single"/>
        </w:rPr>
        <w:t>（采购文件中明确的所属行业）</w:t>
      </w:r>
      <w:r>
        <w:rPr>
          <w:rFonts w:hint="eastAsia" w:ascii="宋体" w:hAnsi="宋体" w:cs="宋体"/>
          <w:kern w:val="0"/>
          <w:sz w:val="24"/>
          <w:szCs w:val="24"/>
        </w:rPr>
        <w:t>行业；承接企业为</w:t>
      </w:r>
      <w:r>
        <w:rPr>
          <w:rFonts w:hint="eastAsia" w:ascii="宋体" w:hAnsi="宋体" w:cs="宋体"/>
          <w:kern w:val="0"/>
          <w:sz w:val="24"/>
          <w:szCs w:val="24"/>
          <w:u w:val="single"/>
        </w:rPr>
        <w:t>（企业名称）</w:t>
      </w:r>
      <w:r>
        <w:rPr>
          <w:rFonts w:hint="eastAsia" w:ascii="宋体" w:hAnsi="宋体" w:cs="宋体"/>
          <w:kern w:val="0"/>
          <w:sz w:val="24"/>
          <w:szCs w:val="24"/>
        </w:rPr>
        <w:t>，从业人员</w:t>
      </w:r>
      <w:r>
        <w:rPr>
          <w:rFonts w:ascii="宋体"/>
          <w:kern w:val="0"/>
          <w:sz w:val="24"/>
          <w:szCs w:val="24"/>
          <w:u w:val="single"/>
        </w:rPr>
        <w:tab/>
      </w:r>
      <w:r>
        <w:rPr>
          <w:rFonts w:hint="eastAsia" w:ascii="宋体" w:hAnsi="宋体" w:cs="宋体"/>
          <w:kern w:val="0"/>
          <w:sz w:val="24"/>
          <w:szCs w:val="24"/>
        </w:rPr>
        <w:t>人，营业收入为</w:t>
      </w:r>
      <w:r>
        <w:rPr>
          <w:rFonts w:ascii="宋体" w:hAnsi="宋体" w:cs="宋体"/>
          <w:kern w:val="0"/>
          <w:sz w:val="24"/>
          <w:szCs w:val="24"/>
          <w:u w:val="single"/>
        </w:rPr>
        <w:t xml:space="preserve">     </w:t>
      </w:r>
      <w:r>
        <w:rPr>
          <w:rFonts w:hint="eastAsia" w:ascii="宋体" w:hAnsi="宋体" w:cs="宋体"/>
          <w:kern w:val="0"/>
          <w:sz w:val="24"/>
          <w:szCs w:val="24"/>
        </w:rPr>
        <w:t>万元，资产总额为</w:t>
      </w:r>
      <w:r>
        <w:rPr>
          <w:rFonts w:ascii="宋体" w:hAnsi="宋体" w:cs="宋体"/>
          <w:kern w:val="0"/>
          <w:sz w:val="24"/>
          <w:szCs w:val="24"/>
          <w:u w:val="single"/>
        </w:rPr>
        <w:t xml:space="preserve">       </w:t>
      </w:r>
      <w:r>
        <w:rPr>
          <w:rFonts w:hint="eastAsia" w:ascii="宋体" w:hAnsi="宋体" w:cs="宋体"/>
          <w:kern w:val="0"/>
          <w:sz w:val="24"/>
          <w:szCs w:val="24"/>
        </w:rPr>
        <w:t>万元，属于</w:t>
      </w:r>
      <w:r>
        <w:rPr>
          <w:rFonts w:hint="eastAsia" w:ascii="宋体" w:hAnsi="宋体" w:cs="宋体"/>
          <w:kern w:val="0"/>
          <w:sz w:val="24"/>
          <w:szCs w:val="24"/>
          <w:u w:val="single"/>
        </w:rPr>
        <w:t>（中型企业、小型企业、微型企业）</w:t>
      </w:r>
      <w:r>
        <w:rPr>
          <w:rFonts w:hint="eastAsia" w:ascii="宋体" w:hAnsi="宋体" w:cs="宋体"/>
          <w:kern w:val="0"/>
          <w:sz w:val="24"/>
          <w:szCs w:val="24"/>
        </w:rPr>
        <w:t>；</w:t>
      </w:r>
    </w:p>
    <w:p w14:paraId="21D3B3A4">
      <w:pPr>
        <w:autoSpaceDE w:val="0"/>
        <w:autoSpaceDN w:val="0"/>
        <w:spacing w:line="440" w:lineRule="exact"/>
        <w:ind w:firstLine="480" w:firstLineChars="200"/>
        <w:rPr>
          <w:rFonts w:ascii="宋体"/>
          <w:kern w:val="0"/>
          <w:sz w:val="24"/>
          <w:szCs w:val="24"/>
        </w:rPr>
      </w:pPr>
      <w:r>
        <w:rPr>
          <w:rFonts w:ascii="宋体" w:hAnsi="宋体" w:cs="宋体"/>
          <w:kern w:val="0"/>
          <w:sz w:val="24"/>
          <w:szCs w:val="24"/>
        </w:rPr>
        <w:t>2.</w:t>
      </w:r>
      <w:r>
        <w:rPr>
          <w:rFonts w:hint="eastAsia" w:ascii="宋体" w:hAnsi="宋体" w:cs="宋体"/>
          <w:kern w:val="0"/>
          <w:sz w:val="24"/>
          <w:szCs w:val="24"/>
          <w:u w:val="single"/>
        </w:rPr>
        <w:t>（标的名称）</w:t>
      </w:r>
      <w:r>
        <w:rPr>
          <w:rFonts w:hint="eastAsia" w:ascii="宋体" w:hAnsi="宋体" w:cs="宋体"/>
          <w:kern w:val="0"/>
          <w:sz w:val="24"/>
          <w:szCs w:val="24"/>
        </w:rPr>
        <w:t>，属于</w:t>
      </w:r>
      <w:r>
        <w:rPr>
          <w:rFonts w:hint="eastAsia" w:ascii="宋体" w:hAnsi="宋体" w:cs="宋体"/>
          <w:kern w:val="0"/>
          <w:sz w:val="24"/>
          <w:szCs w:val="24"/>
          <w:u w:val="single"/>
        </w:rPr>
        <w:t>（采购文件中明确的所属行业）</w:t>
      </w:r>
      <w:r>
        <w:rPr>
          <w:rFonts w:hint="eastAsia" w:ascii="宋体" w:hAnsi="宋体" w:cs="宋体"/>
          <w:kern w:val="0"/>
          <w:sz w:val="24"/>
          <w:szCs w:val="24"/>
        </w:rPr>
        <w:t>行业；承接企业为</w:t>
      </w:r>
      <w:r>
        <w:rPr>
          <w:rFonts w:hint="eastAsia" w:ascii="宋体" w:hAnsi="宋体" w:cs="宋体"/>
          <w:kern w:val="0"/>
          <w:sz w:val="24"/>
          <w:szCs w:val="24"/>
          <w:u w:val="single"/>
        </w:rPr>
        <w:t>（企业名称）</w:t>
      </w:r>
      <w:r>
        <w:rPr>
          <w:rFonts w:hint="eastAsia" w:ascii="宋体" w:hAnsi="宋体" w:cs="宋体"/>
          <w:kern w:val="0"/>
          <w:sz w:val="24"/>
          <w:szCs w:val="24"/>
        </w:rPr>
        <w:t>，从业人员</w:t>
      </w:r>
      <w:r>
        <w:rPr>
          <w:rFonts w:ascii="宋体"/>
          <w:kern w:val="0"/>
          <w:sz w:val="24"/>
          <w:szCs w:val="24"/>
          <w:u w:val="single"/>
        </w:rPr>
        <w:tab/>
      </w:r>
      <w:r>
        <w:rPr>
          <w:rFonts w:hint="eastAsia" w:ascii="宋体" w:hAnsi="宋体" w:cs="宋体"/>
          <w:kern w:val="0"/>
          <w:sz w:val="24"/>
          <w:szCs w:val="24"/>
        </w:rPr>
        <w:t>人，营业收入为</w:t>
      </w:r>
      <w:r>
        <w:rPr>
          <w:rFonts w:ascii="宋体" w:hAnsi="宋体" w:cs="宋体"/>
          <w:kern w:val="0"/>
          <w:sz w:val="24"/>
          <w:szCs w:val="24"/>
          <w:u w:val="single"/>
        </w:rPr>
        <w:t xml:space="preserve">      </w:t>
      </w:r>
      <w:r>
        <w:rPr>
          <w:rFonts w:hint="eastAsia" w:ascii="宋体" w:hAnsi="宋体" w:cs="宋体"/>
          <w:kern w:val="0"/>
          <w:sz w:val="24"/>
          <w:szCs w:val="24"/>
        </w:rPr>
        <w:t>万元，资产总额为</w:t>
      </w:r>
      <w:r>
        <w:rPr>
          <w:rFonts w:ascii="宋体" w:hAnsi="宋体" w:cs="宋体"/>
          <w:kern w:val="0"/>
          <w:sz w:val="24"/>
          <w:szCs w:val="24"/>
          <w:u w:val="single"/>
        </w:rPr>
        <w:t xml:space="preserve">       </w:t>
      </w:r>
      <w:r>
        <w:rPr>
          <w:rFonts w:hint="eastAsia" w:ascii="宋体" w:hAnsi="宋体" w:cs="宋体"/>
          <w:kern w:val="0"/>
          <w:sz w:val="24"/>
          <w:szCs w:val="24"/>
        </w:rPr>
        <w:t>万元，属于</w:t>
      </w:r>
      <w:r>
        <w:rPr>
          <w:rFonts w:hint="eastAsia" w:ascii="宋体" w:hAnsi="宋体" w:cs="宋体"/>
          <w:kern w:val="0"/>
          <w:sz w:val="24"/>
          <w:szCs w:val="24"/>
          <w:u w:val="single"/>
        </w:rPr>
        <w:t>（中型企业、小型企业、微型企业）</w:t>
      </w:r>
      <w:r>
        <w:rPr>
          <w:rFonts w:hint="eastAsia" w:ascii="宋体" w:hAnsi="宋体" w:cs="宋体"/>
          <w:kern w:val="0"/>
          <w:sz w:val="24"/>
          <w:szCs w:val="24"/>
        </w:rPr>
        <w:t>；</w:t>
      </w:r>
    </w:p>
    <w:p w14:paraId="29995869">
      <w:pPr>
        <w:autoSpaceDE w:val="0"/>
        <w:autoSpaceDN w:val="0"/>
        <w:spacing w:line="440" w:lineRule="exact"/>
        <w:ind w:firstLine="480" w:firstLineChars="200"/>
        <w:rPr>
          <w:rFonts w:ascii="宋体"/>
          <w:kern w:val="0"/>
          <w:sz w:val="24"/>
          <w:szCs w:val="24"/>
        </w:rPr>
      </w:pPr>
      <w:r>
        <w:rPr>
          <w:rFonts w:hint="eastAsia" w:ascii="宋体" w:hAnsi="宋体" w:cs="宋体"/>
          <w:kern w:val="0"/>
          <w:sz w:val="24"/>
          <w:szCs w:val="24"/>
        </w:rPr>
        <w:t>……</w:t>
      </w:r>
    </w:p>
    <w:p w14:paraId="6C185A21">
      <w:pPr>
        <w:autoSpaceDE w:val="0"/>
        <w:autoSpaceDN w:val="0"/>
        <w:spacing w:line="440" w:lineRule="exact"/>
        <w:ind w:firstLine="468" w:firstLineChars="200"/>
        <w:rPr>
          <w:rFonts w:ascii="宋体"/>
          <w:spacing w:val="-3"/>
          <w:kern w:val="0"/>
          <w:sz w:val="24"/>
          <w:szCs w:val="24"/>
        </w:rPr>
      </w:pPr>
      <w:r>
        <w:rPr>
          <w:rFonts w:hint="eastAsia" w:ascii="宋体" w:hAnsi="宋体" w:cs="宋体"/>
          <w:spacing w:val="-3"/>
          <w:kern w:val="0"/>
          <w:sz w:val="24"/>
          <w:szCs w:val="24"/>
        </w:rPr>
        <w:t>以上企业，不属于大企业的分支机构，不存在控股股东为大企业的情形，也不存在与大企业的负责人为同一人的情形。</w:t>
      </w:r>
    </w:p>
    <w:p w14:paraId="598EFDA3">
      <w:pPr>
        <w:autoSpaceDE w:val="0"/>
        <w:autoSpaceDN w:val="0"/>
        <w:spacing w:line="440" w:lineRule="exact"/>
        <w:ind w:firstLine="468" w:firstLineChars="200"/>
        <w:rPr>
          <w:rFonts w:ascii="宋体"/>
          <w:kern w:val="0"/>
          <w:sz w:val="24"/>
          <w:szCs w:val="24"/>
        </w:rPr>
      </w:pPr>
      <w:r>
        <w:rPr>
          <w:rFonts w:hint="eastAsia" w:ascii="宋体" w:hAnsi="宋体" w:cs="宋体"/>
          <w:spacing w:val="-3"/>
          <w:kern w:val="0"/>
          <w:sz w:val="24"/>
          <w:szCs w:val="24"/>
        </w:rPr>
        <w:t>本企业对上述声明内容的真实性负责。如有虚假，将依法承担相应责任。</w:t>
      </w:r>
    </w:p>
    <w:p w14:paraId="2C002F87">
      <w:pPr>
        <w:kinsoku w:val="0"/>
        <w:topLinePunct/>
        <w:snapToGrid w:val="0"/>
        <w:spacing w:line="440" w:lineRule="exact"/>
        <w:ind w:firstLine="480" w:firstLineChars="200"/>
        <w:jc w:val="left"/>
        <w:rPr>
          <w:rFonts w:ascii="宋体"/>
          <w:sz w:val="24"/>
          <w:szCs w:val="24"/>
        </w:rPr>
      </w:pPr>
    </w:p>
    <w:p w14:paraId="06A4F9DE">
      <w:pPr>
        <w:kinsoku w:val="0"/>
        <w:topLinePunct/>
        <w:snapToGrid w:val="0"/>
        <w:spacing w:line="440" w:lineRule="exact"/>
        <w:ind w:firstLine="480" w:firstLineChars="200"/>
        <w:jc w:val="left"/>
        <w:rPr>
          <w:rFonts w:ascii="宋体"/>
          <w:sz w:val="24"/>
          <w:szCs w:val="24"/>
        </w:rPr>
      </w:pPr>
      <w:r>
        <w:rPr>
          <w:rFonts w:hint="eastAsia" w:ascii="宋体" w:hAnsi="宋体" w:cs="宋体"/>
          <w:sz w:val="24"/>
          <w:szCs w:val="24"/>
        </w:rPr>
        <w:t>企业名称：（盖章）</w:t>
      </w:r>
    </w:p>
    <w:p w14:paraId="1B5D2909">
      <w:pPr>
        <w:kinsoku w:val="0"/>
        <w:topLinePunct/>
        <w:snapToGrid w:val="0"/>
        <w:spacing w:line="440" w:lineRule="exact"/>
        <w:ind w:firstLine="480" w:firstLineChars="200"/>
        <w:jc w:val="left"/>
        <w:rPr>
          <w:rFonts w:ascii="宋体"/>
          <w:sz w:val="24"/>
          <w:szCs w:val="24"/>
        </w:rPr>
      </w:pPr>
      <w:r>
        <w:rPr>
          <w:rFonts w:hint="eastAsia" w:ascii="宋体" w:hAnsi="宋体" w:cs="宋体"/>
          <w:sz w:val="24"/>
          <w:szCs w:val="24"/>
        </w:rPr>
        <w:t>日期：</w:t>
      </w:r>
    </w:p>
    <w:p w14:paraId="29180FD9">
      <w:pPr>
        <w:snapToGrid w:val="0"/>
        <w:spacing w:line="440" w:lineRule="exact"/>
        <w:ind w:firstLine="480" w:firstLineChars="200"/>
        <w:rPr>
          <w:rFonts w:ascii="宋体"/>
          <w:sz w:val="24"/>
          <w:szCs w:val="24"/>
        </w:rPr>
      </w:pPr>
    </w:p>
    <w:p w14:paraId="47374FFF">
      <w:pPr>
        <w:snapToGrid w:val="0"/>
        <w:spacing w:line="440" w:lineRule="exact"/>
        <w:ind w:firstLine="480" w:firstLineChars="200"/>
        <w:rPr>
          <w:rFonts w:ascii="宋体"/>
          <w:sz w:val="24"/>
          <w:szCs w:val="24"/>
        </w:rPr>
      </w:pPr>
      <w:r>
        <w:rPr>
          <w:rFonts w:hint="eastAsia" w:ascii="宋体" w:hAnsi="宋体" w:cs="宋体"/>
          <w:sz w:val="24"/>
          <w:szCs w:val="24"/>
        </w:rPr>
        <w:t>注：</w:t>
      </w:r>
    </w:p>
    <w:p w14:paraId="70AED84C">
      <w:pPr>
        <w:snapToGrid w:val="0"/>
        <w:spacing w:line="440" w:lineRule="exact"/>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）从业人员、营业收入、资产总额填报上一年度数据，无上一年度数据的新成立企业可不填报。</w:t>
      </w:r>
    </w:p>
    <w:p w14:paraId="47013040">
      <w:pPr>
        <w:snapToGrid w:val="0"/>
        <w:spacing w:line="440" w:lineRule="exact"/>
        <w:ind w:firstLine="482" w:firstLineChars="200"/>
        <w:rPr>
          <w:rFonts w:ascii="宋体"/>
          <w:b/>
          <w:bCs/>
          <w:sz w:val="24"/>
          <w:szCs w:val="24"/>
        </w:rPr>
      </w:pPr>
      <w:r>
        <w:rPr>
          <w:rFonts w:hint="eastAsia" w:ascii="宋体" w:hAnsi="宋体" w:cs="宋体"/>
          <w:b/>
          <w:bCs/>
          <w:sz w:val="24"/>
          <w:szCs w:val="24"/>
        </w:rPr>
        <w:t>（</w:t>
      </w:r>
      <w:r>
        <w:rPr>
          <w:rFonts w:ascii="宋体" w:hAnsi="宋体" w:cs="宋体"/>
          <w:b/>
          <w:bCs/>
          <w:sz w:val="24"/>
          <w:szCs w:val="24"/>
        </w:rPr>
        <w:t>2</w:t>
      </w:r>
      <w:r>
        <w:rPr>
          <w:rFonts w:hint="eastAsia" w:ascii="宋体" w:hAnsi="宋体" w:cs="宋体"/>
          <w:b/>
          <w:bCs/>
          <w:sz w:val="24"/>
          <w:szCs w:val="24"/>
        </w:rPr>
        <w:t>）本项目不享受中小企业扶持政策的公开采购供应商，无须提供“中小企业声明函”。</w:t>
      </w:r>
    </w:p>
    <w:p w14:paraId="3D9DFF06">
      <w:pPr>
        <w:spacing w:line="580" w:lineRule="exact"/>
        <w:jc w:val="center"/>
        <w:rPr>
          <w:rFonts w:hint="eastAsia" w:ascii="仿宋" w:hAnsi="仿宋" w:eastAsia="仿宋" w:cs="仿宋"/>
          <w:b/>
          <w:kern w:val="0"/>
          <w:sz w:val="28"/>
          <w:szCs w:val="28"/>
        </w:rPr>
      </w:pPr>
    </w:p>
    <w:p w14:paraId="18603BAD">
      <w:pPr>
        <w:spacing w:line="580" w:lineRule="exact"/>
        <w:jc w:val="center"/>
        <w:rPr>
          <w:rFonts w:hint="eastAsia" w:ascii="仿宋" w:hAnsi="仿宋" w:eastAsia="仿宋" w:cs="仿宋"/>
          <w:b/>
          <w:kern w:val="0"/>
          <w:sz w:val="28"/>
          <w:szCs w:val="28"/>
        </w:rPr>
      </w:pPr>
    </w:p>
    <w:p w14:paraId="32F7996B">
      <w:pPr>
        <w:spacing w:line="580" w:lineRule="exact"/>
        <w:jc w:val="center"/>
        <w:rPr>
          <w:rFonts w:hint="eastAsia" w:ascii="仿宋" w:hAnsi="仿宋" w:eastAsia="仿宋" w:cs="仿宋"/>
          <w:b/>
          <w:kern w:val="0"/>
          <w:sz w:val="28"/>
          <w:szCs w:val="28"/>
        </w:rPr>
      </w:pPr>
    </w:p>
    <w:p w14:paraId="6893E280">
      <w:pPr>
        <w:spacing w:line="580" w:lineRule="exact"/>
        <w:jc w:val="center"/>
        <w:rPr>
          <w:rFonts w:hint="eastAsia" w:ascii="仿宋" w:hAnsi="仿宋" w:eastAsia="仿宋" w:cs="仿宋"/>
          <w:b/>
          <w:kern w:val="0"/>
          <w:sz w:val="28"/>
          <w:szCs w:val="28"/>
        </w:rPr>
      </w:pPr>
    </w:p>
    <w:p w14:paraId="0A68359C">
      <w:pPr>
        <w:spacing w:line="580" w:lineRule="exact"/>
        <w:jc w:val="center"/>
        <w:rPr>
          <w:rFonts w:hint="eastAsia" w:ascii="仿宋" w:hAnsi="仿宋" w:eastAsia="仿宋" w:cs="仿宋"/>
          <w:b/>
          <w:kern w:val="0"/>
          <w:sz w:val="28"/>
          <w:szCs w:val="28"/>
        </w:rPr>
      </w:pPr>
    </w:p>
    <w:p w14:paraId="7A023747">
      <w:pPr>
        <w:spacing w:line="58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七、残疾人福利性单位声明函</w:t>
      </w:r>
    </w:p>
    <w:p w14:paraId="496443B2">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仿宋" w:hAnsi="仿宋" w:eastAsia="仿宋" w:cs="仿宋"/>
          <w:sz w:val="28"/>
          <w:szCs w:val="28"/>
          <w:u w:val="single"/>
        </w:rPr>
        <w:t xml:space="preserve">       </w:t>
      </w:r>
      <w:r>
        <w:rPr>
          <w:rFonts w:hint="eastAsia" w:ascii="仿宋" w:hAnsi="仿宋" w:eastAsia="仿宋" w:cs="仿宋"/>
          <w:sz w:val="28"/>
          <w:szCs w:val="28"/>
        </w:rPr>
        <w:t>项目采购活动提供本单位制造的货物（由本单位承担工程/提供服务），或者提供其他残疾人福利性单位制造的货物（不包括使用非残疾人福利性单位注册商标的货物）。</w:t>
      </w:r>
    </w:p>
    <w:p w14:paraId="5A636A52">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p>
    <w:p w14:paraId="7CF61063">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（备注：1、供应商如不提供此声明函，价格将不做相应扣除。2、中标人为残疾人福利单位的，此声明函将随中标结果同时公告，接受社会监督）</w:t>
      </w:r>
    </w:p>
    <w:p w14:paraId="1EBC6EF1">
      <w:pPr>
        <w:spacing w:line="580" w:lineRule="exact"/>
        <w:ind w:firstLine="584" w:firstLineChars="200"/>
        <w:rPr>
          <w:rFonts w:hint="eastAsia" w:ascii="仿宋" w:hAnsi="仿宋" w:eastAsia="仿宋" w:cs="仿宋"/>
          <w:spacing w:val="6"/>
          <w:sz w:val="28"/>
          <w:szCs w:val="28"/>
        </w:rPr>
      </w:pPr>
    </w:p>
    <w:p w14:paraId="21333463">
      <w:pPr>
        <w:spacing w:line="580" w:lineRule="exact"/>
        <w:ind w:firstLine="584" w:firstLineChars="200"/>
        <w:rPr>
          <w:rFonts w:hint="eastAsia" w:ascii="仿宋" w:hAnsi="仿宋" w:eastAsia="仿宋" w:cs="仿宋"/>
          <w:spacing w:val="6"/>
          <w:sz w:val="28"/>
          <w:szCs w:val="28"/>
        </w:rPr>
      </w:pPr>
    </w:p>
    <w:p w14:paraId="0D61D749">
      <w:pPr>
        <w:spacing w:line="580" w:lineRule="exact"/>
        <w:ind w:firstLine="584" w:firstLineChars="200"/>
        <w:rPr>
          <w:rFonts w:hint="eastAsia" w:ascii="仿宋" w:hAnsi="仿宋" w:eastAsia="仿宋" w:cs="仿宋"/>
          <w:spacing w:val="6"/>
          <w:sz w:val="28"/>
          <w:szCs w:val="28"/>
        </w:rPr>
      </w:pPr>
    </w:p>
    <w:p w14:paraId="60F2DB79">
      <w:pPr>
        <w:spacing w:line="580" w:lineRule="exact"/>
        <w:ind w:firstLine="584" w:firstLineChars="200"/>
        <w:rPr>
          <w:rFonts w:hint="eastAsia" w:ascii="仿宋" w:hAnsi="仿宋" w:eastAsia="仿宋" w:cs="仿宋"/>
          <w:spacing w:val="6"/>
          <w:sz w:val="28"/>
          <w:szCs w:val="28"/>
        </w:rPr>
      </w:pPr>
    </w:p>
    <w:p w14:paraId="04F4605B">
      <w:pPr>
        <w:spacing w:line="580" w:lineRule="exact"/>
        <w:ind w:firstLine="584" w:firstLineChars="200"/>
        <w:rPr>
          <w:rFonts w:hint="eastAsia" w:ascii="仿宋" w:hAnsi="仿宋" w:eastAsia="仿宋" w:cs="仿宋"/>
          <w:sz w:val="28"/>
          <w:szCs w:val="28"/>
        </w:rPr>
      </w:pPr>
      <w:r>
        <w:rPr>
          <w:rFonts w:hint="eastAsia" w:ascii="仿宋" w:hAnsi="仿宋" w:eastAsia="仿宋" w:cs="仿宋"/>
          <w:spacing w:val="6"/>
          <w:sz w:val="28"/>
          <w:szCs w:val="28"/>
        </w:rPr>
        <w:t xml:space="preserve">             </w:t>
      </w:r>
      <w:r>
        <w:rPr>
          <w:rFonts w:hint="eastAsia" w:ascii="仿宋" w:hAnsi="仿宋" w:eastAsia="仿宋" w:cs="仿宋"/>
          <w:sz w:val="28"/>
          <w:szCs w:val="28"/>
        </w:rPr>
        <w:t xml:space="preserve">           供应商全称（盖章）：</w:t>
      </w:r>
    </w:p>
    <w:p w14:paraId="4E250F5E">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日  期：</w:t>
      </w:r>
    </w:p>
    <w:p w14:paraId="4269AE05">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br w:type="page"/>
      </w:r>
    </w:p>
    <w:p w14:paraId="7C7CBA93">
      <w:pPr>
        <w:spacing w:line="58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八、监狱和戒毒企业证明材料</w:t>
      </w:r>
    </w:p>
    <w:p w14:paraId="0B4F9B84">
      <w:pPr>
        <w:snapToGrid w:val="0"/>
        <w:spacing w:line="580" w:lineRule="exact"/>
        <w:ind w:firstLine="495" w:firstLineChars="177"/>
        <w:rPr>
          <w:rFonts w:hint="eastAsia" w:ascii="仿宋" w:hAnsi="仿宋" w:eastAsia="仿宋" w:cs="仿宋"/>
          <w:sz w:val="28"/>
          <w:szCs w:val="28"/>
        </w:rPr>
      </w:pPr>
    </w:p>
    <w:p w14:paraId="61245B74">
      <w:pPr>
        <w:snapToGrid w:val="0"/>
        <w:spacing w:line="580" w:lineRule="exact"/>
        <w:ind w:firstLine="498" w:firstLineChars="177"/>
        <w:rPr>
          <w:rFonts w:hint="eastAsia" w:ascii="仿宋" w:hAnsi="仿宋" w:eastAsia="仿宋" w:cs="仿宋"/>
          <w:b/>
          <w:sz w:val="28"/>
          <w:szCs w:val="28"/>
        </w:rPr>
      </w:pPr>
      <w:r>
        <w:rPr>
          <w:rFonts w:hint="eastAsia" w:ascii="仿宋" w:hAnsi="仿宋" w:eastAsia="仿宋" w:cs="仿宋"/>
          <w:b/>
          <w:sz w:val="28"/>
          <w:szCs w:val="28"/>
        </w:rPr>
        <w:t>（格式自拟）</w:t>
      </w:r>
    </w:p>
    <w:p w14:paraId="5C18990C">
      <w:pPr>
        <w:snapToGrid w:val="0"/>
        <w:spacing w:line="580" w:lineRule="exact"/>
        <w:ind w:firstLine="495" w:firstLineChars="177"/>
        <w:rPr>
          <w:rFonts w:hint="eastAsia" w:ascii="仿宋" w:hAnsi="仿宋" w:eastAsia="仿宋" w:cs="仿宋"/>
          <w:sz w:val="28"/>
          <w:szCs w:val="28"/>
        </w:rPr>
      </w:pPr>
    </w:p>
    <w:p w14:paraId="40806E10">
      <w:pPr>
        <w:snapToGrid w:val="0"/>
        <w:spacing w:line="580" w:lineRule="exact"/>
        <w:ind w:firstLine="660" w:firstLineChars="236"/>
        <w:rPr>
          <w:rFonts w:hint="eastAsia" w:ascii="仿宋" w:hAnsi="仿宋" w:eastAsia="仿宋" w:cs="仿宋"/>
          <w:sz w:val="28"/>
          <w:szCs w:val="28"/>
        </w:rPr>
      </w:pPr>
      <w:r>
        <w:rPr>
          <w:rFonts w:hint="eastAsia" w:ascii="仿宋" w:hAnsi="仿宋" w:eastAsia="仿宋" w:cs="仿宋"/>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bookmarkStart w:id="13" w:name="_Hlt26670357"/>
      <w:bookmarkEnd w:id="13"/>
      <w:bookmarkStart w:id="14" w:name="_Hlt26954836"/>
      <w:bookmarkEnd w:id="1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41A09">
    <w:pPr>
      <w:pStyle w:val="8"/>
    </w:pPr>
    <w:r>
      <w:fldChar w:fldCharType="begin"/>
    </w:r>
    <w:r>
      <w:instrText xml:space="preserve">PAGE   \* MERGEFORMAT</w:instrText>
    </w:r>
    <w:r>
      <w:fldChar w:fldCharType="separate"/>
    </w:r>
    <w: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F5E9DE"/>
    <w:multiLevelType w:val="singleLevel"/>
    <w:tmpl w:val="4BF5E9D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5YWE0MGU1Mjg0ZTgzZmZhNWE4NzI5OGQxNWUxOGUifQ=="/>
  </w:docVars>
  <w:rsids>
    <w:rsidRoot w:val="008B44FA"/>
    <w:rsid w:val="00033BD8"/>
    <w:rsid w:val="0020711A"/>
    <w:rsid w:val="002212AD"/>
    <w:rsid w:val="002D3EE6"/>
    <w:rsid w:val="003514D7"/>
    <w:rsid w:val="003765E0"/>
    <w:rsid w:val="003A3E39"/>
    <w:rsid w:val="00454E73"/>
    <w:rsid w:val="006117CC"/>
    <w:rsid w:val="0066682A"/>
    <w:rsid w:val="00874DCC"/>
    <w:rsid w:val="008B44FA"/>
    <w:rsid w:val="00A1545E"/>
    <w:rsid w:val="00A264E5"/>
    <w:rsid w:val="00C75CDD"/>
    <w:rsid w:val="00E018EA"/>
    <w:rsid w:val="00EA5886"/>
    <w:rsid w:val="03632314"/>
    <w:rsid w:val="054A4347"/>
    <w:rsid w:val="06EC6CB0"/>
    <w:rsid w:val="08EC16D6"/>
    <w:rsid w:val="0B0E003D"/>
    <w:rsid w:val="0CCE63EA"/>
    <w:rsid w:val="0D122F7C"/>
    <w:rsid w:val="0ED14A01"/>
    <w:rsid w:val="1E3173A3"/>
    <w:rsid w:val="1FB5190D"/>
    <w:rsid w:val="21026DD4"/>
    <w:rsid w:val="21034187"/>
    <w:rsid w:val="230E380E"/>
    <w:rsid w:val="253634F0"/>
    <w:rsid w:val="25420172"/>
    <w:rsid w:val="266A4A66"/>
    <w:rsid w:val="27313F6F"/>
    <w:rsid w:val="274A3481"/>
    <w:rsid w:val="29036D41"/>
    <w:rsid w:val="2C7F1D66"/>
    <w:rsid w:val="2DFF2F9F"/>
    <w:rsid w:val="310628D2"/>
    <w:rsid w:val="34F74F3F"/>
    <w:rsid w:val="3B2C087E"/>
    <w:rsid w:val="3F8F3AD1"/>
    <w:rsid w:val="402B68EC"/>
    <w:rsid w:val="40581C90"/>
    <w:rsid w:val="43C733D9"/>
    <w:rsid w:val="46D6554F"/>
    <w:rsid w:val="47EA5D49"/>
    <w:rsid w:val="48A04659"/>
    <w:rsid w:val="496F3214"/>
    <w:rsid w:val="4B60421F"/>
    <w:rsid w:val="4C895659"/>
    <w:rsid w:val="4D5A571F"/>
    <w:rsid w:val="51C17B81"/>
    <w:rsid w:val="530F5E98"/>
    <w:rsid w:val="574E7C47"/>
    <w:rsid w:val="5B8E7542"/>
    <w:rsid w:val="5BE07737"/>
    <w:rsid w:val="5DB0449E"/>
    <w:rsid w:val="5F7924B3"/>
    <w:rsid w:val="61AC3951"/>
    <w:rsid w:val="62CA1E9E"/>
    <w:rsid w:val="64CF2CAC"/>
    <w:rsid w:val="65304C99"/>
    <w:rsid w:val="67B46B65"/>
    <w:rsid w:val="6B77248F"/>
    <w:rsid w:val="6BCA51D0"/>
    <w:rsid w:val="6FDB0EEF"/>
    <w:rsid w:val="716A1AF0"/>
    <w:rsid w:val="75556648"/>
    <w:rsid w:val="75D53498"/>
    <w:rsid w:val="77B73E67"/>
    <w:rsid w:val="77E67569"/>
    <w:rsid w:val="79927E6B"/>
    <w:rsid w:val="7AB01CC0"/>
    <w:rsid w:val="7B2A541A"/>
    <w:rsid w:val="7BFE7E6B"/>
    <w:rsid w:val="7CBE50AF"/>
    <w:rsid w:val="7ED22427"/>
    <w:rsid w:val="7F8A2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keepNext/>
      <w:outlineLvl w:val="0"/>
    </w:pPr>
    <w:rPr>
      <w:rFonts w:ascii="楷体_GB2312" w:eastAsia="楷体_GB2312"/>
      <w:sz w:val="28"/>
      <w:szCs w:val="20"/>
    </w:rPr>
  </w:style>
  <w:style w:type="paragraph" w:styleId="3">
    <w:name w:val="heading 2"/>
    <w:basedOn w:val="1"/>
    <w:next w:val="1"/>
    <w:link w:val="15"/>
    <w:autoRedefine/>
    <w:qFormat/>
    <w:uiPriority w:val="99"/>
    <w:pPr>
      <w:keepNext/>
      <w:keepLines/>
      <w:spacing w:before="260" w:after="260" w:line="412" w:lineRule="auto"/>
      <w:outlineLvl w:val="1"/>
    </w:pPr>
    <w:rPr>
      <w:rFonts w:ascii="Arial" w:hAnsi="Arial" w:eastAsia="黑体" w:cs="Arial"/>
      <w:b/>
      <w:bCs/>
      <w:sz w:val="32"/>
      <w:szCs w:val="32"/>
    </w:rPr>
  </w:style>
  <w:style w:type="paragraph" w:styleId="4">
    <w:name w:val="heading 3"/>
    <w:basedOn w:val="1"/>
    <w:next w:val="5"/>
    <w:autoRedefine/>
    <w:qFormat/>
    <w:uiPriority w:val="0"/>
    <w:pPr>
      <w:keepNext/>
      <w:keepLines/>
      <w:spacing w:before="260" w:after="260" w:line="416" w:lineRule="auto"/>
      <w:outlineLvl w:val="2"/>
    </w:pPr>
    <w:rPr>
      <w:b/>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Plain Text"/>
    <w:basedOn w:val="1"/>
    <w:autoRedefine/>
    <w:qFormat/>
    <w:uiPriority w:val="0"/>
    <w:rPr>
      <w:rFonts w:hint="eastAsia" w:ascii="宋体" w:hAnsi="Courier New"/>
      <w:szCs w:val="20"/>
    </w:rPr>
  </w:style>
  <w:style w:type="paragraph" w:styleId="7">
    <w:name w:val="Date"/>
    <w:basedOn w:val="1"/>
    <w:next w:val="1"/>
    <w:autoRedefine/>
    <w:qFormat/>
    <w:uiPriority w:val="0"/>
    <w:rPr>
      <w:sz w:val="24"/>
      <w:szCs w:val="20"/>
    </w:rPr>
  </w:style>
  <w:style w:type="paragraph" w:styleId="8">
    <w:name w:val="footer"/>
    <w:basedOn w:val="1"/>
    <w:autoRedefine/>
    <w:qFormat/>
    <w:uiPriority w:val="0"/>
    <w:pPr>
      <w:tabs>
        <w:tab w:val="center" w:pos="4153"/>
        <w:tab w:val="right" w:pos="8306"/>
      </w:tabs>
      <w:snapToGrid w:val="0"/>
      <w:jc w:val="left"/>
    </w:pPr>
    <w:rPr>
      <w:sz w:val="18"/>
      <w:szCs w:val="20"/>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paragraph" w:customStyle="1" w:styleId="14">
    <w:name w:val="正文1"/>
    <w:autoRedefine/>
    <w:qFormat/>
    <w:uiPriority w:val="0"/>
    <w:pPr>
      <w:widowControl w:val="0"/>
      <w:tabs>
        <w:tab w:val="left" w:pos="1680"/>
      </w:tabs>
      <w:adjustRightInd w:val="0"/>
      <w:spacing w:line="315" w:lineRule="atLeast"/>
      <w:ind w:firstLine="560" w:firstLineChars="200"/>
      <w:jc w:val="both"/>
      <w:textAlignment w:val="baseline"/>
    </w:pPr>
    <w:rPr>
      <w:rFonts w:ascii="宋体" w:hAnsi="Times New Roman" w:eastAsia="宋体" w:cs="Times New Roman"/>
      <w:sz w:val="28"/>
      <w:szCs w:val="21"/>
      <w:lang w:val="en-US" w:eastAsia="zh-CN" w:bidi="ar-SA"/>
    </w:rPr>
  </w:style>
  <w:style w:type="character" w:customStyle="1" w:styleId="15">
    <w:name w:val="标题 2 字符"/>
    <w:basedOn w:val="12"/>
    <w:link w:val="3"/>
    <w:autoRedefine/>
    <w:qFormat/>
    <w:uiPriority w:val="99"/>
    <w:rPr>
      <w:rFonts w:ascii="Arial" w:hAnsi="Arial" w:eastAsia="黑体" w:cs="Arial"/>
      <w:b/>
      <w:bCs/>
      <w:sz w:val="32"/>
      <w:szCs w:val="32"/>
    </w:rPr>
  </w:style>
  <w:style w:type="paragraph" w:customStyle="1" w:styleId="1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
    <w:name w:val="Char"/>
    <w:basedOn w:val="1"/>
    <w:autoRedefine/>
    <w:qFormat/>
    <w:uiPriority w:val="0"/>
    <w:pPr>
      <w:tabs>
        <w:tab w:val="left" w:pos="360"/>
      </w:tabs>
    </w:pPr>
    <w:rPr>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10854</Words>
  <Characters>11275</Characters>
  <Lines>422</Lines>
  <Paragraphs>402</Paragraphs>
  <TotalTime>19</TotalTime>
  <ScaleCrop>false</ScaleCrop>
  <LinksUpToDate>false</LinksUpToDate>
  <CharactersWithSpaces>12041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2025-04-10T02:35:00Z</dcterms:created>
  <dc:creator>NTKO</dc:creator>
  <cp:lastModifiedBy>幸福久久</cp:lastModifiedBy>
  <dcterms:modified xsi:type="dcterms:W3CDTF">2026-04-17T01:37:43Z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7667B3872AD840AA83F52BF41D11DFB5_13</vt:lpwstr>
  </property>
  <property fmtid="{D5CDD505-2E9C-101B-9397-08002B2CF9AE}" pid="4" name="KSOTemplateDocerSaveRecord">
    <vt:lpwstr>eyJoZGlkIjoiMGQ5YWE0MGU1Mjg0ZTgzZmZhNWE4NzI5OGQxNWUxOGUiLCJ1c2VySWQiOiIxMjk0NjI2NTcwIn0=</vt:lpwstr>
  </property>
</Properties>
</file>