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2ACCA">
      <w:pPr>
        <w:pStyle w:val="110"/>
        <w:ind w:firstLine="0"/>
        <w:jc w:val="center"/>
        <w:rPr>
          <w:rFonts w:ascii="宋体" w:hAnsi="宋体"/>
          <w:b/>
          <w:sz w:val="52"/>
          <w:szCs w:val="52"/>
        </w:rPr>
      </w:pPr>
      <w:bookmarkStart w:id="185" w:name="_GoBack"/>
      <w:bookmarkEnd w:id="185"/>
    </w:p>
    <w:p w14:paraId="5772AC76">
      <w:pPr>
        <w:pStyle w:val="110"/>
        <w:ind w:firstLine="0"/>
        <w:jc w:val="center"/>
        <w:rPr>
          <w:rFonts w:ascii="宋体" w:hAnsi="宋体"/>
          <w:b/>
          <w:sz w:val="52"/>
          <w:szCs w:val="52"/>
        </w:rPr>
      </w:pPr>
    </w:p>
    <w:p w14:paraId="51621013">
      <w:pPr>
        <w:pStyle w:val="110"/>
        <w:ind w:firstLine="0"/>
        <w:jc w:val="center"/>
        <w:rPr>
          <w:rFonts w:eastAsia="黑体"/>
          <w:b/>
          <w:bCs/>
          <w:sz w:val="84"/>
        </w:rPr>
      </w:pPr>
      <w:r>
        <w:rPr>
          <w:rFonts w:hint="eastAsia" w:eastAsia="黑体"/>
          <w:b/>
          <w:bCs/>
          <w:sz w:val="84"/>
        </w:rPr>
        <w:t>竞争性磋商文件</w:t>
      </w:r>
    </w:p>
    <w:p w14:paraId="19B744AF">
      <w:pPr>
        <w:pStyle w:val="110"/>
        <w:ind w:firstLine="0"/>
        <w:jc w:val="center"/>
        <w:rPr>
          <w:rFonts w:ascii="宋体" w:hAnsi="宋体"/>
          <w:b/>
          <w:bCs/>
          <w:sz w:val="32"/>
        </w:rPr>
      </w:pPr>
    </w:p>
    <w:p w14:paraId="0F181AB9">
      <w:pPr>
        <w:pStyle w:val="110"/>
        <w:ind w:firstLine="0"/>
        <w:jc w:val="center"/>
        <w:rPr>
          <w:rFonts w:ascii="宋体" w:hAnsi="宋体"/>
          <w:b/>
          <w:bCs/>
          <w:sz w:val="32"/>
        </w:rPr>
      </w:pPr>
    </w:p>
    <w:p w14:paraId="24746581">
      <w:pPr>
        <w:pStyle w:val="110"/>
        <w:ind w:firstLine="0"/>
        <w:jc w:val="center"/>
        <w:rPr>
          <w:rFonts w:ascii="宋体" w:hAnsi="宋体"/>
          <w:b/>
          <w:bCs/>
          <w:sz w:val="32"/>
        </w:rPr>
      </w:pPr>
    </w:p>
    <w:p w14:paraId="5A93991A">
      <w:pPr>
        <w:pStyle w:val="110"/>
        <w:ind w:firstLine="0"/>
        <w:jc w:val="center"/>
        <w:rPr>
          <w:b/>
          <w:bCs/>
          <w:sz w:val="32"/>
        </w:rPr>
      </w:pPr>
      <w:r>
        <w:rPr>
          <w:rFonts w:hint="eastAsia"/>
          <w:b/>
          <w:bCs/>
          <w:sz w:val="32"/>
        </w:rPr>
        <w:t>项目名称：</w:t>
      </w:r>
      <w:r>
        <w:rPr>
          <w:rFonts w:hint="eastAsia"/>
          <w:b/>
          <w:bCs/>
          <w:sz w:val="32"/>
          <w:lang w:val="zh-CN"/>
        </w:rPr>
        <w:t>南通市通州区烈士陵园</w:t>
      </w:r>
      <w:r>
        <w:rPr>
          <w:rFonts w:hint="eastAsia"/>
          <w:b/>
          <w:bCs/>
          <w:sz w:val="32"/>
        </w:rPr>
        <w:t>展柜采购</w:t>
      </w:r>
      <w:r>
        <w:rPr>
          <w:rFonts w:hint="eastAsia"/>
          <w:b/>
          <w:bCs/>
          <w:sz w:val="32"/>
          <w:lang w:val="zh-CN"/>
        </w:rPr>
        <w:t>项目</w:t>
      </w:r>
    </w:p>
    <w:p w14:paraId="6905E406">
      <w:pPr>
        <w:pStyle w:val="110"/>
        <w:ind w:firstLine="0"/>
        <w:jc w:val="center"/>
        <w:rPr>
          <w:b/>
          <w:bCs/>
          <w:sz w:val="32"/>
        </w:rPr>
      </w:pPr>
    </w:p>
    <w:p w14:paraId="21283AD6">
      <w:pPr>
        <w:pStyle w:val="110"/>
        <w:spacing w:before="0" w:after="0"/>
        <w:ind w:firstLine="0"/>
        <w:rPr>
          <w:rFonts w:ascii="宋体" w:hAnsi="宋体"/>
        </w:rPr>
      </w:pPr>
    </w:p>
    <w:p w14:paraId="2C37C17F">
      <w:pPr>
        <w:pStyle w:val="110"/>
        <w:spacing w:before="0" w:after="0"/>
        <w:ind w:firstLine="0"/>
        <w:rPr>
          <w:rFonts w:ascii="宋体" w:hAnsi="宋体"/>
        </w:rPr>
      </w:pPr>
    </w:p>
    <w:p w14:paraId="7415E5BC">
      <w:pPr>
        <w:pStyle w:val="110"/>
        <w:spacing w:before="0" w:after="0"/>
        <w:ind w:firstLine="0"/>
        <w:rPr>
          <w:rFonts w:ascii="宋体" w:hAnsi="宋体"/>
        </w:rPr>
      </w:pPr>
    </w:p>
    <w:p w14:paraId="7882EAFF">
      <w:pPr>
        <w:pStyle w:val="110"/>
        <w:spacing w:before="0" w:after="0"/>
        <w:ind w:firstLine="0"/>
        <w:rPr>
          <w:rFonts w:ascii="宋体" w:hAnsi="宋体"/>
        </w:rPr>
      </w:pPr>
    </w:p>
    <w:p w14:paraId="7E82633F">
      <w:pPr>
        <w:pStyle w:val="110"/>
        <w:spacing w:before="0" w:after="0"/>
        <w:ind w:firstLine="0"/>
        <w:rPr>
          <w:rFonts w:ascii="宋体" w:hAnsi="宋体"/>
        </w:rPr>
      </w:pPr>
    </w:p>
    <w:p w14:paraId="3D507F03">
      <w:pPr>
        <w:pStyle w:val="110"/>
        <w:spacing w:before="0" w:after="0"/>
        <w:ind w:firstLine="0"/>
        <w:rPr>
          <w:rFonts w:ascii="宋体" w:hAnsi="宋体"/>
        </w:rPr>
      </w:pPr>
    </w:p>
    <w:p w14:paraId="3218CBD6">
      <w:pPr>
        <w:pStyle w:val="110"/>
        <w:spacing w:before="0" w:after="0"/>
        <w:ind w:firstLine="0"/>
        <w:rPr>
          <w:rFonts w:ascii="宋体" w:hAnsi="宋体"/>
        </w:rPr>
      </w:pPr>
    </w:p>
    <w:p w14:paraId="2CEAEFD2">
      <w:pPr>
        <w:spacing w:line="520" w:lineRule="exact"/>
        <w:jc w:val="center"/>
        <w:rPr>
          <w:rFonts w:ascii="宋体" w:hAnsi="宋体"/>
          <w:sz w:val="30"/>
          <w:szCs w:val="30"/>
        </w:rPr>
      </w:pPr>
      <w:r>
        <w:rPr>
          <w:rFonts w:hint="eastAsia" w:ascii="宋体" w:hAnsi="宋体"/>
          <w:sz w:val="30"/>
          <w:szCs w:val="30"/>
        </w:rPr>
        <w:t>采购人：南通市通州区烈士陵园管理处</w:t>
      </w:r>
    </w:p>
    <w:p w14:paraId="0AC6857B">
      <w:pPr>
        <w:spacing w:line="520" w:lineRule="exact"/>
        <w:jc w:val="center"/>
        <w:rPr>
          <w:rFonts w:ascii="宋体" w:hAnsi="宋体"/>
          <w:sz w:val="30"/>
          <w:szCs w:val="30"/>
        </w:rPr>
      </w:pPr>
      <w:r>
        <w:rPr>
          <w:rFonts w:hint="eastAsia" w:ascii="宋体" w:hAnsi="宋体"/>
          <w:sz w:val="30"/>
          <w:szCs w:val="30"/>
        </w:rPr>
        <w:t>2025年9月</w:t>
      </w:r>
    </w:p>
    <w:p w14:paraId="4BAA980C">
      <w:pPr>
        <w:adjustRightInd w:val="0"/>
        <w:snapToGrid w:val="0"/>
        <w:spacing w:line="360" w:lineRule="auto"/>
        <w:jc w:val="center"/>
        <w:rPr>
          <w:sz w:val="44"/>
          <w:szCs w:val="44"/>
        </w:rPr>
        <w:sectPr>
          <w:headerReference r:id="rId4" w:type="first"/>
          <w:headerReference r:id="rId3" w:type="default"/>
          <w:footerReference r:id="rId5" w:type="default"/>
          <w:pgSz w:w="11906" w:h="16838"/>
          <w:pgMar w:top="1457" w:right="1780" w:bottom="1457" w:left="1780" w:header="851" w:footer="992" w:gutter="0"/>
          <w:cols w:space="720" w:num="1"/>
          <w:docGrid w:linePitch="312" w:charSpace="0"/>
        </w:sectPr>
      </w:pPr>
    </w:p>
    <w:p w14:paraId="306CD9DB">
      <w:pPr>
        <w:jc w:val="center"/>
        <w:rPr>
          <w:rFonts w:ascii="宋体" w:hAnsi="宋体" w:cs="宋体"/>
          <w:b/>
          <w:sz w:val="36"/>
          <w:szCs w:val="36"/>
        </w:rPr>
      </w:pPr>
      <w:r>
        <w:rPr>
          <w:rFonts w:hint="eastAsia" w:ascii="宋体" w:hAnsi="宋体" w:cs="宋体"/>
          <w:b/>
          <w:sz w:val="36"/>
          <w:szCs w:val="36"/>
        </w:rPr>
        <w:t>竞争性磋商文件备案表</w:t>
      </w:r>
    </w:p>
    <w:tbl>
      <w:tblPr>
        <w:tblStyle w:val="47"/>
        <w:tblpPr w:leftFromText="180" w:rightFromText="180" w:vertAnchor="page" w:horzAnchor="page" w:tblpXSpec="center" w:tblpY="2619"/>
        <w:tblOverlap w:val="never"/>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6040"/>
      </w:tblGrid>
      <w:tr w14:paraId="3111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3018" w:type="dxa"/>
            <w:noWrap/>
            <w:vAlign w:val="center"/>
          </w:tcPr>
          <w:p w14:paraId="7ED82068">
            <w:pPr>
              <w:jc w:val="center"/>
              <w:rPr>
                <w:rFonts w:ascii="宋体" w:hAnsi="宋体" w:cs="仿宋"/>
                <w:sz w:val="28"/>
                <w:szCs w:val="28"/>
              </w:rPr>
            </w:pPr>
            <w:r>
              <w:rPr>
                <w:rFonts w:hint="eastAsia" w:ascii="宋体" w:hAnsi="宋体" w:cs="仿宋"/>
                <w:sz w:val="28"/>
                <w:szCs w:val="28"/>
              </w:rPr>
              <w:t>采购代理</w:t>
            </w:r>
          </w:p>
        </w:tc>
        <w:tc>
          <w:tcPr>
            <w:tcW w:w="6040" w:type="dxa"/>
            <w:noWrap/>
          </w:tcPr>
          <w:p w14:paraId="3ED1E0FD">
            <w:pPr>
              <w:rPr>
                <w:rFonts w:ascii="宋体" w:hAnsi="宋体" w:cs="仿宋"/>
                <w:sz w:val="28"/>
                <w:szCs w:val="28"/>
              </w:rPr>
            </w:pPr>
          </w:p>
          <w:p w14:paraId="03A9720A">
            <w:pPr>
              <w:rPr>
                <w:rFonts w:ascii="宋体" w:hAnsi="宋体" w:cs="仿宋"/>
                <w:sz w:val="28"/>
                <w:szCs w:val="28"/>
              </w:rPr>
            </w:pPr>
          </w:p>
          <w:p w14:paraId="2E585618">
            <w:pPr>
              <w:rPr>
                <w:rFonts w:ascii="宋体" w:hAnsi="宋体" w:cs="仿宋"/>
                <w:sz w:val="28"/>
                <w:szCs w:val="28"/>
              </w:rPr>
            </w:pPr>
            <w:r>
              <w:rPr>
                <w:rFonts w:hint="eastAsia" w:ascii="宋体" w:hAnsi="宋体" w:cs="仿宋"/>
                <w:sz w:val="28"/>
                <w:szCs w:val="28"/>
              </w:rPr>
              <w:t>编制人：</w:t>
            </w:r>
          </w:p>
          <w:p w14:paraId="3C768952">
            <w:pPr>
              <w:rPr>
                <w:rFonts w:ascii="宋体" w:hAnsi="宋体" w:cs="仿宋"/>
                <w:sz w:val="28"/>
                <w:szCs w:val="28"/>
              </w:rPr>
            </w:pPr>
          </w:p>
          <w:p w14:paraId="462767C7">
            <w:pPr>
              <w:rPr>
                <w:rFonts w:ascii="宋体" w:hAnsi="宋体" w:cs="仿宋"/>
                <w:sz w:val="28"/>
                <w:szCs w:val="28"/>
              </w:rPr>
            </w:pPr>
            <w:r>
              <w:rPr>
                <w:rFonts w:hint="eastAsia" w:ascii="宋体" w:hAnsi="宋体" w:cs="仿宋"/>
                <w:sz w:val="28"/>
                <w:szCs w:val="28"/>
              </w:rPr>
              <w:t>采购代理：  （公章）</w:t>
            </w:r>
          </w:p>
          <w:p w14:paraId="6A85371B">
            <w:pPr>
              <w:rPr>
                <w:rFonts w:ascii="宋体" w:hAnsi="宋体" w:cs="仿宋"/>
                <w:sz w:val="28"/>
                <w:szCs w:val="28"/>
              </w:rPr>
            </w:pPr>
            <w:r>
              <w:rPr>
                <w:rFonts w:hint="eastAsia" w:ascii="宋体" w:hAnsi="宋体" w:cs="仿宋"/>
                <w:sz w:val="28"/>
                <w:szCs w:val="28"/>
              </w:rPr>
              <w:t xml:space="preserve">                      年  月  日</w:t>
            </w:r>
          </w:p>
          <w:p w14:paraId="06347774">
            <w:pPr>
              <w:rPr>
                <w:rFonts w:ascii="宋体" w:hAnsi="宋体" w:cs="仿宋"/>
                <w:sz w:val="28"/>
                <w:szCs w:val="28"/>
              </w:rPr>
            </w:pPr>
          </w:p>
        </w:tc>
      </w:tr>
      <w:tr w14:paraId="4661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3018" w:type="dxa"/>
            <w:vMerge w:val="restart"/>
            <w:noWrap/>
            <w:vAlign w:val="center"/>
          </w:tcPr>
          <w:p w14:paraId="5B86ACF8">
            <w:pPr>
              <w:jc w:val="center"/>
              <w:rPr>
                <w:rFonts w:ascii="宋体" w:hAnsi="宋体" w:cs="仿宋"/>
                <w:sz w:val="28"/>
                <w:szCs w:val="28"/>
              </w:rPr>
            </w:pPr>
            <w:r>
              <w:rPr>
                <w:rFonts w:hint="eastAsia" w:ascii="宋体" w:hAnsi="宋体" w:cs="仿宋"/>
                <w:sz w:val="28"/>
                <w:szCs w:val="28"/>
              </w:rPr>
              <w:t>采购人</w:t>
            </w:r>
          </w:p>
          <w:p w14:paraId="78C1D1A5">
            <w:pPr>
              <w:jc w:val="center"/>
              <w:rPr>
                <w:rFonts w:ascii="宋体" w:hAnsi="宋体" w:cs="仿宋"/>
                <w:sz w:val="28"/>
                <w:szCs w:val="28"/>
              </w:rPr>
            </w:pPr>
          </w:p>
        </w:tc>
        <w:tc>
          <w:tcPr>
            <w:tcW w:w="6040" w:type="dxa"/>
            <w:noWrap/>
          </w:tcPr>
          <w:p w14:paraId="28C6FE4B">
            <w:pPr>
              <w:rPr>
                <w:rFonts w:ascii="宋体" w:hAnsi="宋体" w:cs="仿宋"/>
                <w:sz w:val="28"/>
                <w:szCs w:val="28"/>
              </w:rPr>
            </w:pPr>
          </w:p>
          <w:p w14:paraId="6378964C">
            <w:pPr>
              <w:rPr>
                <w:rFonts w:ascii="宋体" w:hAnsi="宋体" w:cs="仿宋"/>
                <w:sz w:val="28"/>
                <w:szCs w:val="28"/>
              </w:rPr>
            </w:pPr>
          </w:p>
          <w:p w14:paraId="617040B6">
            <w:pPr>
              <w:rPr>
                <w:rFonts w:ascii="宋体" w:hAnsi="宋体" w:cs="仿宋"/>
                <w:sz w:val="28"/>
                <w:szCs w:val="28"/>
              </w:rPr>
            </w:pPr>
            <w:r>
              <w:rPr>
                <w:rFonts w:hint="eastAsia" w:ascii="宋体" w:hAnsi="宋体" w:cs="仿宋"/>
                <w:sz w:val="28"/>
                <w:szCs w:val="28"/>
              </w:rPr>
              <w:t>审阅人（签字）</w:t>
            </w:r>
          </w:p>
          <w:p w14:paraId="3BF3D9BC">
            <w:pPr>
              <w:rPr>
                <w:rFonts w:ascii="宋体" w:hAnsi="宋体" w:cs="仿宋"/>
                <w:sz w:val="28"/>
                <w:szCs w:val="28"/>
              </w:rPr>
            </w:pPr>
          </w:p>
          <w:p w14:paraId="1800D540">
            <w:pPr>
              <w:rPr>
                <w:rFonts w:ascii="宋体" w:hAnsi="宋体" w:cs="仿宋"/>
                <w:sz w:val="28"/>
                <w:szCs w:val="28"/>
              </w:rPr>
            </w:pPr>
          </w:p>
          <w:p w14:paraId="79482DAA">
            <w:pPr>
              <w:rPr>
                <w:rFonts w:ascii="宋体" w:hAnsi="宋体" w:cs="仿宋"/>
                <w:sz w:val="28"/>
                <w:szCs w:val="28"/>
              </w:rPr>
            </w:pPr>
          </w:p>
          <w:p w14:paraId="15E7A94F">
            <w:pPr>
              <w:ind w:firstLine="3080" w:firstLineChars="1100"/>
              <w:rPr>
                <w:rFonts w:ascii="宋体" w:hAnsi="宋体" w:cs="仿宋"/>
                <w:sz w:val="28"/>
                <w:szCs w:val="28"/>
              </w:rPr>
            </w:pPr>
            <w:r>
              <w:rPr>
                <w:rFonts w:hint="eastAsia" w:ascii="宋体" w:hAnsi="宋体" w:cs="仿宋"/>
                <w:sz w:val="28"/>
                <w:szCs w:val="28"/>
              </w:rPr>
              <w:t>年  月  日</w:t>
            </w:r>
          </w:p>
        </w:tc>
      </w:tr>
      <w:tr w14:paraId="7CFC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jc w:val="center"/>
        </w:trPr>
        <w:tc>
          <w:tcPr>
            <w:tcW w:w="3018" w:type="dxa"/>
            <w:vMerge w:val="continue"/>
            <w:noWrap/>
          </w:tcPr>
          <w:p w14:paraId="5B9611E7">
            <w:pPr>
              <w:rPr>
                <w:rFonts w:ascii="宋体" w:hAnsi="宋体" w:cs="仿宋"/>
                <w:sz w:val="28"/>
                <w:szCs w:val="28"/>
              </w:rPr>
            </w:pPr>
          </w:p>
        </w:tc>
        <w:tc>
          <w:tcPr>
            <w:tcW w:w="6040" w:type="dxa"/>
            <w:noWrap/>
          </w:tcPr>
          <w:p w14:paraId="13ED915E">
            <w:pPr>
              <w:rPr>
                <w:rFonts w:ascii="宋体" w:hAnsi="宋体" w:cs="仿宋"/>
                <w:sz w:val="28"/>
                <w:szCs w:val="28"/>
              </w:rPr>
            </w:pPr>
          </w:p>
          <w:p w14:paraId="705A30D5">
            <w:pPr>
              <w:rPr>
                <w:rFonts w:ascii="宋体" w:hAnsi="宋体" w:cs="仿宋"/>
                <w:sz w:val="28"/>
                <w:szCs w:val="28"/>
              </w:rPr>
            </w:pPr>
          </w:p>
          <w:p w14:paraId="1CA6E1E5">
            <w:pPr>
              <w:rPr>
                <w:rFonts w:ascii="宋体" w:hAnsi="宋体" w:cs="仿宋"/>
                <w:sz w:val="28"/>
                <w:szCs w:val="28"/>
              </w:rPr>
            </w:pPr>
          </w:p>
          <w:p w14:paraId="16DBFC33">
            <w:pPr>
              <w:rPr>
                <w:rFonts w:ascii="宋体" w:hAnsi="宋体" w:cs="仿宋"/>
                <w:sz w:val="28"/>
                <w:szCs w:val="28"/>
              </w:rPr>
            </w:pPr>
          </w:p>
          <w:p w14:paraId="563B7BA4">
            <w:pPr>
              <w:rPr>
                <w:rFonts w:ascii="宋体" w:hAnsi="宋体" w:cs="仿宋"/>
                <w:sz w:val="28"/>
                <w:szCs w:val="28"/>
              </w:rPr>
            </w:pPr>
            <w:r>
              <w:rPr>
                <w:rFonts w:hint="eastAsia" w:ascii="宋体" w:hAnsi="宋体" w:cs="仿宋"/>
                <w:sz w:val="28"/>
                <w:szCs w:val="28"/>
              </w:rPr>
              <w:t>采购人（公章）</w:t>
            </w:r>
          </w:p>
          <w:p w14:paraId="510C2926">
            <w:pPr>
              <w:ind w:firstLine="3080" w:firstLineChars="1100"/>
              <w:rPr>
                <w:rFonts w:ascii="宋体" w:hAnsi="宋体" w:cs="仿宋"/>
                <w:sz w:val="28"/>
                <w:szCs w:val="28"/>
              </w:rPr>
            </w:pPr>
          </w:p>
        </w:tc>
      </w:tr>
    </w:tbl>
    <w:p w14:paraId="68D0072A">
      <w:pPr>
        <w:sectPr>
          <w:footerReference r:id="rId7" w:type="first"/>
          <w:footerReference r:id="rId6" w:type="default"/>
          <w:pgSz w:w="11906" w:h="16838"/>
          <w:pgMar w:top="1418" w:right="1555" w:bottom="1418" w:left="1531" w:header="851" w:footer="992" w:gutter="0"/>
          <w:pgNumType w:start="2"/>
          <w:cols w:space="720" w:num="1"/>
          <w:titlePg/>
          <w:docGrid w:type="lines" w:linePitch="312" w:charSpace="0"/>
        </w:sectPr>
      </w:pPr>
    </w:p>
    <w:p w14:paraId="39D244B6">
      <w:pPr>
        <w:spacing w:line="480" w:lineRule="auto"/>
        <w:jc w:val="center"/>
        <w:outlineLvl w:val="0"/>
        <w:rPr>
          <w:rFonts w:ascii="宋体" w:hAnsi="宋体" w:cs="宋体"/>
          <w:b/>
          <w:sz w:val="36"/>
          <w:szCs w:val="36"/>
        </w:rPr>
      </w:pPr>
      <w:bookmarkStart w:id="0" w:name="_Toc20227"/>
      <w:r>
        <w:rPr>
          <w:rFonts w:hint="eastAsia" w:ascii="宋体" w:hAnsi="宋体" w:cs="宋体"/>
          <w:b/>
          <w:sz w:val="36"/>
          <w:szCs w:val="36"/>
        </w:rPr>
        <w:t>总 目 录</w:t>
      </w:r>
      <w:bookmarkEnd w:id="0"/>
    </w:p>
    <w:p w14:paraId="3396C90A">
      <w:pPr>
        <w:pStyle w:val="32"/>
        <w:spacing w:line="600" w:lineRule="exact"/>
        <w:rPr>
          <w:sz w:val="28"/>
        </w:rPr>
      </w:pPr>
      <w:r>
        <w:rPr>
          <w:rFonts w:hint="eastAsia"/>
          <w:sz w:val="28"/>
        </w:rPr>
        <w:t>第一章　　采购邀请</w:t>
      </w:r>
    </w:p>
    <w:p w14:paraId="16D7ADC7">
      <w:pPr>
        <w:pStyle w:val="32"/>
        <w:spacing w:line="600" w:lineRule="exact"/>
        <w:rPr>
          <w:sz w:val="28"/>
        </w:rPr>
      </w:pPr>
      <w:r>
        <w:rPr>
          <w:rFonts w:hint="eastAsia"/>
          <w:sz w:val="28"/>
        </w:rPr>
        <w:t>第二章　　磋商须知</w:t>
      </w:r>
    </w:p>
    <w:p w14:paraId="1782AB9E">
      <w:pPr>
        <w:pStyle w:val="32"/>
        <w:spacing w:line="600" w:lineRule="exact"/>
        <w:rPr>
          <w:sz w:val="28"/>
        </w:rPr>
      </w:pPr>
      <w:r>
        <w:rPr>
          <w:rFonts w:hint="eastAsia"/>
          <w:sz w:val="28"/>
        </w:rPr>
        <w:t>第三章　　合同条款及格式</w:t>
      </w:r>
    </w:p>
    <w:p w14:paraId="3D5C6E28">
      <w:pPr>
        <w:pStyle w:val="32"/>
        <w:spacing w:line="600" w:lineRule="exact"/>
        <w:rPr>
          <w:sz w:val="28"/>
        </w:rPr>
      </w:pPr>
      <w:r>
        <w:rPr>
          <w:rFonts w:hint="eastAsia"/>
          <w:sz w:val="28"/>
        </w:rPr>
        <w:t>第四章　　项目需求</w:t>
      </w:r>
    </w:p>
    <w:p w14:paraId="4A7160E4">
      <w:pPr>
        <w:pStyle w:val="32"/>
        <w:spacing w:line="600" w:lineRule="exact"/>
        <w:rPr>
          <w:sz w:val="28"/>
        </w:rPr>
      </w:pPr>
      <w:r>
        <w:rPr>
          <w:rFonts w:hint="eastAsia"/>
          <w:sz w:val="28"/>
        </w:rPr>
        <w:t>第五章　　评审方法和评审标准</w:t>
      </w:r>
    </w:p>
    <w:p w14:paraId="74B3BF20">
      <w:pPr>
        <w:pStyle w:val="32"/>
        <w:spacing w:line="600" w:lineRule="exact"/>
        <w:rPr>
          <w:rFonts w:ascii="宋体" w:hAnsi="宋体" w:eastAsia="宋体" w:cs="宋体"/>
          <w:b w:val="0"/>
          <w:sz w:val="28"/>
        </w:rPr>
      </w:pPr>
      <w:r>
        <w:rPr>
          <w:rFonts w:hint="eastAsia"/>
          <w:sz w:val="28"/>
        </w:rPr>
        <w:t>第六章　　响应文件的组成和格式</w:t>
      </w:r>
    </w:p>
    <w:p w14:paraId="37119C20">
      <w:pPr>
        <w:spacing w:line="600" w:lineRule="exact"/>
        <w:rPr>
          <w:rFonts w:ascii="宋体" w:hAnsi="宋体" w:cs="宋体"/>
          <w:sz w:val="32"/>
          <w:szCs w:val="32"/>
        </w:rPr>
      </w:pPr>
      <w:bookmarkStart w:id="1" w:name="_Toc25359"/>
    </w:p>
    <w:p w14:paraId="24C0D6C2">
      <w:pPr>
        <w:sectPr>
          <w:pgSz w:w="11906" w:h="16838"/>
          <w:pgMar w:top="1418" w:right="1555" w:bottom="1418" w:left="1531" w:header="851" w:footer="992" w:gutter="0"/>
          <w:cols w:space="720" w:num="1"/>
          <w:titlePg/>
          <w:docGrid w:type="lines" w:linePitch="312" w:charSpace="0"/>
        </w:sectPr>
      </w:pPr>
    </w:p>
    <w:p w14:paraId="6FA3556D">
      <w:pPr>
        <w:adjustRightInd w:val="0"/>
        <w:snapToGrid w:val="0"/>
        <w:spacing w:line="360" w:lineRule="auto"/>
        <w:jc w:val="center"/>
        <w:rPr>
          <w:rFonts w:ascii="黑体" w:eastAsia="黑体"/>
          <w:sz w:val="36"/>
          <w:szCs w:val="36"/>
        </w:rPr>
      </w:pPr>
      <w:r>
        <w:rPr>
          <w:rFonts w:hint="eastAsia" w:ascii="黑体" w:eastAsia="黑体"/>
          <w:sz w:val="36"/>
          <w:szCs w:val="36"/>
        </w:rPr>
        <w:t>第一章 采购邀请</w:t>
      </w:r>
      <w:bookmarkEnd w:id="1"/>
    </w:p>
    <w:p w14:paraId="59E986CE">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宋体" w:hAnsi="宋体"/>
          <w:color w:val="000000" w:themeColor="text1"/>
          <w:szCs w:val="21"/>
        </w:rPr>
      </w:pPr>
      <w:bookmarkStart w:id="2" w:name="OLE_LINK1"/>
      <w:r>
        <w:rPr>
          <w:rFonts w:hint="eastAsia" w:ascii="宋体" w:hAnsi="宋体"/>
          <w:szCs w:val="21"/>
        </w:rPr>
        <w:t>项</w:t>
      </w:r>
      <w:r>
        <w:rPr>
          <w:rFonts w:hint="eastAsia" w:ascii="宋体" w:hAnsi="宋体"/>
          <w:color w:val="000000" w:themeColor="text1"/>
          <w:szCs w:val="21"/>
        </w:rPr>
        <w:t>目概况</w:t>
      </w:r>
    </w:p>
    <w:p w14:paraId="76894841">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u w:val="single"/>
        </w:rPr>
        <w:t>南通市通州区烈士陵园展柜采购项目</w:t>
      </w:r>
      <w:r>
        <w:rPr>
          <w:rFonts w:hint="eastAsia" w:ascii="宋体" w:hAnsi="宋体"/>
          <w:color w:val="000000" w:themeColor="text1"/>
          <w:szCs w:val="21"/>
        </w:rPr>
        <w:t>采购项目的潜在供应商</w:t>
      </w:r>
      <w:r>
        <w:rPr>
          <w:rFonts w:hint="eastAsia" w:ascii="宋体" w:hAnsi="宋体"/>
          <w:color w:val="000000" w:themeColor="text1"/>
          <w:szCs w:val="21"/>
          <w:u w:val="single"/>
        </w:rPr>
        <w:t>可在</w:t>
      </w:r>
      <w:r>
        <w:rPr>
          <w:rFonts w:hint="eastAsia" w:ascii="宋体" w:hAnsi="宋体" w:cs="宋体"/>
          <w:color w:val="000000" w:themeColor="text1"/>
          <w:szCs w:val="21"/>
          <w:u w:val="single"/>
        </w:rPr>
        <w:t>“南通市通州区人民政府网站”http://tz.nantong.gov.cn/</w:t>
      </w:r>
      <w:r>
        <w:rPr>
          <w:rFonts w:hint="eastAsia" w:ascii="宋体" w:hAnsi="宋体"/>
          <w:color w:val="000000" w:themeColor="text1"/>
          <w:szCs w:val="21"/>
          <w:u w:val="single"/>
        </w:rPr>
        <w:t>自行免费下载</w:t>
      </w:r>
      <w:r>
        <w:rPr>
          <w:rFonts w:hint="eastAsia" w:ascii="宋体" w:hAnsi="宋体"/>
          <w:color w:val="000000" w:themeColor="text1"/>
          <w:szCs w:val="21"/>
        </w:rPr>
        <w:t>采购文件，并于</w:t>
      </w:r>
      <w:r>
        <w:rPr>
          <w:rFonts w:hint="eastAsia" w:ascii="宋体" w:hAnsi="宋体"/>
          <w:color w:val="000000" w:themeColor="text1"/>
          <w:szCs w:val="21"/>
          <w:u w:val="single"/>
        </w:rPr>
        <w:t>2025</w:t>
      </w:r>
      <w:r>
        <w:rPr>
          <w:rFonts w:hint="eastAsia" w:ascii="宋体" w:hAnsi="宋体"/>
          <w:bCs/>
          <w:color w:val="000000" w:themeColor="text1"/>
          <w:szCs w:val="21"/>
          <w:u w:val="single"/>
        </w:rPr>
        <w:t>年10月 15日09点30分</w:t>
      </w:r>
      <w:r>
        <w:rPr>
          <w:rFonts w:hint="eastAsia" w:ascii="宋体" w:hAnsi="宋体"/>
          <w:bCs/>
          <w:color w:val="000000" w:themeColor="text1"/>
          <w:szCs w:val="21"/>
        </w:rPr>
        <w:t>（北京时间）前提交响应</w:t>
      </w:r>
      <w:r>
        <w:rPr>
          <w:rFonts w:ascii="宋体" w:hAnsi="宋体"/>
          <w:bCs/>
          <w:color w:val="000000" w:themeColor="text1"/>
          <w:szCs w:val="21"/>
        </w:rPr>
        <w:t>文件</w:t>
      </w:r>
      <w:r>
        <w:rPr>
          <w:rFonts w:hint="eastAsia" w:ascii="宋体" w:hAnsi="宋体"/>
          <w:color w:val="000000" w:themeColor="text1"/>
          <w:szCs w:val="21"/>
        </w:rPr>
        <w:t>。</w:t>
      </w:r>
    </w:p>
    <w:p w14:paraId="209D31DF">
      <w:pPr>
        <w:adjustRightInd w:val="0"/>
        <w:snapToGrid w:val="0"/>
        <w:spacing w:line="360" w:lineRule="auto"/>
        <w:rPr>
          <w:rFonts w:ascii="宋体" w:hAnsi="宋体"/>
          <w:b/>
          <w:color w:val="000000" w:themeColor="text1"/>
          <w:szCs w:val="21"/>
        </w:rPr>
      </w:pPr>
      <w:bookmarkStart w:id="3" w:name="_Toc28359012"/>
      <w:bookmarkStart w:id="4" w:name="_Toc35393798"/>
      <w:bookmarkStart w:id="5" w:name="_Toc35393629"/>
      <w:bookmarkStart w:id="6" w:name="_Toc38985271"/>
      <w:bookmarkStart w:id="7" w:name="_Toc28359089"/>
      <w:r>
        <w:rPr>
          <w:rFonts w:hint="eastAsia" w:ascii="宋体" w:hAnsi="宋体"/>
          <w:b/>
          <w:color w:val="000000" w:themeColor="text1"/>
          <w:szCs w:val="21"/>
        </w:rPr>
        <w:t>一、项目基本情况</w:t>
      </w:r>
      <w:bookmarkEnd w:id="3"/>
      <w:bookmarkEnd w:id="4"/>
      <w:bookmarkEnd w:id="5"/>
      <w:bookmarkEnd w:id="6"/>
      <w:bookmarkEnd w:id="7"/>
    </w:p>
    <w:p w14:paraId="45A6F623">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1.项目名称：南通市通州区烈士陵园展柜采购项目</w:t>
      </w:r>
    </w:p>
    <w:p w14:paraId="0CFF494A">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 xml:space="preserve">2.采购方式：竞争性磋商 </w:t>
      </w:r>
    </w:p>
    <w:p w14:paraId="1E5A3411">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3.预算金额：本项目采购预算价</w:t>
      </w:r>
      <w:r>
        <w:rPr>
          <w:rFonts w:hint="eastAsia" w:ascii="宋体" w:hAnsi="宋体"/>
          <w:color w:val="000000" w:themeColor="text1"/>
          <w:szCs w:val="21"/>
          <w:highlight w:val="yellow"/>
        </w:rPr>
        <w:t>6万元</w:t>
      </w:r>
      <w:r>
        <w:rPr>
          <w:rFonts w:hint="eastAsia" w:ascii="宋体" w:hAnsi="宋体"/>
          <w:color w:val="000000" w:themeColor="text1"/>
          <w:szCs w:val="21"/>
        </w:rPr>
        <w:t>，最高限价</w:t>
      </w:r>
      <w:r>
        <w:rPr>
          <w:rFonts w:hint="eastAsia" w:ascii="宋体" w:hAnsi="宋体"/>
          <w:color w:val="000000" w:themeColor="text1"/>
          <w:szCs w:val="21"/>
          <w:highlight w:val="yellow"/>
        </w:rPr>
        <w:t>6万元</w:t>
      </w:r>
      <w:r>
        <w:rPr>
          <w:rFonts w:hint="eastAsia" w:ascii="宋体" w:hAnsi="宋体"/>
          <w:color w:val="000000" w:themeColor="text1"/>
          <w:szCs w:val="21"/>
        </w:rPr>
        <w:t>，报价超过采购最高限价的为无效响应文件。</w:t>
      </w:r>
    </w:p>
    <w:p w14:paraId="760EDCEC">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4.采购需求：</w:t>
      </w:r>
      <w:bookmarkStart w:id="8" w:name="OLE_LINK3"/>
      <w:bookmarkStart w:id="9" w:name="OLE_LINK2"/>
      <w:r>
        <w:rPr>
          <w:rFonts w:hint="eastAsia" w:ascii="宋体" w:hAnsi="宋体"/>
          <w:color w:val="000000" w:themeColor="text1"/>
          <w:szCs w:val="21"/>
          <w:highlight w:val="yellow"/>
        </w:rPr>
        <w:t>12张展柜采购与安装</w:t>
      </w:r>
      <w:bookmarkEnd w:id="8"/>
      <w:bookmarkEnd w:id="9"/>
      <w:r>
        <w:rPr>
          <w:rFonts w:hint="eastAsia" w:ascii="宋体" w:hAnsi="宋体"/>
          <w:color w:val="000000" w:themeColor="text1"/>
          <w:szCs w:val="21"/>
        </w:rPr>
        <w:t>。项目需求详见招标文件第四章。</w:t>
      </w:r>
    </w:p>
    <w:p w14:paraId="458C093F">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5.质量标准：</w:t>
      </w:r>
      <w:bookmarkStart w:id="10" w:name="OLE_LINK4"/>
      <w:bookmarkStart w:id="11" w:name="OLE_LINK5"/>
      <w:r>
        <w:rPr>
          <w:rFonts w:hint="eastAsia" w:ascii="宋体" w:hAnsi="宋体"/>
          <w:color w:val="000000" w:themeColor="text1"/>
          <w:szCs w:val="21"/>
        </w:rPr>
        <w:t>投标人须提供符合项目需求、从未使用过的全新设备，产品质量符合本项目招标文件要求、行业及国家标准（供货时须提供相关证明材料、有效产品合格证），验收合格。</w:t>
      </w:r>
      <w:bookmarkEnd w:id="10"/>
      <w:bookmarkEnd w:id="11"/>
    </w:p>
    <w:p w14:paraId="3ADE7697">
      <w:pPr>
        <w:adjustRightInd w:val="0"/>
        <w:snapToGrid w:val="0"/>
        <w:spacing w:line="360" w:lineRule="auto"/>
        <w:ind w:firstLine="420" w:firstLineChars="200"/>
        <w:rPr>
          <w:rFonts w:ascii="宋体" w:hAnsi="宋体"/>
          <w:color w:val="000000" w:themeColor="text1"/>
          <w:szCs w:val="21"/>
        </w:rPr>
      </w:pPr>
    </w:p>
    <w:p w14:paraId="019BEE71">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6.工期：自合同签订之日起</w:t>
      </w:r>
      <w:r>
        <w:rPr>
          <w:rFonts w:hint="eastAsia" w:ascii="宋体" w:hAnsi="宋体"/>
          <w:color w:val="000000" w:themeColor="text1"/>
          <w:szCs w:val="21"/>
          <w:highlight w:val="yellow"/>
        </w:rPr>
        <w:t>5周</w:t>
      </w:r>
      <w:r>
        <w:rPr>
          <w:rFonts w:hint="eastAsia" w:ascii="宋体" w:hAnsi="宋体"/>
          <w:color w:val="000000" w:themeColor="text1"/>
          <w:szCs w:val="21"/>
        </w:rPr>
        <w:t>内完成供货、安装及调试。。</w:t>
      </w:r>
    </w:p>
    <w:p w14:paraId="6D97E59A">
      <w:pPr>
        <w:adjustRightInd w:val="0"/>
        <w:snapToGrid w:val="0"/>
        <w:spacing w:line="360" w:lineRule="auto"/>
        <w:ind w:firstLine="420" w:firstLineChars="200"/>
        <w:rPr>
          <w:rFonts w:ascii="宋体" w:hAnsi="宋体"/>
          <w:color w:val="000000" w:themeColor="text1"/>
          <w:szCs w:val="21"/>
        </w:rPr>
      </w:pPr>
      <w:bookmarkStart w:id="12" w:name="_Toc35393630"/>
      <w:bookmarkStart w:id="13" w:name="_Toc35393799"/>
      <w:bookmarkStart w:id="14" w:name="_Toc28359090"/>
      <w:bookmarkStart w:id="15" w:name="_Toc28359013"/>
      <w:bookmarkStart w:id="16" w:name="_Toc38985272"/>
      <w:r>
        <w:rPr>
          <w:rFonts w:hint="eastAsia" w:ascii="宋体" w:hAnsi="宋体"/>
          <w:color w:val="000000" w:themeColor="text1"/>
          <w:szCs w:val="21"/>
        </w:rPr>
        <w:t>7.</w:t>
      </w:r>
      <w:bookmarkStart w:id="17" w:name="OLE_LINK7"/>
      <w:bookmarkStart w:id="18" w:name="OLE_LINK6"/>
      <w:r>
        <w:rPr>
          <w:rFonts w:hint="eastAsia" w:ascii="宋体" w:hAnsi="宋体"/>
          <w:color w:val="000000" w:themeColor="text1"/>
          <w:szCs w:val="21"/>
        </w:rPr>
        <w:t>本项目不接受联合体参与磋商。</w:t>
      </w:r>
      <w:bookmarkEnd w:id="17"/>
      <w:bookmarkEnd w:id="18"/>
    </w:p>
    <w:p w14:paraId="5F50370A">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二、申请人的资格要求：</w:t>
      </w:r>
      <w:bookmarkEnd w:id="12"/>
      <w:bookmarkEnd w:id="13"/>
      <w:bookmarkEnd w:id="14"/>
      <w:bookmarkEnd w:id="15"/>
      <w:bookmarkEnd w:id="16"/>
    </w:p>
    <w:p w14:paraId="6C7910C8">
      <w:pPr>
        <w:spacing w:line="360" w:lineRule="auto"/>
        <w:ind w:firstLine="420" w:firstLineChars="200"/>
        <w:rPr>
          <w:rFonts w:ascii="宋体" w:hAnsi="宋体"/>
          <w:color w:val="000000" w:themeColor="text1"/>
          <w:szCs w:val="21"/>
        </w:rPr>
      </w:pPr>
      <w:bookmarkStart w:id="19" w:name="_Toc28359014"/>
      <w:bookmarkStart w:id="20" w:name="_Toc38985273"/>
      <w:bookmarkStart w:id="21" w:name="_Toc35393800"/>
      <w:bookmarkStart w:id="22" w:name="_Toc28359091"/>
      <w:bookmarkStart w:id="23" w:name="_Toc35393631"/>
      <w:r>
        <w:rPr>
          <w:rFonts w:hint="eastAsia" w:ascii="宋体" w:hAnsi="宋体"/>
          <w:color w:val="000000" w:themeColor="text1"/>
          <w:szCs w:val="21"/>
        </w:rPr>
        <w:t>投标人应当具备的主要资格条件</w:t>
      </w:r>
    </w:p>
    <w:p w14:paraId="70DBBF31">
      <w:pPr>
        <w:spacing w:line="360" w:lineRule="auto"/>
        <w:ind w:firstLine="420" w:firstLineChars="200"/>
        <w:rPr>
          <w:rFonts w:ascii="宋体" w:hAnsi="宋体"/>
          <w:color w:val="000000" w:themeColor="text1"/>
          <w:szCs w:val="21"/>
        </w:rPr>
      </w:pPr>
      <w:bookmarkStart w:id="24" w:name="OLE_LINK8"/>
      <w:bookmarkStart w:id="25" w:name="OLE_LINK9"/>
      <w:r>
        <w:rPr>
          <w:rFonts w:hint="eastAsia" w:ascii="宋体" w:hAnsi="宋体"/>
          <w:color w:val="000000" w:themeColor="text1"/>
          <w:szCs w:val="21"/>
        </w:rPr>
        <w:t>1.具备《中华人民共和国政府采购法》第二十二条规定的条件：</w:t>
      </w:r>
    </w:p>
    <w:p w14:paraId="529E7EA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（1）具有独立承担民事责任的能力；</w:t>
      </w:r>
    </w:p>
    <w:p w14:paraId="573E68B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（2）具有良好的商业信誉和健全的财务会计制度；</w:t>
      </w:r>
    </w:p>
    <w:p w14:paraId="231AC9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（3）具有履行合同所必需的设备和专业技术能力；</w:t>
      </w:r>
    </w:p>
    <w:p w14:paraId="1FE3E4D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（4）有依法缴纳税收和社会保障资金的良好记录；</w:t>
      </w:r>
    </w:p>
    <w:p w14:paraId="01EB7E1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（5）参加采购活动前三年内，在经营活动中没有重大违法记录；</w:t>
      </w:r>
    </w:p>
    <w:p w14:paraId="3DF9569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（6）法律、行政法规规定的其他条件且符合、承认并承诺履行招标文件各项规定的国内法人、其他组织（不包括在港澳台地区注册成立的法人、其它组织）；</w:t>
      </w:r>
    </w:p>
    <w:p w14:paraId="7EFD8E8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2.投标人具有独立法人资格；</w:t>
      </w:r>
    </w:p>
    <w:p w14:paraId="6437F99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3.未被 “信用中国”网站(www.creditchina.gov.cn)、中华人民共和国最高人民法院网站（http://www.court.gov.cn）等渠道列入信用记录失信被执行人，未被中国政府采购网（www.ccgp.gov.cn）等渠道列入政府采购严重违法失信行为记录名单，未被中华人民共和国应急管理部网站（http://www.chinasafety.gov.cn)等渠道列入安全生产失信联合惩戒“黑名单”，未被国家税务总局网站（http://hd.chinatax.gov.cn/xxk）等渠道列入重大税收违法案件当事人名单，未被国家企业信用信息公示系统（http://www.gsxt.gov.cn）等渠道列入经营异常名录、严重违法失信企业名单，未被全国公共资源交易平台（http://www.ggzy.gov.cn）等渠道列入黑名单。</w:t>
      </w:r>
    </w:p>
    <w:p w14:paraId="564AF6A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单位负责人为同一人或者存在直接控股、管理关系的不同供应商，不得参加同一合同项下的政府采购活动。法定代表人为同一个人的两个及两个以上法人，母公司、全资子公司及其控股公司，都不得参加同一合同项目的采购活动。</w:t>
      </w:r>
    </w:p>
    <w:p w14:paraId="6479CD08">
      <w:pPr>
        <w:spacing w:line="360" w:lineRule="auto"/>
        <w:ind w:firstLine="420" w:firstLineChars="200"/>
        <w:rPr>
          <w:rFonts w:ascii="宋体" w:hAnsi="宋体"/>
          <w:szCs w:val="21"/>
        </w:rPr>
      </w:pPr>
      <w:r>
        <w:rPr>
          <w:rFonts w:hint="eastAsia" w:ascii="宋体" w:hAnsi="宋体"/>
          <w:szCs w:val="21"/>
        </w:rPr>
        <w:t>5.落实政府采购政策需满足的资格要求：本次招标落实的政府采购政策：《政府采购促进中小企业发展暂行办法》、《关于政府采购支持监狱企业发展有关问题的通知》、《关于促进残疾人就业政府采购政策的通知》。</w:t>
      </w:r>
      <w:bookmarkEnd w:id="24"/>
      <w:bookmarkEnd w:id="25"/>
    </w:p>
    <w:p w14:paraId="2B9D61E9">
      <w:pPr>
        <w:tabs>
          <w:tab w:val="left" w:pos="312"/>
        </w:tabs>
        <w:adjustRightInd w:val="0"/>
        <w:snapToGrid w:val="0"/>
        <w:spacing w:line="360" w:lineRule="auto"/>
        <w:ind w:left="480"/>
        <w:rPr>
          <w:rFonts w:ascii="宋体" w:hAnsi="宋体"/>
          <w:szCs w:val="21"/>
        </w:rPr>
      </w:pPr>
      <w:r>
        <w:rPr>
          <w:rFonts w:hint="eastAsia" w:ascii="宋体" w:hAnsi="宋体"/>
          <w:szCs w:val="21"/>
        </w:rPr>
        <w:t>6.本项目的特定资格要求：</w:t>
      </w:r>
    </w:p>
    <w:p w14:paraId="22747154">
      <w:pPr>
        <w:adjustRightInd w:val="0"/>
        <w:snapToGrid w:val="0"/>
        <w:spacing w:line="360" w:lineRule="auto"/>
        <w:ind w:firstLine="420" w:firstLineChars="200"/>
        <w:contextualSpacing/>
        <w:rPr>
          <w:rFonts w:ascii="宋体" w:hAnsi="宋体"/>
          <w:szCs w:val="21"/>
        </w:rPr>
      </w:pPr>
      <w:bookmarkStart w:id="26" w:name="OLE_LINK10"/>
      <w:bookmarkStart w:id="27" w:name="OLE_LINK11"/>
      <w:r>
        <w:rPr>
          <w:rFonts w:hint="eastAsia" w:ascii="宋体" w:hAnsi="宋体"/>
          <w:szCs w:val="21"/>
        </w:rPr>
        <w:t>（1）</w:t>
      </w:r>
      <w:r>
        <w:rPr>
          <w:rFonts w:hint="eastAsia" w:ascii="宋体" w:hAnsi="宋体"/>
          <w:szCs w:val="21"/>
          <w:highlight w:val="yellow"/>
        </w:rPr>
        <w:t>供应商</w:t>
      </w:r>
      <w:r>
        <w:rPr>
          <w:rFonts w:hint="eastAsia" w:ascii="宋体" w:hAnsi="宋体"/>
          <w:szCs w:val="21"/>
          <w:highlight w:val="yellow"/>
          <w:u w:val="single"/>
        </w:rPr>
        <w:t>具备有效的营业执照</w:t>
      </w:r>
      <w:r>
        <w:rPr>
          <w:rFonts w:hint="eastAsia" w:ascii="宋体" w:hAnsi="宋体"/>
          <w:szCs w:val="21"/>
          <w:highlight w:val="yellow"/>
        </w:rPr>
        <w:t>；</w:t>
      </w:r>
    </w:p>
    <w:p w14:paraId="1792D20F">
      <w:pPr>
        <w:adjustRightInd w:val="0"/>
        <w:snapToGrid w:val="0"/>
        <w:spacing w:line="360" w:lineRule="auto"/>
        <w:ind w:firstLine="420" w:firstLineChars="200"/>
        <w:contextualSpacing/>
        <w:rPr>
          <w:rFonts w:ascii="宋体" w:hAnsi="宋体"/>
          <w:szCs w:val="21"/>
        </w:rPr>
      </w:pPr>
      <w:r>
        <w:rPr>
          <w:rFonts w:hint="eastAsia" w:ascii="宋体" w:hAnsi="宋体"/>
          <w:szCs w:val="21"/>
        </w:rPr>
        <w:t>（2）投标人提供投标企业所在地社保机构出具的由企业为委托代理人的2025年5月-2025年7月的社会保险缴费证明；</w:t>
      </w:r>
    </w:p>
    <w:p w14:paraId="5811C572">
      <w:pPr>
        <w:adjustRightInd w:val="0"/>
        <w:snapToGrid w:val="0"/>
        <w:spacing w:line="360" w:lineRule="auto"/>
        <w:ind w:firstLine="420" w:firstLineChars="200"/>
        <w:contextualSpacing/>
        <w:rPr>
          <w:rFonts w:ascii="宋体" w:hAnsi="宋体"/>
          <w:color w:val="000000" w:themeColor="text1"/>
          <w:szCs w:val="21"/>
          <w:u w:val="single"/>
        </w:rPr>
      </w:pPr>
      <w:r>
        <w:rPr>
          <w:rFonts w:hint="eastAsia" w:ascii="宋体" w:hAnsi="宋体"/>
          <w:color w:val="000000" w:themeColor="text1"/>
          <w:szCs w:val="21"/>
        </w:rPr>
        <w:t>（3）本次招标不接受联合体投标。</w:t>
      </w:r>
      <w:bookmarkEnd w:id="26"/>
      <w:bookmarkEnd w:id="27"/>
    </w:p>
    <w:p w14:paraId="752EF46B">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三、获取采购文件</w:t>
      </w:r>
      <w:bookmarkEnd w:id="19"/>
      <w:bookmarkEnd w:id="20"/>
      <w:bookmarkEnd w:id="21"/>
      <w:bookmarkEnd w:id="22"/>
      <w:bookmarkEnd w:id="23"/>
    </w:p>
    <w:p w14:paraId="33054AB9">
      <w:pPr>
        <w:adjustRightInd w:val="0"/>
        <w:snapToGrid w:val="0"/>
        <w:spacing w:line="360" w:lineRule="auto"/>
        <w:ind w:firstLine="540"/>
        <w:rPr>
          <w:rFonts w:ascii="宋体" w:hAnsi="宋体" w:cs="宋体"/>
          <w:color w:val="000000" w:themeColor="text1"/>
          <w:szCs w:val="21"/>
        </w:rPr>
      </w:pPr>
      <w:r>
        <w:rPr>
          <w:rFonts w:hint="eastAsia" w:ascii="宋体" w:hAnsi="宋体" w:cs="宋体"/>
          <w:color w:val="000000" w:themeColor="text1"/>
          <w:szCs w:val="21"/>
        </w:rPr>
        <w:t>1.时间：</w:t>
      </w:r>
      <w:r>
        <w:rPr>
          <w:rFonts w:hint="eastAsia" w:ascii="宋体" w:hAnsi="宋体" w:cs="宋体"/>
          <w:color w:val="000000" w:themeColor="text1"/>
          <w:szCs w:val="21"/>
          <w:u w:val="single"/>
        </w:rPr>
        <w:t>自磋商文件公告发布之日起10日。</w:t>
      </w:r>
    </w:p>
    <w:p w14:paraId="031F77D3">
      <w:pPr>
        <w:adjustRightInd w:val="0"/>
        <w:snapToGrid w:val="0"/>
        <w:spacing w:line="360" w:lineRule="auto"/>
        <w:ind w:firstLine="540"/>
        <w:rPr>
          <w:rFonts w:ascii="宋体" w:hAnsi="宋体" w:cs="宋体"/>
          <w:color w:val="000000" w:themeColor="text1"/>
          <w:szCs w:val="21"/>
          <w:u w:val="single"/>
        </w:rPr>
      </w:pPr>
      <w:r>
        <w:rPr>
          <w:rFonts w:hint="eastAsia" w:ascii="宋体" w:hAnsi="宋体" w:cs="宋体"/>
          <w:color w:val="000000" w:themeColor="text1"/>
          <w:szCs w:val="21"/>
        </w:rPr>
        <w:t>2.方式：在</w:t>
      </w:r>
      <w:r>
        <w:rPr>
          <w:rFonts w:hint="eastAsia" w:ascii="宋体" w:hAnsi="宋体" w:cs="宋体"/>
          <w:color w:val="000000" w:themeColor="text1"/>
          <w:szCs w:val="21"/>
          <w:u w:val="single"/>
        </w:rPr>
        <w:t>“南通市通州区人民政府网站”http://tz.nantong.gov.cn/</w:t>
      </w:r>
      <w:r>
        <w:rPr>
          <w:rFonts w:hint="eastAsia" w:ascii="宋体" w:hAnsi="宋体" w:cs="宋体"/>
          <w:color w:val="000000" w:themeColor="text1"/>
          <w:szCs w:val="21"/>
        </w:rPr>
        <w:t>自行免费下载采购文件。</w:t>
      </w:r>
    </w:p>
    <w:p w14:paraId="43FD39C7">
      <w:pPr>
        <w:adjustRightInd w:val="0"/>
        <w:snapToGrid w:val="0"/>
        <w:spacing w:line="360" w:lineRule="auto"/>
        <w:rPr>
          <w:rFonts w:ascii="宋体" w:hAnsi="宋体"/>
          <w:b/>
          <w:color w:val="000000" w:themeColor="text1"/>
          <w:szCs w:val="21"/>
        </w:rPr>
      </w:pPr>
      <w:bookmarkStart w:id="28" w:name="_Toc28359092"/>
      <w:bookmarkStart w:id="29" w:name="_Toc28359015"/>
      <w:bookmarkStart w:id="30" w:name="_Toc38985274"/>
      <w:bookmarkStart w:id="31" w:name="_Toc35393801"/>
      <w:bookmarkStart w:id="32" w:name="_Toc35393632"/>
      <w:r>
        <w:rPr>
          <w:rFonts w:hint="eastAsia" w:ascii="宋体" w:hAnsi="宋体"/>
          <w:b/>
          <w:color w:val="000000" w:themeColor="text1"/>
          <w:szCs w:val="21"/>
        </w:rPr>
        <w:t>四、响应文件提交</w:t>
      </w:r>
      <w:bookmarkEnd w:id="28"/>
      <w:bookmarkEnd w:id="29"/>
      <w:bookmarkEnd w:id="30"/>
      <w:bookmarkEnd w:id="31"/>
      <w:bookmarkEnd w:id="32"/>
    </w:p>
    <w:p w14:paraId="180DC60A">
      <w:pPr>
        <w:adjustRightInd w:val="0"/>
        <w:snapToGrid w:val="0"/>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1.截止时间：</w:t>
      </w:r>
      <w:r>
        <w:rPr>
          <w:rFonts w:hint="eastAsia" w:ascii="宋体" w:hAnsi="宋体"/>
          <w:color w:val="000000" w:themeColor="text1"/>
          <w:szCs w:val="21"/>
          <w:u w:val="single"/>
        </w:rPr>
        <w:t>2025</w:t>
      </w:r>
      <w:r>
        <w:rPr>
          <w:rFonts w:hint="eastAsia" w:ascii="宋体" w:hAnsi="宋体"/>
          <w:bCs/>
          <w:color w:val="000000" w:themeColor="text1"/>
          <w:szCs w:val="21"/>
          <w:u w:val="single"/>
        </w:rPr>
        <w:t>年10月15日09点30分</w:t>
      </w:r>
      <w:r>
        <w:rPr>
          <w:rFonts w:hint="eastAsia" w:ascii="宋体" w:hAnsi="宋体"/>
          <w:bCs/>
          <w:color w:val="000000" w:themeColor="text1"/>
          <w:szCs w:val="21"/>
        </w:rPr>
        <w:t>（北京时间）</w:t>
      </w:r>
    </w:p>
    <w:p w14:paraId="4D85AE70">
      <w:pPr>
        <w:adjustRightInd w:val="0"/>
        <w:snapToGrid w:val="0"/>
        <w:spacing w:line="360" w:lineRule="auto"/>
        <w:ind w:firstLine="420" w:firstLineChars="200"/>
        <w:rPr>
          <w:rFonts w:ascii="宋体" w:hAnsi="宋体"/>
          <w:bCs/>
          <w:color w:val="000000" w:themeColor="text1"/>
          <w:szCs w:val="21"/>
          <w:u w:val="single"/>
        </w:rPr>
      </w:pPr>
      <w:r>
        <w:rPr>
          <w:rFonts w:hint="eastAsia" w:ascii="宋体" w:hAnsi="宋体"/>
          <w:color w:val="000000" w:themeColor="text1"/>
          <w:szCs w:val="21"/>
        </w:rPr>
        <w:t>2.地点：南通市通州区烈士陵园管理处办公楼三楼会议室。</w:t>
      </w:r>
    </w:p>
    <w:p w14:paraId="2E65C496">
      <w:pPr>
        <w:adjustRightInd w:val="0"/>
        <w:snapToGrid w:val="0"/>
        <w:spacing w:line="360" w:lineRule="auto"/>
        <w:rPr>
          <w:rFonts w:ascii="宋体" w:hAnsi="宋体"/>
          <w:b/>
          <w:color w:val="000000" w:themeColor="text1"/>
          <w:szCs w:val="21"/>
        </w:rPr>
      </w:pPr>
      <w:bookmarkStart w:id="33" w:name="_Toc35393634"/>
      <w:bookmarkStart w:id="34" w:name="_Toc28359094"/>
      <w:bookmarkStart w:id="35" w:name="_Toc28359017"/>
      <w:bookmarkStart w:id="36" w:name="_Toc35393803"/>
      <w:bookmarkStart w:id="37" w:name="_Toc38985276"/>
      <w:r>
        <w:rPr>
          <w:rFonts w:hint="eastAsia" w:ascii="宋体" w:hAnsi="宋体"/>
          <w:b/>
          <w:color w:val="000000" w:themeColor="text1"/>
          <w:szCs w:val="21"/>
        </w:rPr>
        <w:t>五、公告期限</w:t>
      </w:r>
      <w:bookmarkEnd w:id="33"/>
      <w:bookmarkEnd w:id="34"/>
      <w:bookmarkEnd w:id="35"/>
      <w:bookmarkEnd w:id="36"/>
      <w:bookmarkEnd w:id="37"/>
    </w:p>
    <w:p w14:paraId="7C1E388E">
      <w:pPr>
        <w:adjustRightInd w:val="0"/>
        <w:snapToGrid w:val="0"/>
        <w:spacing w:line="360" w:lineRule="auto"/>
        <w:ind w:firstLine="420" w:firstLineChars="200"/>
        <w:rPr>
          <w:rFonts w:ascii="宋体" w:hAnsi="宋体" w:cs="宋体"/>
          <w:color w:val="000000" w:themeColor="text1"/>
          <w:kern w:val="0"/>
          <w:szCs w:val="21"/>
        </w:rPr>
      </w:pPr>
      <w:bookmarkStart w:id="38" w:name="_Toc38985277"/>
      <w:bookmarkStart w:id="39" w:name="_Toc35393635"/>
      <w:bookmarkStart w:id="40" w:name="_Toc35393804"/>
      <w:r>
        <w:rPr>
          <w:rFonts w:hint="eastAsia" w:ascii="宋体" w:hAnsi="宋体" w:cs="宋体"/>
          <w:color w:val="000000" w:themeColor="text1"/>
          <w:szCs w:val="21"/>
        </w:rPr>
        <w:t>磋商</w:t>
      </w:r>
      <w:r>
        <w:rPr>
          <w:rFonts w:hint="eastAsia" w:ascii="宋体" w:hAnsi="宋体" w:cs="宋体"/>
          <w:color w:val="000000" w:themeColor="text1"/>
          <w:kern w:val="0"/>
          <w:szCs w:val="21"/>
        </w:rPr>
        <w:t>公告及</w:t>
      </w:r>
      <w:r>
        <w:rPr>
          <w:rFonts w:hint="eastAsia" w:ascii="宋体" w:hAnsi="宋体" w:cs="宋体"/>
          <w:color w:val="000000" w:themeColor="text1"/>
          <w:szCs w:val="21"/>
        </w:rPr>
        <w:t>磋商</w:t>
      </w:r>
      <w:r>
        <w:rPr>
          <w:rFonts w:hint="eastAsia" w:ascii="宋体" w:hAnsi="宋体" w:cs="宋体"/>
          <w:color w:val="000000" w:themeColor="text1"/>
          <w:kern w:val="0"/>
          <w:szCs w:val="21"/>
        </w:rPr>
        <w:t>文件公告期限</w:t>
      </w:r>
      <w:r>
        <w:rPr>
          <w:rFonts w:hint="eastAsia" w:ascii="宋体" w:hAnsi="宋体" w:cs="宋体"/>
          <w:b/>
          <w:color w:val="000000" w:themeColor="text1"/>
          <w:kern w:val="0"/>
          <w:szCs w:val="21"/>
          <w:u w:val="single"/>
        </w:rPr>
        <w:t>:2025年9月 25日-2025年10月15日下午09：30</w:t>
      </w:r>
      <w:r>
        <w:rPr>
          <w:rFonts w:hint="eastAsia" w:ascii="宋体" w:hAnsi="宋体" w:cs="宋体"/>
          <w:color w:val="000000" w:themeColor="text1"/>
          <w:kern w:val="0"/>
          <w:szCs w:val="21"/>
        </w:rPr>
        <w:t>。</w:t>
      </w:r>
    </w:p>
    <w:p w14:paraId="16810A7F">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六、其他补充事宜</w:t>
      </w:r>
      <w:bookmarkEnd w:id="38"/>
      <w:bookmarkEnd w:id="39"/>
      <w:bookmarkEnd w:id="40"/>
    </w:p>
    <w:p w14:paraId="0537A778">
      <w:pPr>
        <w:adjustRightInd w:val="0"/>
        <w:snapToGrid w:val="0"/>
        <w:spacing w:line="360" w:lineRule="auto"/>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无</w:t>
      </w:r>
    </w:p>
    <w:p w14:paraId="24A9015A">
      <w:pPr>
        <w:adjustRightInd w:val="0"/>
        <w:snapToGrid w:val="0"/>
        <w:spacing w:line="360" w:lineRule="auto"/>
        <w:rPr>
          <w:rFonts w:ascii="宋体" w:hAnsi="宋体"/>
          <w:b/>
          <w:color w:val="000000" w:themeColor="text1"/>
          <w:szCs w:val="21"/>
        </w:rPr>
      </w:pPr>
      <w:bookmarkStart w:id="41" w:name="_Toc35393805"/>
      <w:bookmarkStart w:id="42" w:name="_Toc38985278"/>
      <w:bookmarkStart w:id="43" w:name="_Toc28359018"/>
      <w:bookmarkStart w:id="44" w:name="_Toc28359095"/>
      <w:bookmarkStart w:id="45" w:name="_Toc35393636"/>
      <w:r>
        <w:rPr>
          <w:rFonts w:hint="eastAsia" w:ascii="宋体" w:hAnsi="宋体"/>
          <w:b/>
          <w:color w:val="000000" w:themeColor="text1"/>
          <w:szCs w:val="21"/>
        </w:rPr>
        <w:t>七、</w:t>
      </w:r>
      <w:bookmarkEnd w:id="41"/>
      <w:bookmarkEnd w:id="42"/>
      <w:bookmarkEnd w:id="43"/>
      <w:bookmarkEnd w:id="44"/>
      <w:bookmarkEnd w:id="45"/>
      <w:r>
        <w:rPr>
          <w:rFonts w:hint="eastAsia" w:ascii="宋体" w:hAnsi="宋体"/>
          <w:b/>
          <w:color w:val="000000" w:themeColor="text1"/>
          <w:szCs w:val="21"/>
        </w:rPr>
        <w:t>本次磋商联系方式</w:t>
      </w:r>
    </w:p>
    <w:p w14:paraId="77A3FBC5">
      <w:pPr>
        <w:widowControl/>
        <w:adjustRightInd w:val="0"/>
        <w:snapToGrid w:val="0"/>
        <w:spacing w:line="360" w:lineRule="auto"/>
        <w:ind w:firstLine="525" w:firstLineChars="250"/>
        <w:jc w:val="left"/>
        <w:rPr>
          <w:rFonts w:ascii="宋体" w:hAnsi="宋体"/>
          <w:color w:val="000000" w:themeColor="text1"/>
          <w:szCs w:val="21"/>
        </w:rPr>
      </w:pPr>
      <w:r>
        <w:rPr>
          <w:rFonts w:hint="eastAsia" w:ascii="宋体" w:hAnsi="宋体" w:cs="宋体"/>
          <w:color w:val="000000" w:themeColor="text1"/>
          <w:szCs w:val="21"/>
        </w:rPr>
        <w:t>1.采购人信息</w:t>
      </w:r>
    </w:p>
    <w:p w14:paraId="438919F5">
      <w:pPr>
        <w:adjustRightInd w:val="0"/>
        <w:snapToGrid w:val="0"/>
        <w:spacing w:line="360" w:lineRule="auto"/>
        <w:ind w:firstLine="525" w:firstLineChars="250"/>
        <w:jc w:val="left"/>
        <w:rPr>
          <w:rFonts w:ascii="宋体" w:hAnsi="宋体"/>
          <w:color w:val="000000" w:themeColor="text1"/>
          <w:szCs w:val="21"/>
        </w:rPr>
      </w:pPr>
      <w:r>
        <w:rPr>
          <w:rFonts w:hint="eastAsia" w:ascii="宋体" w:hAnsi="宋体"/>
          <w:color w:val="000000" w:themeColor="text1"/>
          <w:szCs w:val="21"/>
        </w:rPr>
        <w:t>名  称：</w:t>
      </w:r>
      <w:r>
        <w:rPr>
          <w:rFonts w:hint="eastAsia" w:ascii="宋体" w:hAnsi="宋体"/>
          <w:color w:val="000000" w:themeColor="text1"/>
          <w:szCs w:val="21"/>
          <w:u w:val="single"/>
        </w:rPr>
        <w:t>南通市通州区烈士陵园管理处</w:t>
      </w:r>
    </w:p>
    <w:p w14:paraId="17CBE0BF">
      <w:pPr>
        <w:adjustRightInd w:val="0"/>
        <w:snapToGrid w:val="0"/>
        <w:spacing w:line="360" w:lineRule="auto"/>
        <w:ind w:firstLine="525" w:firstLineChars="250"/>
        <w:jc w:val="left"/>
        <w:rPr>
          <w:rFonts w:ascii="宋体" w:hAnsi="宋体"/>
          <w:color w:val="000000" w:themeColor="text1"/>
          <w:szCs w:val="21"/>
          <w:u w:val="single"/>
        </w:rPr>
      </w:pPr>
      <w:r>
        <w:rPr>
          <w:rFonts w:hint="eastAsia" w:ascii="宋体" w:hAnsi="宋体"/>
          <w:color w:val="000000" w:themeColor="text1"/>
          <w:szCs w:val="21"/>
        </w:rPr>
        <w:t>地  址：</w:t>
      </w:r>
      <w:r>
        <w:rPr>
          <w:rFonts w:hint="eastAsia" w:ascii="宋体" w:hAnsi="宋体"/>
          <w:color w:val="000000" w:themeColor="text1"/>
          <w:szCs w:val="21"/>
          <w:u w:val="single"/>
        </w:rPr>
        <w:t>通州区新金路96号</w:t>
      </w:r>
    </w:p>
    <w:p w14:paraId="36CC4A40">
      <w:pPr>
        <w:adjustRightInd w:val="0"/>
        <w:snapToGrid w:val="0"/>
        <w:spacing w:line="360" w:lineRule="auto"/>
        <w:ind w:firstLine="525" w:firstLineChars="250"/>
        <w:jc w:val="left"/>
        <w:rPr>
          <w:rFonts w:ascii="宋体" w:hAnsi="宋体"/>
          <w:color w:val="000000" w:themeColor="text1"/>
          <w:szCs w:val="21"/>
          <w:u w:val="single"/>
        </w:rPr>
      </w:pPr>
      <w:r>
        <w:rPr>
          <w:rFonts w:hint="eastAsia" w:ascii="宋体" w:hAnsi="宋体"/>
          <w:color w:val="000000" w:themeColor="text1"/>
          <w:szCs w:val="21"/>
        </w:rPr>
        <w:t>联系人：</w:t>
      </w:r>
      <w:r>
        <w:rPr>
          <w:rFonts w:hint="eastAsia" w:ascii="宋体" w:hAnsi="宋体"/>
          <w:color w:val="000000" w:themeColor="text1"/>
          <w:szCs w:val="21"/>
          <w:u w:val="single"/>
        </w:rPr>
        <w:t xml:space="preserve">  丁先生             </w:t>
      </w:r>
    </w:p>
    <w:p w14:paraId="7327C5B7">
      <w:pPr>
        <w:adjustRightInd w:val="0"/>
        <w:snapToGrid w:val="0"/>
        <w:spacing w:line="360" w:lineRule="auto"/>
        <w:ind w:firstLine="525" w:firstLineChars="250"/>
        <w:jc w:val="left"/>
        <w:rPr>
          <w:rFonts w:ascii="宋体" w:hAnsi="宋体"/>
          <w:szCs w:val="21"/>
          <w:u w:val="single"/>
        </w:rPr>
      </w:pPr>
      <w:r>
        <w:rPr>
          <w:rFonts w:hint="eastAsia" w:ascii="宋体" w:hAnsi="宋体"/>
          <w:szCs w:val="21"/>
        </w:rPr>
        <w:t>联系方式：</w:t>
      </w:r>
      <w:r>
        <w:rPr>
          <w:rFonts w:hint="eastAsia" w:ascii="宋体" w:hAnsi="宋体"/>
          <w:szCs w:val="21"/>
          <w:u w:val="single"/>
        </w:rPr>
        <w:t xml:space="preserve">0513-86514280 　　 </w:t>
      </w:r>
    </w:p>
    <w:p w14:paraId="05D286CC">
      <w:pPr>
        <w:adjustRightInd w:val="0"/>
        <w:snapToGrid w:val="0"/>
        <w:spacing w:line="360" w:lineRule="auto"/>
        <w:rPr>
          <w:rFonts w:ascii="宋体" w:hAnsi="宋体"/>
          <w:b/>
          <w:szCs w:val="21"/>
        </w:rPr>
      </w:pPr>
      <w:r>
        <w:rPr>
          <w:rFonts w:hint="eastAsia" w:ascii="宋体" w:hAnsi="宋体"/>
          <w:b/>
          <w:szCs w:val="21"/>
        </w:rPr>
        <w:t>八、其他</w:t>
      </w:r>
    </w:p>
    <w:p w14:paraId="5119BA06">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1.潜在供应商对竞争性磋商文件的询问、质疑请向采购人提出，由采购人负责答复。</w:t>
      </w:r>
    </w:p>
    <w:p w14:paraId="15C440D4">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2.磋商响应文件制作份数要求：</w:t>
      </w:r>
    </w:p>
    <w:p w14:paraId="6EFEFB54">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正本份数：1份   副本份数：2份</w:t>
      </w:r>
    </w:p>
    <w:p w14:paraId="2D4516D1">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 xml:space="preserve">3. 有关本次磋商采购的事项若存在变动或修改，敬请及时关注在 </w:t>
      </w:r>
      <w:r>
        <w:rPr>
          <w:rFonts w:hint="eastAsia" w:ascii="宋体" w:hAnsi="宋体" w:cs="宋体"/>
          <w:color w:val="000000" w:themeColor="text1"/>
          <w:szCs w:val="21"/>
        </w:rPr>
        <w:t>“南通市通州区人民政府网站”http://tz.nantong.gov.cn/</w:t>
      </w:r>
      <w:r>
        <w:rPr>
          <w:rFonts w:hint="eastAsia" w:ascii="宋体" w:hAnsi="宋体"/>
          <w:bCs/>
          <w:szCs w:val="21"/>
        </w:rPr>
        <w:t>发布的更正公告。</w:t>
      </w:r>
    </w:p>
    <w:p w14:paraId="0BEBAC55">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4. 本次磋商采购不收取磋商保证金。</w:t>
      </w:r>
    </w:p>
    <w:p w14:paraId="7E5040A1">
      <w:pPr>
        <w:widowControl/>
        <w:adjustRightInd w:val="0"/>
        <w:snapToGrid w:val="0"/>
        <w:spacing w:line="360" w:lineRule="auto"/>
        <w:ind w:firstLine="527" w:firstLineChars="250"/>
        <w:jc w:val="left"/>
        <w:rPr>
          <w:rFonts w:ascii="宋体" w:hAnsi="宋体"/>
          <w:b/>
          <w:szCs w:val="21"/>
        </w:rPr>
      </w:pPr>
      <w:r>
        <w:rPr>
          <w:rFonts w:hint="eastAsia" w:ascii="宋体" w:hAnsi="宋体"/>
          <w:b/>
          <w:szCs w:val="21"/>
        </w:rPr>
        <w:t>5.磋商结束后，要求磋商响应人提交最后报价，该报价作为本项目成交的依据。</w:t>
      </w:r>
    </w:p>
    <w:bookmarkEnd w:id="2"/>
    <w:p w14:paraId="162B31AB">
      <w:pPr>
        <w:adjustRightInd w:val="0"/>
        <w:snapToGrid w:val="0"/>
        <w:spacing w:line="360" w:lineRule="auto"/>
        <w:ind w:firstLine="477" w:firstLineChars="199"/>
        <w:rPr>
          <w:rFonts w:ascii="宋体" w:hAnsi="宋体"/>
          <w:sz w:val="24"/>
        </w:rPr>
      </w:pPr>
      <w:bookmarkStart w:id="46" w:name="_Hlt26668836"/>
      <w:bookmarkEnd w:id="46"/>
      <w:bookmarkStart w:id="47" w:name="_Hlt26954824"/>
      <w:bookmarkEnd w:id="47"/>
      <w:bookmarkStart w:id="48" w:name="_Hlt26670330"/>
      <w:bookmarkEnd w:id="48"/>
      <w:bookmarkStart w:id="49" w:name="_Hlt26954810"/>
      <w:bookmarkEnd w:id="49"/>
      <w:bookmarkStart w:id="50" w:name="_Hlt26954907"/>
      <w:bookmarkEnd w:id="50"/>
      <w:bookmarkStart w:id="51" w:name="_Toc14577347"/>
      <w:bookmarkStart w:id="52" w:name="_Toc513029209"/>
      <w:bookmarkStart w:id="53" w:name="_Toc61149549"/>
    </w:p>
    <w:p w14:paraId="018733AA">
      <w:pPr>
        <w:adjustRightInd w:val="0"/>
        <w:snapToGrid w:val="0"/>
        <w:spacing w:line="360" w:lineRule="auto"/>
        <w:ind w:firstLine="477" w:firstLineChars="199"/>
        <w:rPr>
          <w:rFonts w:ascii="宋体" w:hAnsi="宋体"/>
          <w:sz w:val="24"/>
        </w:rPr>
      </w:pPr>
    </w:p>
    <w:p w14:paraId="7ED97F4E">
      <w:pPr>
        <w:pStyle w:val="3"/>
        <w:adjustRightInd w:val="0"/>
        <w:snapToGrid w:val="0"/>
        <w:spacing w:before="0" w:after="0" w:line="360" w:lineRule="auto"/>
        <w:rPr>
          <w:rFonts w:ascii="黑体" w:eastAsia="黑体" w:cs="Arial"/>
          <w:bCs/>
          <w:sz w:val="36"/>
          <w:szCs w:val="36"/>
        </w:rPr>
      </w:pPr>
      <w:bookmarkStart w:id="54" w:name="_Toc17203"/>
    </w:p>
    <w:p w14:paraId="452557DA">
      <w:pPr>
        <w:rPr>
          <w:rFonts w:ascii="黑体" w:eastAsia="黑体" w:cs="Arial"/>
          <w:bCs/>
          <w:sz w:val="36"/>
          <w:szCs w:val="36"/>
        </w:rPr>
      </w:pPr>
    </w:p>
    <w:p w14:paraId="72E3F3E7">
      <w:pPr>
        <w:pStyle w:val="18"/>
        <w:rPr>
          <w:rFonts w:ascii="黑体" w:eastAsia="黑体" w:cs="Arial"/>
          <w:bCs/>
          <w:sz w:val="36"/>
          <w:szCs w:val="36"/>
        </w:rPr>
      </w:pPr>
    </w:p>
    <w:p w14:paraId="34A09756">
      <w:pPr>
        <w:rPr>
          <w:rFonts w:ascii="黑体" w:eastAsia="黑体" w:cs="Arial"/>
          <w:bCs/>
          <w:sz w:val="36"/>
          <w:szCs w:val="36"/>
        </w:rPr>
      </w:pPr>
    </w:p>
    <w:p w14:paraId="72079655">
      <w:pPr>
        <w:pStyle w:val="18"/>
        <w:rPr>
          <w:rFonts w:ascii="黑体" w:eastAsia="黑体" w:cs="Arial"/>
          <w:bCs/>
          <w:sz w:val="36"/>
          <w:szCs w:val="36"/>
        </w:rPr>
      </w:pPr>
    </w:p>
    <w:p w14:paraId="6E2B319C">
      <w:pPr>
        <w:rPr>
          <w:rFonts w:ascii="黑体" w:eastAsia="黑体" w:cs="Arial"/>
          <w:bCs/>
          <w:sz w:val="36"/>
          <w:szCs w:val="36"/>
        </w:rPr>
      </w:pPr>
    </w:p>
    <w:p w14:paraId="4A14A3B9">
      <w:pPr>
        <w:pStyle w:val="18"/>
        <w:rPr>
          <w:rFonts w:ascii="黑体" w:eastAsia="黑体" w:cs="Arial"/>
          <w:bCs/>
          <w:sz w:val="36"/>
          <w:szCs w:val="36"/>
        </w:rPr>
      </w:pPr>
    </w:p>
    <w:p w14:paraId="12DC74C4">
      <w:pPr>
        <w:rPr>
          <w:rFonts w:ascii="黑体" w:eastAsia="黑体" w:cs="Arial"/>
          <w:bCs/>
          <w:sz w:val="36"/>
          <w:szCs w:val="36"/>
        </w:rPr>
      </w:pPr>
    </w:p>
    <w:p w14:paraId="57D4FE4B">
      <w:pPr>
        <w:pStyle w:val="18"/>
        <w:rPr>
          <w:rFonts w:ascii="黑体" w:eastAsia="黑体" w:cs="Arial"/>
          <w:bCs/>
          <w:sz w:val="36"/>
          <w:szCs w:val="36"/>
        </w:rPr>
      </w:pPr>
    </w:p>
    <w:p w14:paraId="67BD5AEF">
      <w:pPr>
        <w:rPr>
          <w:rFonts w:ascii="黑体" w:eastAsia="黑体" w:cs="Arial"/>
          <w:bCs/>
          <w:sz w:val="36"/>
          <w:szCs w:val="36"/>
        </w:rPr>
      </w:pPr>
    </w:p>
    <w:p w14:paraId="2EE4C1C1">
      <w:pPr>
        <w:pStyle w:val="4"/>
        <w:rPr>
          <w:rFonts w:ascii="黑体" w:eastAsia="黑体" w:cs="Arial"/>
          <w:bCs/>
          <w:sz w:val="36"/>
          <w:szCs w:val="36"/>
        </w:rPr>
      </w:pPr>
    </w:p>
    <w:p w14:paraId="68CFEE5B">
      <w:pPr>
        <w:rPr>
          <w:rFonts w:ascii="黑体" w:eastAsia="黑体" w:cs="Arial"/>
          <w:bCs/>
          <w:sz w:val="36"/>
          <w:szCs w:val="36"/>
        </w:rPr>
      </w:pPr>
    </w:p>
    <w:p w14:paraId="797AF1E1">
      <w:pPr>
        <w:pStyle w:val="4"/>
        <w:rPr>
          <w:rFonts w:ascii="黑体" w:eastAsia="黑体" w:cs="Arial"/>
          <w:bCs/>
          <w:sz w:val="36"/>
          <w:szCs w:val="36"/>
        </w:rPr>
      </w:pPr>
    </w:p>
    <w:p w14:paraId="446B6F88"/>
    <w:p w14:paraId="2FB30930"/>
    <w:p w14:paraId="14C3C092"/>
    <w:p w14:paraId="51A3E5E5"/>
    <w:p w14:paraId="64077C16"/>
    <w:p w14:paraId="4309D985"/>
    <w:p w14:paraId="1D61E7C2"/>
    <w:p w14:paraId="5EF6EE97"/>
    <w:p w14:paraId="370E8E6B"/>
    <w:p w14:paraId="325C1674"/>
    <w:p w14:paraId="13E8990D"/>
    <w:p w14:paraId="2EA7B538"/>
    <w:p w14:paraId="13B0D4A4"/>
    <w:p w14:paraId="6A44F41E"/>
    <w:p w14:paraId="0D411B73">
      <w:pPr>
        <w:pStyle w:val="18"/>
        <w:rPr>
          <w:rFonts w:ascii="黑体" w:eastAsia="黑体" w:cs="Arial"/>
          <w:bCs/>
          <w:sz w:val="36"/>
          <w:szCs w:val="36"/>
        </w:rPr>
      </w:pPr>
    </w:p>
    <w:p w14:paraId="4C20672B"/>
    <w:p w14:paraId="624AC207">
      <w:pPr>
        <w:pStyle w:val="3"/>
        <w:adjustRightInd w:val="0"/>
        <w:snapToGrid w:val="0"/>
        <w:spacing w:before="0" w:after="0" w:line="360" w:lineRule="auto"/>
        <w:rPr>
          <w:rFonts w:ascii="黑体" w:eastAsia="黑体" w:cs="Arial"/>
          <w:bCs/>
          <w:sz w:val="36"/>
          <w:szCs w:val="36"/>
        </w:rPr>
      </w:pPr>
      <w:r>
        <w:rPr>
          <w:rFonts w:hint="eastAsia" w:ascii="黑体" w:eastAsia="黑体" w:cs="Arial"/>
          <w:bCs/>
          <w:sz w:val="36"/>
          <w:szCs w:val="36"/>
        </w:rPr>
        <w:t>第二章  磋商须知</w:t>
      </w:r>
      <w:bookmarkEnd w:id="54"/>
    </w:p>
    <w:p w14:paraId="1F5620AB">
      <w:pPr>
        <w:adjustRightInd w:val="0"/>
        <w:snapToGrid w:val="0"/>
        <w:spacing w:line="360" w:lineRule="auto"/>
        <w:ind w:firstLine="1120" w:firstLineChars="400"/>
        <w:outlineLvl w:val="0"/>
        <w:rPr>
          <w:rFonts w:ascii="宋体" w:hAnsi="宋体"/>
          <w:sz w:val="28"/>
          <w:szCs w:val="28"/>
        </w:rPr>
      </w:pPr>
      <w:bookmarkStart w:id="55" w:name="_Toc16795"/>
      <w:r>
        <w:rPr>
          <w:rFonts w:hint="eastAsia" w:ascii="宋体" w:hAnsi="宋体"/>
          <w:bCs/>
          <w:sz w:val="28"/>
          <w:szCs w:val="28"/>
        </w:rPr>
        <w:t>（参加竞争性磋商的供应商以下简称“磋商供应商”）</w:t>
      </w:r>
      <w:bookmarkEnd w:id="55"/>
    </w:p>
    <w:bookmarkEnd w:id="51"/>
    <w:bookmarkEnd w:id="52"/>
    <w:bookmarkEnd w:id="53"/>
    <w:p w14:paraId="0CAE0298">
      <w:pPr>
        <w:adjustRightInd w:val="0"/>
        <w:snapToGrid w:val="0"/>
        <w:spacing w:line="360" w:lineRule="exact"/>
        <w:ind w:firstLine="413" w:firstLineChars="196"/>
        <w:rPr>
          <w:b/>
          <w:szCs w:val="21"/>
        </w:rPr>
      </w:pPr>
      <w:r>
        <w:rPr>
          <w:rFonts w:hint="eastAsia"/>
          <w:b/>
          <w:szCs w:val="21"/>
        </w:rPr>
        <w:t>一、总    则</w:t>
      </w:r>
    </w:p>
    <w:p w14:paraId="24CB1F2E">
      <w:pPr>
        <w:adjustRightInd w:val="0"/>
        <w:snapToGrid w:val="0"/>
        <w:spacing w:line="360" w:lineRule="exact"/>
        <w:ind w:firstLine="420" w:firstLineChars="200"/>
        <w:rPr>
          <w:rFonts w:ascii="宋体" w:hAnsi="宋体"/>
          <w:szCs w:val="21"/>
        </w:rPr>
      </w:pPr>
      <w:r>
        <w:rPr>
          <w:rFonts w:hint="eastAsia" w:ascii="宋体" w:hAnsi="宋体"/>
          <w:szCs w:val="21"/>
        </w:rPr>
        <w:t>1、适用范围</w:t>
      </w:r>
    </w:p>
    <w:p w14:paraId="38002DF6">
      <w:pPr>
        <w:adjustRightInd w:val="0"/>
        <w:snapToGrid w:val="0"/>
        <w:spacing w:line="360" w:lineRule="exact"/>
        <w:ind w:firstLine="420" w:firstLineChars="200"/>
        <w:rPr>
          <w:rFonts w:ascii="宋体" w:hAnsi="宋体"/>
          <w:szCs w:val="21"/>
        </w:rPr>
      </w:pPr>
      <w:r>
        <w:rPr>
          <w:rFonts w:hint="eastAsia" w:ascii="宋体" w:hAnsi="宋体"/>
          <w:szCs w:val="21"/>
        </w:rPr>
        <w:t>1.1 本竞争性磋商文件（以下简称磋商文件）仅适用此项目。</w:t>
      </w:r>
    </w:p>
    <w:p w14:paraId="27E85F4F">
      <w:pPr>
        <w:adjustRightInd w:val="0"/>
        <w:snapToGrid w:val="0"/>
        <w:spacing w:line="360" w:lineRule="exact"/>
        <w:ind w:firstLine="420" w:firstLineChars="200"/>
        <w:rPr>
          <w:rFonts w:ascii="宋体" w:hAnsi="宋体"/>
          <w:szCs w:val="21"/>
        </w:rPr>
      </w:pPr>
      <w:r>
        <w:rPr>
          <w:rFonts w:hint="eastAsia" w:ascii="宋体" w:hAnsi="宋体"/>
          <w:szCs w:val="21"/>
        </w:rPr>
        <w:t>2、项目采购方式</w:t>
      </w:r>
    </w:p>
    <w:p w14:paraId="64F6581F">
      <w:pPr>
        <w:adjustRightInd w:val="0"/>
        <w:snapToGrid w:val="0"/>
        <w:spacing w:line="360" w:lineRule="exact"/>
        <w:ind w:firstLine="420" w:firstLineChars="200"/>
        <w:rPr>
          <w:rFonts w:ascii="宋体" w:hAnsi="宋体"/>
          <w:szCs w:val="21"/>
        </w:rPr>
      </w:pPr>
      <w:r>
        <w:rPr>
          <w:rFonts w:hint="eastAsia" w:ascii="宋体" w:hAnsi="宋体"/>
          <w:szCs w:val="21"/>
        </w:rPr>
        <w:t>本次采购采取竞争性磋商的方式。</w:t>
      </w:r>
    </w:p>
    <w:p w14:paraId="1452ED06">
      <w:pPr>
        <w:adjustRightInd w:val="0"/>
        <w:snapToGrid w:val="0"/>
        <w:spacing w:line="360" w:lineRule="exact"/>
        <w:ind w:firstLine="420" w:firstLineChars="200"/>
        <w:rPr>
          <w:rFonts w:ascii="宋体" w:hAnsi="宋体"/>
          <w:szCs w:val="21"/>
        </w:rPr>
      </w:pPr>
      <w:r>
        <w:rPr>
          <w:rFonts w:hint="eastAsia" w:ascii="宋体" w:hAnsi="宋体"/>
          <w:szCs w:val="21"/>
        </w:rPr>
        <w:t>3、合格的磋商供应商</w:t>
      </w:r>
    </w:p>
    <w:p w14:paraId="25C6D5F8">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3.1满足本磋商文件“采购邀请”中合格磋商供应商资格要求的规定。</w:t>
      </w:r>
    </w:p>
    <w:p w14:paraId="6C78926B">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3.2 满足本磋商文件实质性要求和条件的规定。</w:t>
      </w:r>
    </w:p>
    <w:p w14:paraId="26FB3910">
      <w:pPr>
        <w:adjustRightInd w:val="0"/>
        <w:snapToGrid w:val="0"/>
        <w:spacing w:line="360" w:lineRule="exact"/>
        <w:ind w:firstLine="420" w:firstLineChars="200"/>
        <w:rPr>
          <w:rFonts w:ascii="宋体" w:hAnsi="宋体"/>
          <w:szCs w:val="21"/>
        </w:rPr>
      </w:pPr>
      <w:r>
        <w:rPr>
          <w:rFonts w:hint="eastAsia" w:ascii="宋体" w:hAnsi="宋体"/>
          <w:szCs w:val="21"/>
        </w:rPr>
        <w:t>4、参加磋商费用</w:t>
      </w:r>
    </w:p>
    <w:p w14:paraId="4736126A">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4.1 参加磋商供应商应自行承担所有与参加磋商有关的费用。不论最终的成交结果如何，采购人在任何情况下均无义务和责任承担这些费用。</w:t>
      </w:r>
    </w:p>
    <w:p w14:paraId="36C830C7">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4.2本次评标相关的其他费用也由中标单位代为支付。该项费用不单独列项，在投标报价时综合考虑，并在开标结束后缴纳。</w:t>
      </w:r>
    </w:p>
    <w:p w14:paraId="0CC6970C">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5、磋商文件的约束力</w:t>
      </w:r>
    </w:p>
    <w:p w14:paraId="13A4E11A">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供应商一旦下载了本磋商文件并决定参加磋商，即被认为接受了本磋商文件的规定和约束，并且视为自竞争性磋商公告期限届满之日起已经知道或应当知道自身权益是否受到了损害。</w:t>
      </w:r>
    </w:p>
    <w:p w14:paraId="195EA06A">
      <w:pPr>
        <w:tabs>
          <w:tab w:val="left" w:pos="900"/>
        </w:tabs>
        <w:adjustRightInd w:val="0"/>
        <w:snapToGrid w:val="0"/>
        <w:spacing w:line="360" w:lineRule="exact"/>
        <w:ind w:firstLine="522" w:firstLineChars="249"/>
        <w:rPr>
          <w:rFonts w:ascii="宋体" w:hAnsi="宋体"/>
          <w:szCs w:val="21"/>
        </w:rPr>
      </w:pPr>
      <w:r>
        <w:rPr>
          <w:rFonts w:hint="eastAsia" w:ascii="宋体" w:hAnsi="宋体"/>
          <w:szCs w:val="21"/>
        </w:rPr>
        <w:t>6、</w:t>
      </w:r>
      <w:bookmarkStart w:id="56" w:name="_Toc16938527"/>
      <w:bookmarkStart w:id="57" w:name="_Toc20823283"/>
      <w:bookmarkStart w:id="58" w:name="_Toc462564070"/>
      <w:bookmarkStart w:id="59" w:name="_Toc513029211"/>
      <w:r>
        <w:rPr>
          <w:rFonts w:hint="eastAsia" w:ascii="宋体" w:hAnsi="宋体"/>
          <w:szCs w:val="21"/>
        </w:rPr>
        <w:t>磋商文件的澄清</w:t>
      </w:r>
      <w:bookmarkEnd w:id="56"/>
      <w:bookmarkEnd w:id="57"/>
      <w:bookmarkEnd w:id="58"/>
      <w:bookmarkEnd w:id="59"/>
      <w:r>
        <w:rPr>
          <w:rFonts w:hint="eastAsia" w:ascii="宋体" w:hAnsi="宋体"/>
          <w:szCs w:val="21"/>
        </w:rPr>
        <w:t>及修改</w:t>
      </w:r>
    </w:p>
    <w:p w14:paraId="16F63DA0">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6.1任何要求对磋商文件进行澄清的供应商，均应在提交首次响应文件截止时间5日前按采购邀请中的通讯地址，以书面形式通知</w:t>
      </w:r>
      <w:r>
        <w:rPr>
          <w:rFonts w:hint="eastAsia"/>
          <w:szCs w:val="21"/>
        </w:rPr>
        <w:t>采购人</w:t>
      </w:r>
      <w:r>
        <w:rPr>
          <w:rFonts w:hint="eastAsia" w:ascii="宋体" w:hAnsi="宋体"/>
          <w:szCs w:val="21"/>
        </w:rPr>
        <w:t>。提交首次响应文件截止之日前，</w:t>
      </w:r>
      <w:r>
        <w:rPr>
          <w:rFonts w:hint="eastAsia"/>
          <w:szCs w:val="21"/>
        </w:rPr>
        <w:t>采购人</w:t>
      </w:r>
      <w:r>
        <w:rPr>
          <w:rFonts w:hint="eastAsia" w:ascii="宋体" w:hAnsi="宋体"/>
          <w:szCs w:val="21"/>
        </w:rPr>
        <w:t>可以对已发出的磋商文件进行必要的澄清或者修改，澄清或者修改的内容作为磋商文件的组成部分。澄清或者修改的内容可能影响响应文件编制的，</w:t>
      </w:r>
      <w:r>
        <w:rPr>
          <w:rFonts w:hint="eastAsia"/>
          <w:szCs w:val="21"/>
        </w:rPr>
        <w:t>采购人</w:t>
      </w:r>
      <w:r>
        <w:rPr>
          <w:rFonts w:hint="eastAsia" w:ascii="宋体" w:hAnsi="宋体"/>
          <w:szCs w:val="21"/>
        </w:rPr>
        <w:t>将在提交首次响应文件截止时间至少5日前，在南通市政府采购网上发布书面更正公告形式通知所有获取磋商文件的供应商。不足5日的，</w:t>
      </w:r>
      <w:r>
        <w:rPr>
          <w:rFonts w:hint="eastAsia"/>
          <w:szCs w:val="21"/>
        </w:rPr>
        <w:t>采购人</w:t>
      </w:r>
      <w:r>
        <w:rPr>
          <w:rFonts w:hint="eastAsia" w:ascii="宋体" w:hAnsi="宋体"/>
          <w:szCs w:val="21"/>
        </w:rPr>
        <w:t>应当顺延提交首次响应文件截止时间。</w:t>
      </w:r>
    </w:p>
    <w:p w14:paraId="2834D231">
      <w:pPr>
        <w:adjustRightInd w:val="0"/>
        <w:snapToGrid w:val="0"/>
        <w:spacing w:line="360" w:lineRule="exact"/>
        <w:ind w:firstLine="308" w:firstLineChars="146"/>
        <w:rPr>
          <w:b/>
          <w:szCs w:val="21"/>
        </w:rPr>
      </w:pPr>
      <w:bookmarkStart w:id="60" w:name="_Hlt26668969"/>
      <w:bookmarkEnd w:id="60"/>
      <w:bookmarkStart w:id="61" w:name="_Hlt26670348"/>
      <w:bookmarkEnd w:id="61"/>
      <w:bookmarkStart w:id="62" w:name="_Hlt26670354"/>
      <w:bookmarkEnd w:id="62"/>
      <w:bookmarkStart w:id="63" w:name="_Hlt26670345"/>
      <w:bookmarkEnd w:id="63"/>
      <w:bookmarkStart w:id="64" w:name="_Hlt26954830"/>
      <w:bookmarkEnd w:id="64"/>
      <w:bookmarkStart w:id="65" w:name="_Hlt26954828"/>
      <w:bookmarkEnd w:id="65"/>
      <w:bookmarkStart w:id="66" w:name="_Hlt26954832"/>
      <w:bookmarkEnd w:id="66"/>
      <w:bookmarkStart w:id="67" w:name="_Toc14577351"/>
      <w:bookmarkStart w:id="68" w:name="_Toc462564072"/>
      <w:bookmarkStart w:id="69" w:name="_Toc61149553"/>
      <w:bookmarkStart w:id="70" w:name="_Toc513029213"/>
      <w:r>
        <w:rPr>
          <w:rFonts w:hint="eastAsia"/>
          <w:b/>
          <w:szCs w:val="21"/>
        </w:rPr>
        <w:t>二 、磋商响应文件的编制</w:t>
      </w:r>
      <w:bookmarkEnd w:id="67"/>
      <w:bookmarkEnd w:id="68"/>
      <w:bookmarkEnd w:id="69"/>
      <w:bookmarkEnd w:id="70"/>
      <w:r>
        <w:rPr>
          <w:rFonts w:hint="eastAsia"/>
          <w:b/>
          <w:szCs w:val="21"/>
        </w:rPr>
        <w:t>及保证金收取</w:t>
      </w:r>
    </w:p>
    <w:p w14:paraId="649F5DF1">
      <w:pPr>
        <w:adjustRightInd w:val="0"/>
        <w:snapToGrid w:val="0"/>
        <w:spacing w:line="360" w:lineRule="exact"/>
        <w:ind w:firstLine="420" w:firstLineChars="200"/>
        <w:rPr>
          <w:rFonts w:ascii="宋体" w:hAnsi="宋体"/>
          <w:szCs w:val="21"/>
        </w:rPr>
      </w:pPr>
      <w:bookmarkStart w:id="71" w:name="_Toc14577361"/>
      <w:bookmarkStart w:id="72" w:name="_Toc513029223"/>
      <w:bookmarkStart w:id="73" w:name="_Toc61149561"/>
      <w:r>
        <w:rPr>
          <w:rFonts w:hint="eastAsia" w:ascii="宋体" w:hAnsi="宋体"/>
          <w:szCs w:val="21"/>
        </w:rPr>
        <w:t>1、磋商响应文件份数和签署</w:t>
      </w:r>
      <w:bookmarkEnd w:id="71"/>
      <w:bookmarkEnd w:id="72"/>
      <w:bookmarkEnd w:id="73"/>
    </w:p>
    <w:p w14:paraId="00FC21F5">
      <w:pPr>
        <w:adjustRightInd w:val="0"/>
        <w:snapToGrid w:val="0"/>
        <w:spacing w:line="360" w:lineRule="exact"/>
        <w:ind w:firstLine="420" w:firstLineChars="200"/>
        <w:rPr>
          <w:rFonts w:ascii="宋体" w:hAnsi="宋体"/>
          <w:szCs w:val="21"/>
        </w:rPr>
      </w:pPr>
      <w:r>
        <w:rPr>
          <w:rFonts w:hint="eastAsia" w:ascii="宋体" w:hAnsi="宋体"/>
          <w:szCs w:val="21"/>
        </w:rPr>
        <w:t>1.1 参加磋商供应商应严格按照竞争性磋商采购邀请要求准备磋商响应文件（以下简称响应文件），每份响应文件须清楚地标明“正本”或“副本”字样。响应文件的正本和所有的副本均需打印或复印。响应文件正本中，除磋商文件规定的可提交复印件外，其他文件均须提交原件，文字材料需打印或用不褪色墨水书写，</w:t>
      </w:r>
      <w:r>
        <w:rPr>
          <w:rFonts w:hint="eastAsia" w:ascii="宋体" w:hAnsi="宋体" w:cs="宋体"/>
          <w:color w:val="000000"/>
          <w:szCs w:val="21"/>
        </w:rPr>
        <w:t>投标文件正副本均应使用</w:t>
      </w:r>
      <w:r>
        <w:rPr>
          <w:rFonts w:ascii="宋体" w:hAnsi="宋体" w:cs="宋体"/>
          <w:color w:val="000000"/>
          <w:szCs w:val="21"/>
        </w:rPr>
        <w:t>A4</w:t>
      </w:r>
      <w:r>
        <w:rPr>
          <w:rFonts w:hint="eastAsia" w:ascii="宋体" w:hAnsi="宋体" w:cs="宋体"/>
          <w:color w:val="000000"/>
          <w:szCs w:val="21"/>
        </w:rPr>
        <w:t>纸统一装订，且均应使用不能擦去的墨水书写或打印，按要求在响应文件上加盖磋商供应商公章并由法定代表人或委托代理人签字。</w:t>
      </w:r>
      <w:r>
        <w:rPr>
          <w:rFonts w:hint="eastAsia" w:ascii="宋体" w:hAnsi="宋体"/>
          <w:szCs w:val="21"/>
        </w:rPr>
        <w:t>本磋商文件所表述（指定）的公章是指刻有供应商法定名称的印章，不包括合同、财务、税务、发票等形式的业务专用章。</w:t>
      </w:r>
    </w:p>
    <w:p w14:paraId="1B5BE789">
      <w:pPr>
        <w:adjustRightInd w:val="0"/>
        <w:snapToGrid w:val="0"/>
        <w:spacing w:line="360" w:lineRule="exact"/>
        <w:ind w:firstLine="420" w:firstLineChars="200"/>
        <w:rPr>
          <w:rFonts w:ascii="宋体" w:hAnsi="宋体"/>
          <w:szCs w:val="21"/>
        </w:rPr>
      </w:pPr>
      <w:r>
        <w:rPr>
          <w:rFonts w:hint="eastAsia" w:ascii="宋体" w:hAnsi="宋体"/>
          <w:szCs w:val="21"/>
        </w:rPr>
        <w:t>1.2 除磋商供应商对错处做必要修改外，磋商响应文件不得行间插字、涂改或增删。如有修改错漏处，必须由响应文件签署人签字或盖章。</w:t>
      </w:r>
    </w:p>
    <w:p w14:paraId="4306C144">
      <w:pPr>
        <w:adjustRightInd w:val="0"/>
        <w:snapToGrid w:val="0"/>
        <w:spacing w:line="360" w:lineRule="exact"/>
        <w:ind w:firstLine="420" w:firstLineChars="200"/>
        <w:rPr>
          <w:rFonts w:ascii="宋体" w:hAnsi="宋体"/>
          <w:szCs w:val="21"/>
        </w:rPr>
      </w:pPr>
      <w:bookmarkStart w:id="74" w:name="_Hlt26954834"/>
      <w:bookmarkEnd w:id="74"/>
      <w:bookmarkStart w:id="75" w:name="_Toc14577353"/>
      <w:bookmarkStart w:id="76" w:name="_Toc513029215"/>
      <w:bookmarkStart w:id="77" w:name="_Toc462564074"/>
      <w:bookmarkStart w:id="78" w:name="_Toc61149555"/>
      <w:bookmarkStart w:id="79" w:name="_Toc513029214"/>
      <w:bookmarkStart w:id="80" w:name="_Toc14577352"/>
      <w:bookmarkStart w:id="81" w:name="_Toc462564073"/>
      <w:bookmarkStart w:id="82" w:name="_Toc61149554"/>
      <w:r>
        <w:rPr>
          <w:rFonts w:hint="eastAsia" w:ascii="宋体" w:hAnsi="宋体"/>
          <w:szCs w:val="21"/>
        </w:rPr>
        <w:t>2、响应文件</w:t>
      </w:r>
      <w:bookmarkEnd w:id="75"/>
      <w:bookmarkEnd w:id="76"/>
      <w:bookmarkEnd w:id="77"/>
      <w:bookmarkEnd w:id="78"/>
      <w:r>
        <w:rPr>
          <w:rFonts w:hint="eastAsia" w:ascii="宋体" w:hAnsi="宋体"/>
          <w:szCs w:val="21"/>
        </w:rPr>
        <w:t>编制要求</w:t>
      </w:r>
    </w:p>
    <w:bookmarkEnd w:id="79"/>
    <w:bookmarkEnd w:id="80"/>
    <w:bookmarkEnd w:id="81"/>
    <w:bookmarkEnd w:id="82"/>
    <w:p w14:paraId="5CC14C89">
      <w:pPr>
        <w:adjustRightInd w:val="0"/>
        <w:snapToGrid w:val="0"/>
        <w:spacing w:line="360" w:lineRule="exact"/>
        <w:ind w:firstLine="420" w:firstLineChars="200"/>
        <w:rPr>
          <w:rFonts w:ascii="宋体" w:hAnsi="宋体"/>
          <w:szCs w:val="21"/>
        </w:rPr>
      </w:pPr>
      <w:r>
        <w:rPr>
          <w:rFonts w:hint="eastAsia" w:ascii="宋体" w:hAnsi="宋体"/>
          <w:szCs w:val="21"/>
        </w:rPr>
        <w:t>2.1磋商供应商提交的响应文件以及磋商供应商与采购人就有关磋商的所有来往函电均应使用</w:t>
      </w:r>
      <w:r>
        <w:rPr>
          <w:rFonts w:hint="eastAsia" w:ascii="宋体" w:hAnsi="宋体"/>
          <w:bCs/>
          <w:szCs w:val="21"/>
        </w:rPr>
        <w:t>简体中文</w:t>
      </w:r>
      <w:r>
        <w:rPr>
          <w:rFonts w:hint="eastAsia" w:ascii="宋体" w:hAnsi="宋体"/>
          <w:szCs w:val="21"/>
        </w:rPr>
        <w:t>。磋商文件中既有中文也有外文的，以中文意义为准。</w:t>
      </w:r>
    </w:p>
    <w:p w14:paraId="515EE778">
      <w:pPr>
        <w:adjustRightInd w:val="0"/>
        <w:snapToGrid w:val="0"/>
        <w:spacing w:line="360" w:lineRule="exact"/>
        <w:ind w:firstLine="420" w:firstLineChars="200"/>
        <w:rPr>
          <w:rFonts w:ascii="宋体" w:hAnsi="宋体"/>
          <w:szCs w:val="21"/>
        </w:rPr>
      </w:pPr>
      <w:r>
        <w:rPr>
          <w:rFonts w:hint="eastAsia" w:ascii="宋体" w:hAnsi="宋体"/>
          <w:szCs w:val="21"/>
        </w:rPr>
        <w:t>2.2 除技术性能另有规定外，响应文件所使用的度量衡单位，均须采用国家法定计量单位。</w:t>
      </w:r>
    </w:p>
    <w:p w14:paraId="6EEEF017">
      <w:pPr>
        <w:adjustRightInd w:val="0"/>
        <w:snapToGrid w:val="0"/>
        <w:spacing w:line="360" w:lineRule="exact"/>
        <w:ind w:firstLine="420" w:firstLineChars="200"/>
        <w:rPr>
          <w:rFonts w:ascii="宋体" w:hAnsi="宋体"/>
          <w:szCs w:val="21"/>
        </w:rPr>
      </w:pPr>
      <w:bookmarkStart w:id="83" w:name="_Hlt26954836"/>
      <w:bookmarkEnd w:id="83"/>
      <w:bookmarkStart w:id="84" w:name="_Hlt26670357"/>
      <w:bookmarkEnd w:id="84"/>
      <w:bookmarkStart w:id="85" w:name="_Toc14577357"/>
      <w:bookmarkStart w:id="86" w:name="_Toc513029219"/>
      <w:bookmarkStart w:id="87" w:name="_Toc61149558"/>
      <w:bookmarkStart w:id="88" w:name="_Toc513029217"/>
      <w:bookmarkStart w:id="89" w:name="_Toc14577355"/>
      <w:bookmarkStart w:id="90" w:name="_Toc61149557"/>
      <w:r>
        <w:rPr>
          <w:rFonts w:hint="eastAsia" w:ascii="宋体" w:hAnsi="宋体"/>
          <w:szCs w:val="21"/>
        </w:rPr>
        <w:t>3、参加磋商供应商资格的文件</w:t>
      </w:r>
      <w:bookmarkEnd w:id="85"/>
      <w:bookmarkEnd w:id="86"/>
      <w:bookmarkEnd w:id="87"/>
      <w:r>
        <w:rPr>
          <w:rFonts w:hint="eastAsia" w:ascii="宋体" w:hAnsi="宋体"/>
          <w:szCs w:val="21"/>
        </w:rPr>
        <w:t>证明</w:t>
      </w:r>
    </w:p>
    <w:p w14:paraId="66873B1E">
      <w:pPr>
        <w:adjustRightInd w:val="0"/>
        <w:snapToGrid w:val="0"/>
        <w:spacing w:line="360" w:lineRule="exact"/>
        <w:ind w:firstLine="420" w:firstLineChars="200"/>
        <w:rPr>
          <w:rFonts w:ascii="宋体" w:hAnsi="宋体"/>
          <w:szCs w:val="21"/>
        </w:rPr>
      </w:pPr>
      <w:bookmarkStart w:id="91" w:name="_Hlt26668999"/>
      <w:bookmarkEnd w:id="91"/>
      <w:r>
        <w:rPr>
          <w:rFonts w:hint="eastAsia" w:ascii="宋体" w:hAnsi="宋体"/>
          <w:szCs w:val="21"/>
        </w:rPr>
        <w:t>3.1磋商供应商应提交证明其有资格参加磋商和成交后有能力独立履行合同的文件，并作为其响应文件的一部分。</w:t>
      </w:r>
    </w:p>
    <w:p w14:paraId="242A5289">
      <w:pPr>
        <w:adjustRightInd w:val="0"/>
        <w:snapToGrid w:val="0"/>
        <w:spacing w:line="360" w:lineRule="exact"/>
        <w:ind w:firstLine="420" w:firstLineChars="200"/>
        <w:rPr>
          <w:rFonts w:ascii="宋体" w:hAnsi="宋体"/>
          <w:szCs w:val="21"/>
        </w:rPr>
      </w:pPr>
      <w:r>
        <w:rPr>
          <w:rFonts w:hint="eastAsia" w:ascii="宋体" w:hAnsi="宋体"/>
          <w:szCs w:val="21"/>
        </w:rPr>
        <w:t>3.2磋商供应商除必须具有履行合同所需提供的设备以及服务的能力外，还必须具备相应的财务、技术方面的能力。</w:t>
      </w:r>
    </w:p>
    <w:p w14:paraId="3C4ABCF4">
      <w:pPr>
        <w:adjustRightInd w:val="0"/>
        <w:snapToGrid w:val="0"/>
        <w:spacing w:line="360" w:lineRule="exact"/>
        <w:ind w:firstLine="420" w:firstLineChars="200"/>
        <w:rPr>
          <w:rFonts w:ascii="宋体" w:hAnsi="宋体"/>
          <w:szCs w:val="21"/>
        </w:rPr>
      </w:pPr>
      <w:r>
        <w:rPr>
          <w:rFonts w:hint="eastAsia" w:ascii="宋体" w:hAnsi="宋体"/>
          <w:szCs w:val="21"/>
        </w:rPr>
        <w:t>3.3磋商供应商应填写并提交磋商文件所附的“资格证明文件”。</w:t>
      </w:r>
    </w:p>
    <w:p w14:paraId="2B03958D">
      <w:pPr>
        <w:numPr>
          <w:ilvl w:val="0"/>
          <w:numId w:val="2"/>
        </w:numPr>
        <w:adjustRightInd w:val="0"/>
        <w:snapToGrid w:val="0"/>
        <w:spacing w:line="360" w:lineRule="exact"/>
        <w:ind w:firstLine="420" w:firstLineChars="200"/>
        <w:rPr>
          <w:rFonts w:ascii="宋体" w:hAnsi="宋体"/>
          <w:szCs w:val="21"/>
        </w:rPr>
      </w:pPr>
      <w:r>
        <w:rPr>
          <w:rFonts w:hint="eastAsia" w:ascii="宋体" w:hAnsi="宋体"/>
          <w:szCs w:val="21"/>
        </w:rPr>
        <w:t>磋商响应报价</w:t>
      </w:r>
      <w:bookmarkEnd w:id="88"/>
      <w:bookmarkEnd w:id="89"/>
      <w:bookmarkEnd w:id="90"/>
      <w:bookmarkStart w:id="92" w:name="_Hlt26670373"/>
      <w:bookmarkEnd w:id="92"/>
    </w:p>
    <w:p w14:paraId="7738C712">
      <w:pPr>
        <w:pStyle w:val="123"/>
        <w:adjustRightInd w:val="0"/>
        <w:snapToGrid w:val="0"/>
        <w:spacing w:line="360" w:lineRule="exact"/>
        <w:ind w:firstLine="420" w:firstLineChars="200"/>
        <w:contextualSpacing/>
        <w:rPr>
          <w:rFonts w:ascii="宋体" w:eastAsia="宋体"/>
          <w:sz w:val="21"/>
          <w:szCs w:val="21"/>
        </w:rPr>
      </w:pPr>
      <w:r>
        <w:rPr>
          <w:rFonts w:hint="eastAsia" w:ascii="宋体" w:eastAsia="宋体" w:cs="宋体"/>
          <w:kern w:val="0"/>
          <w:sz w:val="21"/>
          <w:szCs w:val="21"/>
        </w:rPr>
        <w:t>4.1</w:t>
      </w:r>
      <w:r>
        <w:rPr>
          <w:rFonts w:hint="eastAsia" w:ascii="宋体" w:eastAsia="宋体"/>
          <w:sz w:val="21"/>
          <w:szCs w:val="21"/>
        </w:rPr>
        <w:t>磋商结束后，要求磋商响应人提交最后报价，该报价作为本项目成交的依据。</w:t>
      </w:r>
    </w:p>
    <w:p w14:paraId="45326871">
      <w:pPr>
        <w:adjustRightInd w:val="0"/>
        <w:snapToGrid w:val="0"/>
        <w:spacing w:line="360" w:lineRule="exact"/>
        <w:ind w:firstLine="420" w:firstLineChars="200"/>
        <w:rPr>
          <w:rFonts w:ascii="宋体" w:hAnsi="宋体"/>
          <w:szCs w:val="21"/>
        </w:rPr>
      </w:pPr>
      <w:r>
        <w:rPr>
          <w:rFonts w:hint="eastAsia" w:ascii="宋体" w:hAnsi="宋体"/>
          <w:bCs/>
          <w:szCs w:val="21"/>
        </w:rPr>
        <w:t xml:space="preserve">4.2 </w:t>
      </w:r>
      <w:r>
        <w:rPr>
          <w:rFonts w:hint="eastAsia" w:ascii="宋体" w:hAnsi="宋体"/>
          <w:szCs w:val="21"/>
        </w:rPr>
        <w:t>标的物</w:t>
      </w:r>
    </w:p>
    <w:p w14:paraId="3A8A5D2F">
      <w:pPr>
        <w:adjustRightInd w:val="0"/>
        <w:snapToGrid w:val="0"/>
        <w:spacing w:line="360" w:lineRule="exact"/>
        <w:ind w:firstLine="420" w:firstLineChars="200"/>
        <w:rPr>
          <w:rFonts w:ascii="宋体" w:hAnsi="宋体"/>
          <w:szCs w:val="21"/>
        </w:rPr>
      </w:pPr>
      <w:r>
        <w:rPr>
          <w:rFonts w:hint="eastAsia" w:ascii="宋体" w:hAnsi="宋体"/>
          <w:bCs/>
          <w:szCs w:val="21"/>
        </w:rPr>
        <w:t>详见项目需求。</w:t>
      </w:r>
    </w:p>
    <w:p w14:paraId="06B594B8">
      <w:pPr>
        <w:adjustRightInd w:val="0"/>
        <w:snapToGrid w:val="0"/>
        <w:spacing w:line="360" w:lineRule="exact"/>
        <w:ind w:firstLine="420" w:firstLineChars="200"/>
        <w:rPr>
          <w:rFonts w:ascii="宋体" w:hAnsi="宋体"/>
          <w:bCs/>
          <w:szCs w:val="21"/>
        </w:rPr>
      </w:pPr>
      <w:r>
        <w:rPr>
          <w:rFonts w:hint="eastAsia" w:ascii="宋体" w:hAnsi="宋体"/>
          <w:szCs w:val="21"/>
        </w:rPr>
        <w:t xml:space="preserve">4.3 </w:t>
      </w:r>
      <w:r>
        <w:rPr>
          <w:rFonts w:hint="eastAsia" w:ascii="宋体" w:hAnsi="宋体"/>
          <w:bCs/>
          <w:szCs w:val="21"/>
        </w:rPr>
        <w:t>有关费用处理</w:t>
      </w:r>
    </w:p>
    <w:p w14:paraId="7019CC0A">
      <w:pPr>
        <w:adjustRightInd w:val="0"/>
        <w:snapToGrid w:val="0"/>
        <w:spacing w:line="360" w:lineRule="exact"/>
        <w:ind w:firstLine="420" w:firstLineChars="200"/>
        <w:rPr>
          <w:rFonts w:ascii="宋体" w:hAnsi="宋体"/>
          <w:szCs w:val="21"/>
        </w:rPr>
      </w:pPr>
      <w:r>
        <w:rPr>
          <w:rFonts w:hint="eastAsia" w:ascii="宋体" w:hAnsi="宋体"/>
          <w:szCs w:val="21"/>
        </w:rPr>
        <w:t>本次采购磋商供应商的总报价应包括为完成本项目发生的所有费用，本磋商文件中另有规定的除外。</w:t>
      </w:r>
    </w:p>
    <w:p w14:paraId="49F73F54">
      <w:pPr>
        <w:adjustRightInd w:val="0"/>
        <w:snapToGrid w:val="0"/>
        <w:spacing w:line="360" w:lineRule="exact"/>
        <w:ind w:firstLine="420" w:firstLineChars="200"/>
        <w:rPr>
          <w:rFonts w:ascii="宋体" w:hAnsi="宋体"/>
          <w:bCs/>
          <w:szCs w:val="21"/>
        </w:rPr>
      </w:pPr>
      <w:r>
        <w:rPr>
          <w:rFonts w:hint="eastAsia" w:ascii="宋体" w:hAnsi="宋体"/>
          <w:szCs w:val="21"/>
        </w:rPr>
        <w:t xml:space="preserve">4.4 </w:t>
      </w:r>
      <w:r>
        <w:rPr>
          <w:rFonts w:hint="eastAsia" w:ascii="宋体" w:hAnsi="宋体"/>
          <w:bCs/>
          <w:szCs w:val="21"/>
        </w:rPr>
        <w:t>其它费用处理</w:t>
      </w:r>
    </w:p>
    <w:p w14:paraId="75BBEE8A">
      <w:pPr>
        <w:adjustRightInd w:val="0"/>
        <w:snapToGrid w:val="0"/>
        <w:spacing w:line="360" w:lineRule="exact"/>
        <w:ind w:firstLine="420" w:firstLineChars="200"/>
        <w:rPr>
          <w:rFonts w:ascii="宋体" w:hAnsi="宋体"/>
          <w:bCs/>
          <w:szCs w:val="21"/>
        </w:rPr>
      </w:pPr>
      <w:r>
        <w:rPr>
          <w:rFonts w:hint="eastAsia" w:ascii="宋体" w:hAnsi="宋体"/>
          <w:bCs/>
          <w:szCs w:val="21"/>
        </w:rPr>
        <w:t>磋商文件未列明，而磋商供应商认为必需的费用也需列入报价。</w:t>
      </w:r>
    </w:p>
    <w:p w14:paraId="487661DD">
      <w:pPr>
        <w:adjustRightInd w:val="0"/>
        <w:snapToGrid w:val="0"/>
        <w:spacing w:line="360" w:lineRule="exact"/>
        <w:ind w:firstLine="420" w:firstLineChars="200"/>
        <w:rPr>
          <w:rFonts w:ascii="宋体" w:hAnsi="宋体"/>
          <w:bCs/>
          <w:szCs w:val="21"/>
        </w:rPr>
      </w:pPr>
      <w:r>
        <w:rPr>
          <w:rFonts w:hint="eastAsia" w:ascii="宋体" w:hAnsi="宋体"/>
          <w:szCs w:val="21"/>
        </w:rPr>
        <w:t>4.5报价采用的</w:t>
      </w:r>
      <w:r>
        <w:rPr>
          <w:rFonts w:hint="eastAsia" w:ascii="宋体" w:hAnsi="宋体"/>
          <w:bCs/>
          <w:szCs w:val="21"/>
        </w:rPr>
        <w:t>货币</w:t>
      </w:r>
    </w:p>
    <w:p w14:paraId="2F64617D">
      <w:pPr>
        <w:adjustRightInd w:val="0"/>
        <w:snapToGrid w:val="0"/>
        <w:spacing w:line="360" w:lineRule="exact"/>
        <w:ind w:firstLine="420" w:firstLineChars="200"/>
        <w:rPr>
          <w:rFonts w:ascii="宋体" w:hAnsi="宋体"/>
          <w:bCs/>
          <w:szCs w:val="21"/>
        </w:rPr>
      </w:pPr>
      <w:r>
        <w:rPr>
          <w:rFonts w:hint="eastAsia" w:ascii="宋体" w:hAnsi="宋体"/>
          <w:bCs/>
          <w:szCs w:val="21"/>
        </w:rPr>
        <w:t>响应文件中的单价和总价，无特殊规定的采用人民币报价，以元为单位标注。磋商文件中另有规定的按规定执行。</w:t>
      </w:r>
    </w:p>
    <w:p w14:paraId="1A3A4805">
      <w:pPr>
        <w:adjustRightInd w:val="0"/>
        <w:snapToGrid w:val="0"/>
        <w:spacing w:line="360" w:lineRule="exact"/>
        <w:ind w:firstLine="420" w:firstLineChars="200"/>
        <w:rPr>
          <w:rFonts w:ascii="宋体" w:hAnsi="宋体"/>
          <w:szCs w:val="21"/>
        </w:rPr>
      </w:pPr>
      <w:r>
        <w:rPr>
          <w:rFonts w:hint="eastAsia" w:ascii="宋体" w:hAnsi="宋体"/>
          <w:szCs w:val="21"/>
        </w:rPr>
        <w:t>4.6磋商响应</w:t>
      </w:r>
      <w:r>
        <w:rPr>
          <w:rFonts w:hint="eastAsia" w:ascii="宋体" w:hAnsi="宋体"/>
          <w:bCs/>
          <w:szCs w:val="21"/>
        </w:rPr>
        <w:t>报价表上的价格应按磋商文件规定填写</w:t>
      </w:r>
      <w:r>
        <w:rPr>
          <w:rFonts w:hint="eastAsia" w:ascii="宋体" w:hAnsi="宋体"/>
          <w:szCs w:val="21"/>
        </w:rPr>
        <w:t>。</w:t>
      </w:r>
    </w:p>
    <w:p w14:paraId="12ED10DA">
      <w:pPr>
        <w:adjustRightInd w:val="0"/>
        <w:snapToGrid w:val="0"/>
        <w:spacing w:line="360" w:lineRule="exact"/>
        <w:ind w:firstLine="420" w:firstLineChars="200"/>
        <w:rPr>
          <w:rFonts w:ascii="宋体" w:hAnsi="宋体"/>
          <w:szCs w:val="21"/>
        </w:rPr>
      </w:pPr>
      <w:bookmarkStart w:id="93" w:name="_Hlt26670425"/>
      <w:bookmarkEnd w:id="93"/>
      <w:bookmarkStart w:id="94" w:name="_Hlt26670403"/>
      <w:bookmarkEnd w:id="94"/>
      <w:bookmarkStart w:id="95" w:name="_Hlt26954731"/>
      <w:bookmarkEnd w:id="95"/>
      <w:bookmarkStart w:id="96" w:name="_Hlt26954844"/>
      <w:bookmarkEnd w:id="96"/>
      <w:bookmarkStart w:id="97" w:name="_Hlt26668983"/>
      <w:bookmarkEnd w:id="97"/>
      <w:bookmarkStart w:id="98" w:name="_Hlt26954842"/>
      <w:bookmarkEnd w:id="98"/>
      <w:bookmarkStart w:id="99" w:name="_Hlt26670486"/>
      <w:bookmarkEnd w:id="99"/>
      <w:bookmarkStart w:id="100" w:name="_Hlt26954848"/>
      <w:bookmarkEnd w:id="100"/>
      <w:bookmarkStart w:id="101" w:name="_Hlt26670482"/>
      <w:bookmarkEnd w:id="101"/>
      <w:bookmarkStart w:id="102" w:name="_Hlt26954846"/>
      <w:bookmarkEnd w:id="102"/>
      <w:bookmarkStart w:id="103" w:name="_Toc14577359"/>
      <w:bookmarkStart w:id="104" w:name="_Toc513029221"/>
      <w:bookmarkStart w:id="105" w:name="_Toc61149559"/>
      <w:r>
        <w:rPr>
          <w:rFonts w:hint="eastAsia" w:ascii="宋体" w:hAnsi="宋体"/>
          <w:szCs w:val="21"/>
        </w:rPr>
        <w:t>5、磋商保证金</w:t>
      </w:r>
      <w:bookmarkEnd w:id="103"/>
      <w:bookmarkEnd w:id="104"/>
      <w:bookmarkEnd w:id="105"/>
      <w:r>
        <w:rPr>
          <w:rFonts w:hint="eastAsia" w:ascii="宋体" w:hAnsi="宋体"/>
          <w:szCs w:val="21"/>
        </w:rPr>
        <w:t>（本项目不收取磋商保证金）</w:t>
      </w:r>
    </w:p>
    <w:p w14:paraId="40361EC6">
      <w:pPr>
        <w:adjustRightInd w:val="0"/>
        <w:snapToGrid w:val="0"/>
        <w:spacing w:line="360" w:lineRule="exact"/>
        <w:ind w:firstLine="420" w:firstLineChars="200"/>
        <w:rPr>
          <w:rFonts w:ascii="宋体" w:hAnsi="宋体"/>
          <w:szCs w:val="21"/>
        </w:rPr>
      </w:pPr>
      <w:r>
        <w:rPr>
          <w:rFonts w:hint="eastAsia" w:ascii="宋体" w:hAnsi="宋体"/>
          <w:szCs w:val="21"/>
        </w:rPr>
        <w:t>5.1磋商保证金是为了保护采购人免遭因磋商供应商的行为而蒙受的损失，采购人因磋商供应商的行为受到损害时，</w:t>
      </w:r>
      <w:r>
        <w:rPr>
          <w:rFonts w:hint="eastAsia"/>
          <w:szCs w:val="21"/>
        </w:rPr>
        <w:t>采购人</w:t>
      </w:r>
      <w:r>
        <w:rPr>
          <w:rFonts w:hint="eastAsia" w:ascii="宋体" w:hAnsi="宋体"/>
          <w:szCs w:val="21"/>
        </w:rPr>
        <w:t>可根据相关规定处理。</w:t>
      </w:r>
    </w:p>
    <w:p w14:paraId="40D9369E">
      <w:pPr>
        <w:adjustRightInd w:val="0"/>
        <w:snapToGrid w:val="0"/>
        <w:spacing w:line="360" w:lineRule="exact"/>
        <w:ind w:firstLine="420" w:firstLineChars="200"/>
        <w:rPr>
          <w:rFonts w:ascii="宋体" w:hAnsi="宋体"/>
          <w:i/>
          <w:szCs w:val="21"/>
          <w:u w:val="single"/>
        </w:rPr>
      </w:pPr>
      <w:r>
        <w:rPr>
          <w:rFonts w:hint="eastAsia" w:ascii="宋体" w:hAnsi="宋体"/>
          <w:szCs w:val="21"/>
        </w:rPr>
        <w:t>5.2参加磋商采购所需交纳的保证金必须是人民币，磋商保证金的交纳形式见竞争性磋商采购邀请。</w:t>
      </w:r>
    </w:p>
    <w:p w14:paraId="25F9FCEA">
      <w:pPr>
        <w:adjustRightInd w:val="0"/>
        <w:snapToGrid w:val="0"/>
        <w:spacing w:line="360" w:lineRule="exact"/>
        <w:ind w:firstLine="420" w:firstLineChars="200"/>
        <w:rPr>
          <w:rFonts w:ascii="宋体" w:hAnsi="宋体"/>
          <w:szCs w:val="21"/>
        </w:rPr>
      </w:pPr>
      <w:r>
        <w:rPr>
          <w:rFonts w:hint="eastAsia" w:ascii="宋体" w:hAnsi="宋体"/>
          <w:szCs w:val="21"/>
        </w:rPr>
        <w:t>5.3在磋商时，对在磋商响应文件递交截止时间以前未按磋商文件要求提交磋商保证金的响应文件</w:t>
      </w:r>
      <w:r>
        <w:rPr>
          <w:rFonts w:hint="eastAsia" w:ascii="宋体" w:hAnsi="宋体"/>
          <w:bCs/>
          <w:szCs w:val="21"/>
        </w:rPr>
        <w:t>，采购人将视其为无效响应文件而予以拒绝</w:t>
      </w:r>
      <w:r>
        <w:rPr>
          <w:rFonts w:hint="eastAsia" w:ascii="宋体" w:hAnsi="宋体"/>
          <w:szCs w:val="21"/>
        </w:rPr>
        <w:t>。</w:t>
      </w:r>
    </w:p>
    <w:p w14:paraId="3979CBC9">
      <w:pPr>
        <w:adjustRightInd w:val="0"/>
        <w:snapToGrid w:val="0"/>
        <w:spacing w:line="360" w:lineRule="exact"/>
        <w:ind w:firstLine="420" w:firstLineChars="200"/>
        <w:rPr>
          <w:rFonts w:ascii="宋体" w:hAnsi="宋体"/>
          <w:szCs w:val="21"/>
        </w:rPr>
      </w:pPr>
      <w:r>
        <w:rPr>
          <w:rFonts w:hint="eastAsia" w:ascii="宋体" w:hAnsi="宋体"/>
          <w:szCs w:val="21"/>
        </w:rPr>
        <w:t>5.4未成交供应商的磋商保证金，</w:t>
      </w:r>
      <w:r>
        <w:rPr>
          <w:rFonts w:hint="eastAsia" w:ascii="宋体" w:hAnsi="宋体"/>
          <w:bCs/>
          <w:szCs w:val="21"/>
        </w:rPr>
        <w:t>将在成交通知书发出后5个工作日退还，不计利息</w:t>
      </w:r>
      <w:r>
        <w:rPr>
          <w:rFonts w:hint="eastAsia" w:ascii="宋体" w:hAnsi="宋体"/>
          <w:szCs w:val="21"/>
        </w:rPr>
        <w:t>。</w:t>
      </w:r>
    </w:p>
    <w:p w14:paraId="19ECC467">
      <w:pPr>
        <w:adjustRightInd w:val="0"/>
        <w:snapToGrid w:val="0"/>
        <w:spacing w:line="360" w:lineRule="exact"/>
        <w:ind w:firstLine="420" w:firstLineChars="200"/>
        <w:rPr>
          <w:rFonts w:ascii="宋体" w:hAnsi="宋体"/>
          <w:szCs w:val="21"/>
        </w:rPr>
      </w:pPr>
      <w:r>
        <w:rPr>
          <w:rFonts w:hint="eastAsia" w:ascii="宋体" w:hAnsi="宋体"/>
          <w:szCs w:val="21"/>
        </w:rPr>
        <w:t>5.5成交供应商的磋商保证金，将在采购合同签订之日起5个工作日内退还，不计利息。</w:t>
      </w:r>
    </w:p>
    <w:p w14:paraId="08B95500">
      <w:pPr>
        <w:adjustRightInd w:val="0"/>
        <w:snapToGrid w:val="0"/>
        <w:spacing w:line="360" w:lineRule="exact"/>
        <w:ind w:firstLine="420" w:firstLineChars="200"/>
        <w:rPr>
          <w:rFonts w:ascii="宋体" w:hAnsi="宋体"/>
          <w:szCs w:val="21"/>
        </w:rPr>
      </w:pPr>
      <w:r>
        <w:rPr>
          <w:rFonts w:hint="eastAsia" w:ascii="宋体" w:hAnsi="宋体"/>
          <w:szCs w:val="21"/>
        </w:rPr>
        <w:t>5.6下列任何情况发生时，磋商保证金不予退还：</w:t>
      </w:r>
    </w:p>
    <w:p w14:paraId="1DA57F2E">
      <w:pPr>
        <w:adjustRightInd w:val="0"/>
        <w:snapToGrid w:val="0"/>
        <w:spacing w:line="360" w:lineRule="exact"/>
        <w:ind w:firstLine="420" w:firstLineChars="200"/>
        <w:rPr>
          <w:rFonts w:ascii="宋体" w:hAnsi="宋体"/>
          <w:szCs w:val="21"/>
        </w:rPr>
      </w:pPr>
      <w:r>
        <w:rPr>
          <w:rFonts w:hint="eastAsia" w:ascii="宋体" w:hAnsi="宋体"/>
          <w:szCs w:val="21"/>
        </w:rPr>
        <w:t>（1）磋商供应商在磋商有效期内无正当理由撤回其磋商响应文件或者在磋商过程中无正当理由退出磋商活动；</w:t>
      </w:r>
    </w:p>
    <w:p w14:paraId="5D1511D7">
      <w:pPr>
        <w:adjustRightInd w:val="0"/>
        <w:snapToGrid w:val="0"/>
        <w:spacing w:line="360" w:lineRule="exact"/>
        <w:ind w:firstLine="306" w:firstLineChars="146"/>
        <w:rPr>
          <w:rFonts w:ascii="宋体" w:hAnsi="宋体"/>
          <w:szCs w:val="21"/>
        </w:rPr>
      </w:pPr>
      <w:bookmarkStart w:id="106" w:name="_Hlt26954850"/>
      <w:bookmarkEnd w:id="106"/>
      <w:bookmarkStart w:id="107" w:name="_Hlt26954854"/>
      <w:bookmarkEnd w:id="107"/>
      <w:bookmarkStart w:id="108" w:name="_Hlt26954749"/>
      <w:bookmarkEnd w:id="108"/>
      <w:bookmarkStart w:id="109" w:name="_Hlt26954739"/>
      <w:bookmarkEnd w:id="109"/>
      <w:bookmarkStart w:id="110" w:name="_Hlt26670489"/>
      <w:bookmarkEnd w:id="110"/>
      <w:bookmarkStart w:id="111" w:name="_Hlt26670493"/>
      <w:bookmarkEnd w:id="111"/>
      <w:bookmarkStart w:id="112" w:name="_Hlt26954734"/>
      <w:bookmarkEnd w:id="112"/>
      <w:bookmarkStart w:id="113" w:name="_Hlt26954852"/>
      <w:bookmarkEnd w:id="113"/>
      <w:bookmarkStart w:id="114" w:name="_Toc513029224"/>
      <w:bookmarkStart w:id="115" w:name="_Toc61149562"/>
      <w:bookmarkStart w:id="116" w:name="_Toc14577362"/>
      <w:r>
        <w:rPr>
          <w:rFonts w:hint="eastAsia" w:ascii="宋体" w:hAnsi="宋体"/>
          <w:szCs w:val="21"/>
        </w:rPr>
        <w:t>（2）提供虚假材料谋取成交的；</w:t>
      </w:r>
    </w:p>
    <w:p w14:paraId="4F46C994">
      <w:pPr>
        <w:adjustRightInd w:val="0"/>
        <w:snapToGrid w:val="0"/>
        <w:spacing w:line="360" w:lineRule="exact"/>
        <w:ind w:firstLine="306" w:firstLineChars="146"/>
        <w:rPr>
          <w:rFonts w:ascii="宋体" w:hAnsi="宋体"/>
          <w:szCs w:val="21"/>
        </w:rPr>
      </w:pPr>
      <w:r>
        <w:rPr>
          <w:rFonts w:hint="eastAsia" w:ascii="宋体" w:hAnsi="宋体"/>
          <w:szCs w:val="21"/>
        </w:rPr>
        <w:t>（3）采取不正当手段诋毁、排挤其他供应商的；</w:t>
      </w:r>
    </w:p>
    <w:p w14:paraId="610145D7">
      <w:pPr>
        <w:adjustRightInd w:val="0"/>
        <w:snapToGrid w:val="0"/>
        <w:spacing w:line="360" w:lineRule="exact"/>
        <w:ind w:firstLine="306" w:firstLineChars="146"/>
        <w:rPr>
          <w:rFonts w:ascii="宋体" w:hAnsi="宋体"/>
          <w:szCs w:val="21"/>
        </w:rPr>
      </w:pPr>
      <w:r>
        <w:rPr>
          <w:rFonts w:hint="eastAsia" w:ascii="宋体" w:hAnsi="宋体"/>
          <w:szCs w:val="21"/>
        </w:rPr>
        <w:t>（4）与采购人、其他供应商恶意串通的。</w:t>
      </w:r>
    </w:p>
    <w:p w14:paraId="383A9409">
      <w:pPr>
        <w:adjustRightInd w:val="0"/>
        <w:snapToGrid w:val="0"/>
        <w:spacing w:line="360" w:lineRule="exact"/>
        <w:ind w:firstLine="308" w:firstLineChars="146"/>
        <w:rPr>
          <w:b/>
          <w:szCs w:val="21"/>
        </w:rPr>
      </w:pPr>
      <w:r>
        <w:rPr>
          <w:rFonts w:hint="eastAsia"/>
          <w:b/>
          <w:szCs w:val="21"/>
        </w:rPr>
        <w:t>三 、磋商响应文件的递交</w:t>
      </w:r>
      <w:bookmarkEnd w:id="114"/>
      <w:bookmarkEnd w:id="115"/>
      <w:bookmarkEnd w:id="116"/>
    </w:p>
    <w:p w14:paraId="50463CF5">
      <w:pPr>
        <w:adjustRightInd w:val="0"/>
        <w:snapToGrid w:val="0"/>
        <w:spacing w:line="360" w:lineRule="exact"/>
        <w:ind w:firstLine="420" w:firstLineChars="200"/>
        <w:rPr>
          <w:rFonts w:ascii="宋体" w:hAnsi="宋体"/>
          <w:szCs w:val="21"/>
        </w:rPr>
      </w:pPr>
      <w:bookmarkStart w:id="117" w:name="_Hlt26954856"/>
      <w:bookmarkEnd w:id="117"/>
      <w:bookmarkStart w:id="118" w:name="_Toc14577363"/>
      <w:bookmarkStart w:id="119" w:name="_Toc462564084"/>
      <w:bookmarkStart w:id="120" w:name="_Toc61149563"/>
      <w:bookmarkStart w:id="121" w:name="_Toc513029225"/>
      <w:r>
        <w:rPr>
          <w:rFonts w:hint="eastAsia" w:ascii="宋体" w:hAnsi="宋体"/>
          <w:szCs w:val="21"/>
        </w:rPr>
        <w:t>1、响应文件</w:t>
      </w:r>
      <w:bookmarkStart w:id="122" w:name="_Hlt26954743"/>
      <w:bookmarkEnd w:id="122"/>
      <w:r>
        <w:rPr>
          <w:rFonts w:hint="eastAsia" w:ascii="宋体" w:hAnsi="宋体"/>
          <w:szCs w:val="21"/>
        </w:rPr>
        <w:t>的密封和标记</w:t>
      </w:r>
      <w:bookmarkEnd w:id="118"/>
      <w:bookmarkEnd w:id="119"/>
      <w:bookmarkEnd w:id="120"/>
      <w:bookmarkEnd w:id="121"/>
    </w:p>
    <w:p w14:paraId="6B167689">
      <w:pPr>
        <w:adjustRightInd w:val="0"/>
        <w:snapToGrid w:val="0"/>
        <w:spacing w:line="360" w:lineRule="exact"/>
        <w:ind w:firstLine="420" w:firstLineChars="200"/>
        <w:rPr>
          <w:rFonts w:ascii="宋体" w:hAnsi="宋体"/>
          <w:szCs w:val="21"/>
        </w:rPr>
      </w:pPr>
      <w:r>
        <w:rPr>
          <w:rFonts w:hint="eastAsia" w:ascii="宋体" w:hAnsi="宋体"/>
          <w:szCs w:val="21"/>
        </w:rPr>
        <w:t>1.1磋商供应商应严格按照采购邀请要求的份数准备响应文件，每份响应文件须清楚地标明“正本”或“副本”字样。一旦正本和副本不符，以正本为准。磋商供应商应将响应文件正本和所有副本密封。</w:t>
      </w:r>
    </w:p>
    <w:p w14:paraId="1D0B83A3">
      <w:pPr>
        <w:adjustRightInd w:val="0"/>
        <w:snapToGrid w:val="0"/>
        <w:spacing w:line="360" w:lineRule="exact"/>
        <w:ind w:firstLine="420" w:firstLineChars="200"/>
        <w:rPr>
          <w:rFonts w:ascii="宋体" w:hAnsi="宋体"/>
          <w:szCs w:val="21"/>
        </w:rPr>
      </w:pPr>
      <w:r>
        <w:rPr>
          <w:rFonts w:hint="eastAsia" w:ascii="宋体" w:hAnsi="宋体"/>
          <w:szCs w:val="21"/>
        </w:rPr>
        <w:t>1.2密封的响应文件应：</w:t>
      </w:r>
    </w:p>
    <w:p w14:paraId="726BF94F">
      <w:pPr>
        <w:adjustRightInd w:val="0"/>
        <w:snapToGrid w:val="0"/>
        <w:spacing w:line="360" w:lineRule="exact"/>
        <w:ind w:firstLine="420" w:firstLineChars="200"/>
        <w:rPr>
          <w:rFonts w:ascii="宋体" w:hAnsi="宋体"/>
          <w:szCs w:val="21"/>
        </w:rPr>
      </w:pPr>
      <w:r>
        <w:rPr>
          <w:rFonts w:hint="eastAsia" w:ascii="宋体" w:hAnsi="宋体"/>
          <w:szCs w:val="21"/>
        </w:rPr>
        <w:t>（1）按采购邀请中注明的地址送达规定地点；</w:t>
      </w:r>
    </w:p>
    <w:p w14:paraId="46032C69">
      <w:pPr>
        <w:adjustRightInd w:val="0"/>
        <w:snapToGrid w:val="0"/>
        <w:spacing w:line="360" w:lineRule="exact"/>
        <w:ind w:firstLine="420" w:firstLineChars="200"/>
        <w:rPr>
          <w:rFonts w:ascii="宋体" w:hAnsi="宋体"/>
          <w:szCs w:val="21"/>
        </w:rPr>
      </w:pPr>
      <w:r>
        <w:rPr>
          <w:rFonts w:hint="eastAsia" w:ascii="宋体" w:hAnsi="宋体"/>
          <w:szCs w:val="21"/>
        </w:rPr>
        <w:t>（2）注明参加磋商项目名称、磋商文件编号及参加的分包号（如有）；</w:t>
      </w:r>
    </w:p>
    <w:p w14:paraId="776D4002">
      <w:pPr>
        <w:adjustRightInd w:val="0"/>
        <w:snapToGrid w:val="0"/>
        <w:spacing w:line="360" w:lineRule="exact"/>
        <w:ind w:firstLine="420" w:firstLineChars="200"/>
        <w:rPr>
          <w:rFonts w:ascii="宋体" w:hAnsi="宋体"/>
          <w:szCs w:val="21"/>
        </w:rPr>
      </w:pPr>
      <w:r>
        <w:rPr>
          <w:rFonts w:hint="eastAsia" w:ascii="宋体" w:hAnsi="宋体"/>
          <w:szCs w:val="21"/>
        </w:rPr>
        <w:t>（3）密封包装上应写明磋商供应商名称和地址。</w:t>
      </w:r>
    </w:p>
    <w:p w14:paraId="0A71D38A">
      <w:pPr>
        <w:adjustRightInd w:val="0"/>
        <w:snapToGrid w:val="0"/>
        <w:spacing w:line="360" w:lineRule="exact"/>
        <w:ind w:firstLine="420" w:firstLineChars="200"/>
        <w:rPr>
          <w:rFonts w:ascii="宋体" w:hAnsi="宋体"/>
          <w:szCs w:val="21"/>
        </w:rPr>
      </w:pPr>
      <w:r>
        <w:rPr>
          <w:rFonts w:hint="eastAsia" w:ascii="宋体" w:hAnsi="宋体"/>
          <w:szCs w:val="21"/>
        </w:rPr>
        <w:t>1.3如果密封包装未按要求密封和加写标记，采购人对误投或过早启封概不负责。对由此造成提前开封的响应文件，采购人将予以拒绝，作无效响应处理。</w:t>
      </w:r>
    </w:p>
    <w:p w14:paraId="14A42944">
      <w:pPr>
        <w:adjustRightInd w:val="0"/>
        <w:snapToGrid w:val="0"/>
        <w:spacing w:line="360" w:lineRule="exact"/>
        <w:ind w:firstLine="420" w:firstLineChars="200"/>
        <w:rPr>
          <w:rFonts w:ascii="宋体" w:hAnsi="宋体"/>
          <w:szCs w:val="21"/>
        </w:rPr>
      </w:pPr>
      <w:r>
        <w:rPr>
          <w:rFonts w:hint="eastAsia" w:ascii="宋体" w:hAnsi="宋体"/>
          <w:szCs w:val="21"/>
        </w:rPr>
        <w:t>1.4</w:t>
      </w:r>
      <w:r>
        <w:rPr>
          <w:rFonts w:hint="eastAsia" w:ascii="宋体" w:hAnsi="宋体"/>
          <w:b/>
          <w:bCs/>
          <w:szCs w:val="21"/>
        </w:rPr>
        <w:t>投标单位必须准备“资格审查证明文件”一套、“商务技术标文件一套”及“价格标文件”一套，叁套资料分别单独密封，每套资料一式三份，其中正本一份，副本两份。投标文件应放入封袋内，并在封袋上加盖投标人单位公章和法定代表人印章。正本和副本若有差异，以正本为准。</w:t>
      </w:r>
    </w:p>
    <w:p w14:paraId="20538E83">
      <w:pPr>
        <w:adjustRightInd w:val="0"/>
        <w:snapToGrid w:val="0"/>
        <w:spacing w:line="360" w:lineRule="exact"/>
        <w:ind w:firstLine="420" w:firstLineChars="200"/>
        <w:rPr>
          <w:rFonts w:ascii="宋体" w:hAnsi="宋体"/>
          <w:szCs w:val="21"/>
        </w:rPr>
      </w:pPr>
      <w:r>
        <w:rPr>
          <w:rFonts w:hint="eastAsia" w:ascii="宋体" w:hAnsi="宋体"/>
          <w:szCs w:val="21"/>
        </w:rPr>
        <w:t>1.5投标文件正本须打印并加盖单位公章，副本可复印，但封面须加盖单位公章。</w:t>
      </w:r>
    </w:p>
    <w:p w14:paraId="6BE628E2">
      <w:pPr>
        <w:adjustRightInd w:val="0"/>
        <w:snapToGrid w:val="0"/>
        <w:spacing w:line="360" w:lineRule="exact"/>
        <w:ind w:firstLine="420" w:firstLineChars="200"/>
        <w:rPr>
          <w:rFonts w:ascii="宋体" w:hAnsi="宋体"/>
          <w:szCs w:val="21"/>
        </w:rPr>
      </w:pPr>
      <w:r>
        <w:rPr>
          <w:rFonts w:hint="eastAsia" w:ascii="宋体" w:hAnsi="宋体"/>
          <w:szCs w:val="21"/>
        </w:rPr>
        <w:t>1.6参加投标的投标人应将本项目投标文件密封。</w:t>
      </w:r>
    </w:p>
    <w:p w14:paraId="144BBC78">
      <w:pPr>
        <w:adjustRightInd w:val="0"/>
        <w:snapToGrid w:val="0"/>
        <w:spacing w:line="360" w:lineRule="exact"/>
        <w:ind w:firstLine="420" w:firstLineChars="200"/>
        <w:rPr>
          <w:rFonts w:ascii="宋体" w:hAnsi="宋体"/>
          <w:szCs w:val="21"/>
        </w:rPr>
      </w:pPr>
      <w:r>
        <w:rPr>
          <w:rFonts w:hint="eastAsia" w:ascii="宋体" w:hAnsi="宋体"/>
          <w:szCs w:val="21"/>
        </w:rPr>
        <w:t>1.7投标文件的正本与副本可分开密封，也可统一密封。</w:t>
      </w:r>
    </w:p>
    <w:p w14:paraId="6CDB47BE">
      <w:pPr>
        <w:adjustRightInd w:val="0"/>
        <w:snapToGrid w:val="0"/>
        <w:spacing w:line="360" w:lineRule="exact"/>
        <w:ind w:firstLine="420" w:firstLineChars="200"/>
        <w:rPr>
          <w:rFonts w:ascii="宋体" w:hAnsi="宋体"/>
          <w:szCs w:val="21"/>
        </w:rPr>
      </w:pPr>
      <w:r>
        <w:rPr>
          <w:rFonts w:hint="eastAsia" w:ascii="宋体" w:hAnsi="宋体"/>
          <w:szCs w:val="21"/>
        </w:rPr>
        <w:t>1.8投标文件的封袋标明“资格后审证明文件”、 “商务技术标文件”及“价格标”。投标文件应装订成册和密封，密封袋上应标明项目名称、投标人名称、招标人名称，并加盖单位公章及法定代表人印鉴或委托代理人签字。</w:t>
      </w:r>
    </w:p>
    <w:p w14:paraId="2A5CA166">
      <w:pPr>
        <w:adjustRightInd w:val="0"/>
        <w:snapToGrid w:val="0"/>
        <w:spacing w:line="360" w:lineRule="exact"/>
        <w:ind w:firstLine="420" w:firstLineChars="200"/>
        <w:rPr>
          <w:rFonts w:ascii="宋体" w:hAnsi="宋体"/>
          <w:szCs w:val="21"/>
        </w:rPr>
      </w:pPr>
      <w:r>
        <w:rPr>
          <w:rFonts w:hint="eastAsia" w:ascii="宋体" w:hAnsi="宋体"/>
          <w:szCs w:val="21"/>
        </w:rPr>
        <w:t>1.9采购人拒绝接收以邮寄方式送达的任何磋商响应文件。</w:t>
      </w:r>
    </w:p>
    <w:p w14:paraId="2ABCC3E1">
      <w:pPr>
        <w:adjustRightInd w:val="0"/>
        <w:snapToGrid w:val="0"/>
        <w:spacing w:line="360" w:lineRule="exact"/>
        <w:ind w:firstLine="422" w:firstLineChars="200"/>
        <w:contextualSpacing/>
        <w:rPr>
          <w:rFonts w:ascii="宋体" w:hAnsi="宋体"/>
          <w:szCs w:val="21"/>
        </w:rPr>
      </w:pPr>
      <w:r>
        <w:rPr>
          <w:rFonts w:hint="eastAsia" w:ascii="宋体" w:hAnsi="宋体" w:cs="宋体"/>
          <w:b/>
          <w:szCs w:val="21"/>
        </w:rPr>
        <w:t>友情提醒：采购人将拒绝接收未按照磋商文件要求密封的响应文件，拒绝接收在响应文件接收截止时间后递交的响应文件。如果供应商无故不到现场递交纸质磋商文件或者故意迟到，影响开评标活动正常进行的，根据《江苏省政府采购信用管理暂行办法》第九条的规定，将被列作一般失信行为。</w:t>
      </w:r>
    </w:p>
    <w:p w14:paraId="7D168D65">
      <w:pPr>
        <w:adjustRightInd w:val="0"/>
        <w:snapToGrid w:val="0"/>
        <w:spacing w:line="360" w:lineRule="exact"/>
        <w:ind w:firstLine="420" w:firstLineChars="200"/>
        <w:rPr>
          <w:rFonts w:ascii="宋体" w:hAnsi="宋体"/>
          <w:szCs w:val="21"/>
        </w:rPr>
      </w:pPr>
      <w:bookmarkStart w:id="123" w:name="_Hlt26954858"/>
      <w:bookmarkEnd w:id="123"/>
      <w:bookmarkStart w:id="124" w:name="_Hlt26670496"/>
      <w:bookmarkEnd w:id="124"/>
      <w:bookmarkStart w:id="125" w:name="_Hlt26954752"/>
      <w:bookmarkEnd w:id="125"/>
      <w:bookmarkStart w:id="126" w:name="_Toc513029226"/>
      <w:bookmarkStart w:id="127" w:name="_Toc14577364"/>
      <w:bookmarkStart w:id="128" w:name="_Toc61149564"/>
      <w:r>
        <w:rPr>
          <w:rFonts w:hint="eastAsia" w:ascii="宋体" w:hAnsi="宋体"/>
          <w:szCs w:val="21"/>
        </w:rPr>
        <w:t>2、</w:t>
      </w:r>
      <w:bookmarkEnd w:id="126"/>
      <w:bookmarkEnd w:id="127"/>
      <w:bookmarkEnd w:id="128"/>
      <w:r>
        <w:rPr>
          <w:rFonts w:hint="eastAsia" w:ascii="宋体" w:hAnsi="宋体"/>
          <w:szCs w:val="21"/>
        </w:rPr>
        <w:t>响应文件开启时间</w:t>
      </w:r>
    </w:p>
    <w:p w14:paraId="5547F302">
      <w:pPr>
        <w:adjustRightInd w:val="0"/>
        <w:snapToGrid w:val="0"/>
        <w:spacing w:line="360" w:lineRule="exact"/>
        <w:ind w:firstLine="420" w:firstLineChars="200"/>
        <w:rPr>
          <w:rFonts w:ascii="宋体" w:hAnsi="宋体"/>
          <w:szCs w:val="21"/>
        </w:rPr>
      </w:pPr>
      <w:r>
        <w:rPr>
          <w:rFonts w:hint="eastAsia" w:ascii="宋体" w:hAnsi="宋体"/>
          <w:szCs w:val="21"/>
        </w:rPr>
        <w:t>2.1采购人收到响应文件的时间不得迟于本磋商文件规定的响应文件接收截止时间。</w:t>
      </w:r>
    </w:p>
    <w:p w14:paraId="2BA31B91">
      <w:pPr>
        <w:adjustRightInd w:val="0"/>
        <w:snapToGrid w:val="0"/>
        <w:spacing w:line="360" w:lineRule="exact"/>
        <w:ind w:firstLine="420" w:firstLineChars="200"/>
        <w:rPr>
          <w:rFonts w:ascii="宋体" w:hAnsi="宋体"/>
          <w:szCs w:val="21"/>
        </w:rPr>
      </w:pPr>
      <w:r>
        <w:rPr>
          <w:rFonts w:hint="eastAsia" w:ascii="宋体" w:hAnsi="宋体"/>
          <w:szCs w:val="21"/>
        </w:rPr>
        <w:t>2.2采购人可通过修改磋商文件自行决定酌情推迟响应文件接收截止时间，在此情况下，磋商供应商的所有权利和义务以及受制的响应文件接收截止时间均应以延长后新的响应文件接收截止时间为准。</w:t>
      </w:r>
    </w:p>
    <w:p w14:paraId="5C4B602C">
      <w:pPr>
        <w:adjustRightInd w:val="0"/>
        <w:snapToGrid w:val="0"/>
        <w:spacing w:line="360" w:lineRule="exact"/>
        <w:ind w:firstLine="420" w:firstLineChars="200"/>
        <w:rPr>
          <w:rFonts w:ascii="宋体" w:hAnsi="宋体"/>
          <w:szCs w:val="21"/>
        </w:rPr>
      </w:pPr>
      <w:bookmarkStart w:id="129" w:name="_Hlt26954860"/>
      <w:bookmarkEnd w:id="129"/>
      <w:bookmarkStart w:id="130" w:name="_Toc14577365"/>
      <w:bookmarkStart w:id="131" w:name="_Toc61149565"/>
      <w:bookmarkStart w:id="132" w:name="_Toc513029227"/>
      <w:r>
        <w:rPr>
          <w:rFonts w:hint="eastAsia" w:ascii="宋体" w:hAnsi="宋体"/>
          <w:szCs w:val="21"/>
        </w:rPr>
        <w:t>3、迟交的磋商响应文件</w:t>
      </w:r>
      <w:bookmarkEnd w:id="130"/>
      <w:bookmarkEnd w:id="131"/>
      <w:bookmarkEnd w:id="132"/>
    </w:p>
    <w:p w14:paraId="0361508D">
      <w:pPr>
        <w:adjustRightInd w:val="0"/>
        <w:snapToGrid w:val="0"/>
        <w:spacing w:line="360" w:lineRule="exact"/>
        <w:ind w:firstLine="420" w:firstLineChars="200"/>
        <w:rPr>
          <w:rFonts w:ascii="宋体" w:hAnsi="宋体"/>
          <w:szCs w:val="21"/>
        </w:rPr>
      </w:pPr>
      <w:r>
        <w:rPr>
          <w:rFonts w:hint="eastAsia" w:ascii="宋体" w:hAnsi="宋体"/>
          <w:szCs w:val="21"/>
        </w:rPr>
        <w:t>3.1采购人将拒绝在其规定的响应文件接收截止时间后接收磋商响应文件。</w:t>
      </w:r>
    </w:p>
    <w:p w14:paraId="2C07E137">
      <w:pPr>
        <w:adjustRightInd w:val="0"/>
        <w:snapToGrid w:val="0"/>
        <w:spacing w:line="360" w:lineRule="exact"/>
        <w:ind w:firstLine="420" w:firstLineChars="200"/>
        <w:rPr>
          <w:rFonts w:ascii="宋体" w:hAnsi="宋体"/>
          <w:szCs w:val="21"/>
        </w:rPr>
      </w:pPr>
      <w:bookmarkStart w:id="133" w:name="_Hlt26954862"/>
      <w:bookmarkEnd w:id="133"/>
      <w:bookmarkStart w:id="134" w:name="_Hlt26954754"/>
      <w:bookmarkEnd w:id="134"/>
      <w:bookmarkStart w:id="135" w:name="_Toc61149566"/>
      <w:bookmarkStart w:id="136" w:name="_Toc14577366"/>
      <w:bookmarkStart w:id="137" w:name="_Toc513029228"/>
      <w:r>
        <w:rPr>
          <w:rFonts w:hint="eastAsia" w:ascii="宋体" w:hAnsi="宋体"/>
          <w:szCs w:val="21"/>
        </w:rPr>
        <w:t>4、磋商响应文件</w:t>
      </w:r>
      <w:bookmarkStart w:id="138" w:name="_Hlt26670588"/>
      <w:r>
        <w:rPr>
          <w:rFonts w:hint="eastAsia" w:ascii="宋体" w:hAnsi="宋体"/>
          <w:szCs w:val="21"/>
        </w:rPr>
        <w:t>的修改</w:t>
      </w:r>
      <w:bookmarkEnd w:id="138"/>
      <w:r>
        <w:rPr>
          <w:rFonts w:hint="eastAsia" w:ascii="宋体" w:hAnsi="宋体"/>
          <w:szCs w:val="21"/>
        </w:rPr>
        <w:t>和撤回</w:t>
      </w:r>
      <w:bookmarkEnd w:id="135"/>
      <w:bookmarkEnd w:id="136"/>
      <w:bookmarkEnd w:id="137"/>
    </w:p>
    <w:p w14:paraId="5212F744">
      <w:pPr>
        <w:adjustRightInd w:val="0"/>
        <w:snapToGrid w:val="0"/>
        <w:spacing w:line="360" w:lineRule="exact"/>
        <w:ind w:firstLine="420" w:firstLineChars="200"/>
        <w:rPr>
          <w:rFonts w:ascii="宋体" w:hAnsi="宋体"/>
          <w:szCs w:val="21"/>
        </w:rPr>
      </w:pPr>
      <w:r>
        <w:rPr>
          <w:rFonts w:hint="eastAsia" w:ascii="宋体" w:hAnsi="宋体"/>
          <w:szCs w:val="21"/>
        </w:rPr>
        <w:t>4.1磋商供应商在递交磋商响应文件后，可以修改或撤回其磋商响应文件，但这种修改和撤回，必须在规定的响应文件接收截止时间前，以书面形式送达指定地点。</w:t>
      </w:r>
    </w:p>
    <w:p w14:paraId="269D48E1">
      <w:pPr>
        <w:adjustRightInd w:val="0"/>
        <w:snapToGrid w:val="0"/>
        <w:spacing w:line="360" w:lineRule="exact"/>
        <w:ind w:firstLine="420" w:firstLineChars="200"/>
        <w:rPr>
          <w:rFonts w:ascii="宋体" w:hAnsi="宋体"/>
          <w:szCs w:val="21"/>
        </w:rPr>
      </w:pPr>
      <w:r>
        <w:rPr>
          <w:rFonts w:hint="eastAsia" w:ascii="宋体" w:hAnsi="宋体"/>
          <w:szCs w:val="21"/>
        </w:rPr>
        <w:t>4.2磋商供应商的修改或撤回通知书，应按本文件规定进行编制、密封、标记和发送，并应在封套上加注“修改”和“撤回”字样。</w:t>
      </w:r>
    </w:p>
    <w:p w14:paraId="5D494A30">
      <w:pPr>
        <w:adjustRightInd w:val="0"/>
        <w:snapToGrid w:val="0"/>
        <w:spacing w:line="360" w:lineRule="exact"/>
        <w:ind w:firstLine="420" w:firstLineChars="200"/>
        <w:rPr>
          <w:rFonts w:ascii="宋体" w:hAnsi="宋体"/>
          <w:szCs w:val="21"/>
        </w:rPr>
      </w:pPr>
      <w:r>
        <w:rPr>
          <w:rFonts w:hint="eastAsia" w:ascii="宋体" w:hAnsi="宋体"/>
          <w:szCs w:val="21"/>
        </w:rPr>
        <w:t>4.3磋商供应商在提交最后报价之前，可以根据磋商情况退出磋商，采购人退还退出磋商的供应商的磋商保证金。</w:t>
      </w:r>
    </w:p>
    <w:p w14:paraId="5F40699D">
      <w:pPr>
        <w:adjustRightInd w:val="0"/>
        <w:snapToGrid w:val="0"/>
        <w:spacing w:line="360" w:lineRule="exact"/>
        <w:ind w:firstLine="308" w:firstLineChars="146"/>
        <w:rPr>
          <w:b/>
          <w:szCs w:val="21"/>
        </w:rPr>
      </w:pPr>
      <w:bookmarkStart w:id="139" w:name="_Hlt26670523"/>
      <w:bookmarkEnd w:id="139"/>
      <w:bookmarkStart w:id="140" w:name="_Hlt26954864"/>
      <w:bookmarkEnd w:id="140"/>
      <w:r>
        <w:rPr>
          <w:rFonts w:hint="eastAsia"/>
          <w:b/>
          <w:szCs w:val="21"/>
        </w:rPr>
        <w:t>四、磋商与评审</w:t>
      </w:r>
    </w:p>
    <w:p w14:paraId="06AE9F1B">
      <w:pPr>
        <w:adjustRightInd w:val="0"/>
        <w:snapToGrid w:val="0"/>
        <w:spacing w:line="360" w:lineRule="exact"/>
        <w:ind w:firstLine="420" w:firstLineChars="200"/>
        <w:rPr>
          <w:szCs w:val="21"/>
        </w:rPr>
      </w:pPr>
      <w:bookmarkStart w:id="141" w:name="_Toc513029230"/>
      <w:bookmarkStart w:id="142" w:name="_Toc16938546"/>
      <w:bookmarkStart w:id="143" w:name="_Toc20823302"/>
      <w:r>
        <w:rPr>
          <w:rFonts w:hint="eastAsia"/>
          <w:szCs w:val="21"/>
        </w:rPr>
        <w:t>1、</w:t>
      </w:r>
      <w:bookmarkEnd w:id="141"/>
      <w:bookmarkEnd w:id="142"/>
      <w:bookmarkEnd w:id="143"/>
      <w:r>
        <w:rPr>
          <w:rFonts w:hint="eastAsia"/>
          <w:szCs w:val="21"/>
        </w:rPr>
        <w:t>磋商仪式</w:t>
      </w:r>
    </w:p>
    <w:p w14:paraId="07A5BA06">
      <w:pPr>
        <w:adjustRightInd w:val="0"/>
        <w:snapToGrid w:val="0"/>
        <w:spacing w:line="360" w:lineRule="exact"/>
        <w:ind w:firstLine="420" w:firstLineChars="200"/>
        <w:rPr>
          <w:szCs w:val="21"/>
        </w:rPr>
      </w:pPr>
      <w:r>
        <w:rPr>
          <w:rFonts w:hint="eastAsia"/>
          <w:szCs w:val="21"/>
        </w:rPr>
        <w:t>1.1采购人将在采购公告中规定的时间和地点组织磋商开始仪式，仪式由采购人主持，供应商应委派携带有效证件的代表准时参加，参加仪式的代表需签名以证明其出席。</w:t>
      </w:r>
    </w:p>
    <w:p w14:paraId="4DBC9008">
      <w:pPr>
        <w:adjustRightInd w:val="0"/>
        <w:snapToGrid w:val="0"/>
        <w:spacing w:line="360" w:lineRule="exact"/>
        <w:ind w:firstLine="420" w:firstLineChars="200"/>
        <w:rPr>
          <w:szCs w:val="21"/>
        </w:rPr>
      </w:pPr>
      <w:bookmarkStart w:id="144" w:name="_Toc20823303"/>
      <w:bookmarkStart w:id="145" w:name="_Toc16938547"/>
      <w:bookmarkStart w:id="146" w:name="_Toc513029231"/>
      <w:r>
        <w:rPr>
          <w:rFonts w:hint="eastAsia"/>
          <w:szCs w:val="21"/>
        </w:rPr>
        <w:t>2、磋商小组</w:t>
      </w:r>
    </w:p>
    <w:p w14:paraId="65E90649">
      <w:pPr>
        <w:adjustRightInd w:val="0"/>
        <w:snapToGrid w:val="0"/>
        <w:spacing w:line="360" w:lineRule="exact"/>
        <w:ind w:firstLine="420" w:firstLineChars="200"/>
        <w:rPr>
          <w:szCs w:val="21"/>
        </w:rPr>
      </w:pPr>
      <w:r>
        <w:rPr>
          <w:rFonts w:hint="eastAsia"/>
          <w:szCs w:val="21"/>
        </w:rPr>
        <w:t>2.1 磋商开始仪式结束后，采购人将立即组织磋商小组进行评审、磋商。</w:t>
      </w:r>
    </w:p>
    <w:p w14:paraId="6CC55D6A">
      <w:pPr>
        <w:adjustRightInd w:val="0"/>
        <w:snapToGrid w:val="0"/>
        <w:spacing w:line="360" w:lineRule="exact"/>
        <w:ind w:firstLine="420" w:firstLineChars="200"/>
        <w:rPr>
          <w:szCs w:val="21"/>
        </w:rPr>
      </w:pPr>
      <w:r>
        <w:rPr>
          <w:rFonts w:hint="eastAsia"/>
          <w:szCs w:val="21"/>
        </w:rPr>
        <w:t>2.2 磋商小组由政府采购评审专家、采购人代表组成，且人员构成符合政府采购有关规定。</w:t>
      </w:r>
    </w:p>
    <w:p w14:paraId="72592BA2">
      <w:pPr>
        <w:adjustRightInd w:val="0"/>
        <w:snapToGrid w:val="0"/>
        <w:spacing w:line="360" w:lineRule="exact"/>
        <w:ind w:firstLine="420" w:firstLineChars="200"/>
        <w:rPr>
          <w:szCs w:val="21"/>
        </w:rPr>
      </w:pPr>
      <w:r>
        <w:rPr>
          <w:rFonts w:hint="eastAsia"/>
          <w:szCs w:val="21"/>
        </w:rPr>
        <w:t>2.3磋商小组应以科学、公正的态度参加评审、磋商工作并推荐成交候选人。评审专家在评审过程中不受任何干扰，独立、负责地提出评审意见，并对自己的评审意见承担责任。</w:t>
      </w:r>
    </w:p>
    <w:p w14:paraId="517CB150">
      <w:pPr>
        <w:adjustRightInd w:val="0"/>
        <w:snapToGrid w:val="0"/>
        <w:spacing w:line="360" w:lineRule="exact"/>
        <w:ind w:firstLine="315" w:firstLineChars="150"/>
        <w:rPr>
          <w:szCs w:val="21"/>
        </w:rPr>
      </w:pPr>
      <w:r>
        <w:rPr>
          <w:rFonts w:hint="eastAsia"/>
          <w:szCs w:val="21"/>
        </w:rPr>
        <w:t xml:space="preserve"> 2.4磋商小组将对供应商的商业、技术秘密予以保密。</w:t>
      </w:r>
    </w:p>
    <w:p w14:paraId="41C445CD">
      <w:pPr>
        <w:adjustRightInd w:val="0"/>
        <w:snapToGrid w:val="0"/>
        <w:spacing w:line="360" w:lineRule="exact"/>
        <w:ind w:firstLine="420" w:firstLineChars="200"/>
        <w:rPr>
          <w:szCs w:val="21"/>
        </w:rPr>
      </w:pPr>
      <w:r>
        <w:rPr>
          <w:rFonts w:hint="eastAsia"/>
          <w:szCs w:val="21"/>
        </w:rPr>
        <w:t>3、评审过程的保密</w:t>
      </w:r>
      <w:bookmarkEnd w:id="144"/>
      <w:bookmarkEnd w:id="145"/>
      <w:bookmarkEnd w:id="146"/>
      <w:r>
        <w:rPr>
          <w:rFonts w:hint="eastAsia"/>
          <w:szCs w:val="21"/>
        </w:rPr>
        <w:t>与公正</w:t>
      </w:r>
    </w:p>
    <w:p w14:paraId="325E2184">
      <w:pPr>
        <w:adjustRightInd w:val="0"/>
        <w:snapToGrid w:val="0"/>
        <w:spacing w:line="360" w:lineRule="exact"/>
        <w:ind w:firstLine="420" w:firstLineChars="200"/>
        <w:rPr>
          <w:szCs w:val="21"/>
        </w:rPr>
      </w:pPr>
      <w:r>
        <w:rPr>
          <w:rFonts w:hint="eastAsia"/>
          <w:szCs w:val="21"/>
        </w:rPr>
        <w:t>3.1磋商开始仪式结束后，直至向成交的供应商授予合同时止，凡是与审查、澄清、评价和比较磋商响应文件的有关资料以及推荐建议等，均不得向供应商或与评审无关的其他人员透露。</w:t>
      </w:r>
    </w:p>
    <w:p w14:paraId="67E35686">
      <w:pPr>
        <w:adjustRightInd w:val="0"/>
        <w:snapToGrid w:val="0"/>
        <w:spacing w:line="360" w:lineRule="exact"/>
        <w:ind w:firstLine="420" w:firstLineChars="200"/>
        <w:rPr>
          <w:szCs w:val="21"/>
        </w:rPr>
      </w:pPr>
      <w:r>
        <w:rPr>
          <w:rFonts w:hint="eastAsia"/>
          <w:szCs w:val="21"/>
        </w:rPr>
        <w:t>3.2在评审过程中，如果供应商试图向采购人和参与评审的人员施加任何影响，都将会导致其磋商响应文件被拒绝。</w:t>
      </w:r>
    </w:p>
    <w:p w14:paraId="5691DF3A">
      <w:pPr>
        <w:adjustRightInd w:val="0"/>
        <w:snapToGrid w:val="0"/>
        <w:spacing w:line="360" w:lineRule="exact"/>
        <w:ind w:firstLine="420" w:firstLineChars="200"/>
        <w:rPr>
          <w:szCs w:val="21"/>
        </w:rPr>
      </w:pPr>
      <w:bookmarkStart w:id="147" w:name="_Toc20823304"/>
      <w:bookmarkStart w:id="148" w:name="_Toc513029232"/>
      <w:bookmarkStart w:id="149" w:name="_Toc16938548"/>
      <w:r>
        <w:rPr>
          <w:rFonts w:hint="eastAsia"/>
          <w:szCs w:val="21"/>
        </w:rPr>
        <w:t>4、评审过程的澄清</w:t>
      </w:r>
      <w:bookmarkEnd w:id="147"/>
      <w:bookmarkEnd w:id="148"/>
      <w:bookmarkEnd w:id="149"/>
      <w:r>
        <w:rPr>
          <w:rFonts w:hint="eastAsia"/>
          <w:szCs w:val="21"/>
        </w:rPr>
        <w:t>、说明和更正</w:t>
      </w:r>
    </w:p>
    <w:p w14:paraId="5C929F64">
      <w:pPr>
        <w:tabs>
          <w:tab w:val="left" w:pos="900"/>
        </w:tabs>
        <w:adjustRightInd w:val="0"/>
        <w:snapToGrid w:val="0"/>
        <w:spacing w:line="360" w:lineRule="exact"/>
        <w:ind w:firstLine="417" w:firstLineChars="199"/>
        <w:rPr>
          <w:rFonts w:ascii="宋体" w:hAnsi="宋体"/>
          <w:szCs w:val="21"/>
        </w:rPr>
      </w:pPr>
      <w:bookmarkStart w:id="150" w:name="_Toc16938549"/>
      <w:bookmarkStart w:id="151" w:name="_Toc513029233"/>
      <w:bookmarkStart w:id="152" w:name="_Toc20823305"/>
      <w:r>
        <w:rPr>
          <w:rFonts w:hint="eastAsia" w:ascii="宋体" w:hAnsi="宋体"/>
          <w:szCs w:val="21"/>
        </w:rPr>
        <w:t>4.</w:t>
      </w:r>
      <w:r>
        <w:rPr>
          <w:rFonts w:ascii="宋体" w:hAnsi="宋体"/>
          <w:szCs w:val="21"/>
        </w:rPr>
        <w:t>1</w:t>
      </w: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5DB100">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71F68A22">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4.3 接到磋商小组澄清要求的供应商如未按规定做出澄清，其风险由供应商自行承担。</w:t>
      </w:r>
    </w:p>
    <w:p w14:paraId="2C428004">
      <w:pPr>
        <w:adjustRightInd w:val="0"/>
        <w:snapToGrid w:val="0"/>
        <w:spacing w:line="360" w:lineRule="exact"/>
        <w:ind w:firstLine="420" w:firstLineChars="200"/>
        <w:rPr>
          <w:szCs w:val="21"/>
        </w:rPr>
      </w:pPr>
      <w:r>
        <w:rPr>
          <w:rFonts w:hint="eastAsia"/>
          <w:szCs w:val="21"/>
        </w:rPr>
        <w:t>5、对响应文件的初审</w:t>
      </w:r>
      <w:bookmarkEnd w:id="150"/>
      <w:bookmarkEnd w:id="151"/>
      <w:bookmarkEnd w:id="152"/>
    </w:p>
    <w:p w14:paraId="191BCC38">
      <w:pPr>
        <w:adjustRightInd w:val="0"/>
        <w:snapToGrid w:val="0"/>
        <w:spacing w:line="360" w:lineRule="exact"/>
        <w:ind w:firstLine="420" w:firstLineChars="200"/>
        <w:rPr>
          <w:szCs w:val="21"/>
        </w:rPr>
      </w:pPr>
      <w:r>
        <w:rPr>
          <w:rFonts w:hint="eastAsia"/>
          <w:szCs w:val="21"/>
        </w:rPr>
        <w:t>5.1响应文件初审分为资格性检查和符合性检查。</w:t>
      </w:r>
    </w:p>
    <w:p w14:paraId="3F675386">
      <w:pPr>
        <w:adjustRightInd w:val="0"/>
        <w:snapToGrid w:val="0"/>
        <w:spacing w:line="360" w:lineRule="exact"/>
        <w:ind w:firstLine="420" w:firstLineChars="200"/>
        <w:rPr>
          <w:szCs w:val="21"/>
        </w:rPr>
      </w:pPr>
      <w:r>
        <w:rPr>
          <w:rFonts w:hint="eastAsia"/>
          <w:szCs w:val="21"/>
        </w:rPr>
        <w:t>资格性检查：依据法律法规和采购文件的规定，对响应文件中的资格证明文件、磋商保证金等进行审查，以确定供应商是否具备参加磋商的资格。</w:t>
      </w:r>
    </w:p>
    <w:p w14:paraId="61838700">
      <w:pPr>
        <w:adjustRightInd w:val="0"/>
        <w:snapToGrid w:val="0"/>
        <w:spacing w:line="360" w:lineRule="exact"/>
        <w:ind w:firstLine="420" w:firstLineChars="200"/>
        <w:rPr>
          <w:szCs w:val="21"/>
        </w:rPr>
      </w:pPr>
      <w:r>
        <w:rPr>
          <w:rFonts w:hint="eastAsia"/>
          <w:szCs w:val="21"/>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14:paraId="2AB08890">
      <w:pPr>
        <w:adjustRightInd w:val="0"/>
        <w:snapToGrid w:val="0"/>
        <w:spacing w:line="360" w:lineRule="exact"/>
        <w:ind w:firstLine="420" w:firstLineChars="200"/>
        <w:rPr>
          <w:szCs w:val="21"/>
        </w:rPr>
      </w:pPr>
      <w:r>
        <w:rPr>
          <w:rFonts w:hint="eastAsia"/>
          <w:szCs w:val="21"/>
        </w:rPr>
        <w:t>接受联合体的项目，两个以上的自然人、法人或者其他组织组成一个联合体，以一个供应商的身份共同参加政府采购活动的，联合体成员存在不良信用记录的，视同联合体存在不良应用记录。</w:t>
      </w:r>
    </w:p>
    <w:p w14:paraId="072CCAB4">
      <w:pPr>
        <w:adjustRightInd w:val="0"/>
        <w:snapToGrid w:val="0"/>
        <w:spacing w:line="360" w:lineRule="exact"/>
        <w:ind w:firstLine="420" w:firstLineChars="200"/>
        <w:rPr>
          <w:szCs w:val="21"/>
        </w:rPr>
      </w:pPr>
      <w:r>
        <w:rPr>
          <w:rFonts w:hint="eastAsia"/>
          <w:szCs w:val="21"/>
        </w:rPr>
        <w:t>符合性检查：依据采购文件的规定，从响应文件的有效性、完整性和对采购文件的响应程度进行审查，以确定是否对采购文件的实质性要求作出响应。</w:t>
      </w:r>
    </w:p>
    <w:p w14:paraId="756C6E82">
      <w:pPr>
        <w:adjustRightInd w:val="0"/>
        <w:snapToGrid w:val="0"/>
        <w:spacing w:line="360" w:lineRule="exact"/>
        <w:ind w:firstLine="420" w:firstLineChars="200"/>
        <w:rPr>
          <w:szCs w:val="21"/>
        </w:rPr>
      </w:pPr>
      <w:r>
        <w:rPr>
          <w:rFonts w:hint="eastAsia"/>
          <w:szCs w:val="21"/>
        </w:rPr>
        <w:t>5.2在正式磋商之前，磋商小组将首先审查每份磋商响应文件是否实质性响应了采购文件的要求。实质性响应的磋商响应文件应该是与采购文件要求的全部条款、条件和规格相符，没有重大负偏离或保留。</w:t>
      </w:r>
    </w:p>
    <w:p w14:paraId="48FFB07D">
      <w:pPr>
        <w:adjustRightInd w:val="0"/>
        <w:snapToGrid w:val="0"/>
        <w:spacing w:line="360" w:lineRule="exact"/>
        <w:ind w:firstLine="420" w:firstLineChars="200"/>
        <w:rPr>
          <w:szCs w:val="21"/>
        </w:rPr>
      </w:pPr>
      <w:r>
        <w:rPr>
          <w:rFonts w:hint="eastAsia"/>
          <w:szCs w:val="21"/>
        </w:rPr>
        <w:t>所谓重大负偏离或保留是指与采购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磋商响应文件本身的内容，而不寻求外部的证据。</w:t>
      </w:r>
    </w:p>
    <w:p w14:paraId="36A97E5D">
      <w:pPr>
        <w:adjustRightInd w:val="0"/>
        <w:snapToGrid w:val="0"/>
        <w:spacing w:line="360" w:lineRule="exact"/>
        <w:ind w:firstLine="420" w:firstLineChars="200"/>
        <w:rPr>
          <w:szCs w:val="21"/>
        </w:rPr>
      </w:pPr>
      <w:r>
        <w:rPr>
          <w:rFonts w:hint="eastAsia"/>
          <w:szCs w:val="21"/>
        </w:rPr>
        <w:t>5.3被认定为未实质性响应磋商文件的响应文件的情形</w:t>
      </w:r>
    </w:p>
    <w:p w14:paraId="57A599DF">
      <w:pPr>
        <w:adjustRightInd w:val="0"/>
        <w:snapToGrid w:val="0"/>
        <w:spacing w:line="360" w:lineRule="exact"/>
        <w:ind w:firstLine="420" w:firstLineChars="200"/>
        <w:rPr>
          <w:szCs w:val="21"/>
        </w:rPr>
      </w:pPr>
      <w:r>
        <w:rPr>
          <w:rFonts w:hint="eastAsia"/>
          <w:szCs w:val="21"/>
        </w:rPr>
        <w:t>（1） 未按要求交纳磋商保证金的；</w:t>
      </w:r>
    </w:p>
    <w:p w14:paraId="546E881D">
      <w:pPr>
        <w:adjustRightInd w:val="0"/>
        <w:snapToGrid w:val="0"/>
        <w:spacing w:line="360" w:lineRule="exact"/>
        <w:ind w:firstLine="420" w:firstLineChars="200"/>
        <w:rPr>
          <w:szCs w:val="21"/>
        </w:rPr>
      </w:pPr>
      <w:r>
        <w:rPr>
          <w:rFonts w:hint="eastAsia"/>
          <w:szCs w:val="21"/>
        </w:rPr>
        <w:t>（2） 未按照采购文件规定要求密封、签署、盖章的；</w:t>
      </w:r>
    </w:p>
    <w:p w14:paraId="18BC2EA3">
      <w:pPr>
        <w:adjustRightInd w:val="0"/>
        <w:snapToGrid w:val="0"/>
        <w:spacing w:line="360" w:lineRule="exact"/>
        <w:ind w:firstLine="420" w:firstLineChars="200"/>
        <w:rPr>
          <w:szCs w:val="21"/>
        </w:rPr>
      </w:pPr>
      <w:r>
        <w:rPr>
          <w:rFonts w:hint="eastAsia"/>
          <w:szCs w:val="21"/>
        </w:rPr>
        <w:t>（3） 供应商在报价时采用选择性报价；</w:t>
      </w:r>
    </w:p>
    <w:p w14:paraId="5E281B48">
      <w:pPr>
        <w:adjustRightInd w:val="0"/>
        <w:snapToGrid w:val="0"/>
        <w:spacing w:line="360" w:lineRule="exact"/>
        <w:ind w:firstLine="420" w:firstLineChars="200"/>
        <w:rPr>
          <w:szCs w:val="21"/>
        </w:rPr>
      </w:pPr>
      <w:r>
        <w:rPr>
          <w:rFonts w:hint="eastAsia"/>
          <w:szCs w:val="21"/>
        </w:rPr>
        <w:t>（4） 供应商不符合采购文件中规定的合格磋商供应商资格要求的；</w:t>
      </w:r>
    </w:p>
    <w:p w14:paraId="3DF0B154">
      <w:pPr>
        <w:adjustRightInd w:val="0"/>
        <w:snapToGrid w:val="0"/>
        <w:spacing w:line="360" w:lineRule="exact"/>
        <w:ind w:firstLine="420" w:firstLineChars="200"/>
        <w:rPr>
          <w:szCs w:val="21"/>
        </w:rPr>
      </w:pPr>
      <w:r>
        <w:rPr>
          <w:rFonts w:hint="eastAsia"/>
          <w:szCs w:val="21"/>
        </w:rPr>
        <w:t>（5） 不符合法律、法规和采购文件中规定的其他实质性要求的；</w:t>
      </w:r>
    </w:p>
    <w:p w14:paraId="07A46CB5">
      <w:pPr>
        <w:adjustRightInd w:val="0"/>
        <w:snapToGrid w:val="0"/>
        <w:spacing w:line="360" w:lineRule="exact"/>
        <w:ind w:firstLine="420" w:firstLineChars="200"/>
        <w:rPr>
          <w:szCs w:val="21"/>
        </w:rPr>
      </w:pPr>
      <w:r>
        <w:rPr>
          <w:rFonts w:hint="eastAsia"/>
          <w:szCs w:val="21"/>
        </w:rPr>
        <w:t>（6） 其他法律、法规及本采购文件规定的属未实质性响应的响应文件的情形。</w:t>
      </w:r>
    </w:p>
    <w:p w14:paraId="46FE66AE">
      <w:pPr>
        <w:adjustRightInd w:val="0"/>
        <w:snapToGrid w:val="0"/>
        <w:spacing w:line="360" w:lineRule="exact"/>
        <w:ind w:firstLine="420" w:firstLineChars="200"/>
        <w:rPr>
          <w:szCs w:val="21"/>
        </w:rPr>
      </w:pPr>
      <w:r>
        <w:rPr>
          <w:rFonts w:hint="eastAsia"/>
          <w:szCs w:val="21"/>
        </w:rPr>
        <w:t>（7）供应商被 “信用中国”网站（www.creditchina.gov.cn）列入失信被执行人或重大税收违法案件当事人名单或政府采购严重失信行为记录名单；</w:t>
      </w:r>
    </w:p>
    <w:p w14:paraId="3D086637">
      <w:pPr>
        <w:adjustRightInd w:val="0"/>
        <w:snapToGrid w:val="0"/>
        <w:spacing w:line="360" w:lineRule="exact"/>
        <w:ind w:firstLine="420" w:firstLineChars="200"/>
        <w:rPr>
          <w:szCs w:val="21"/>
        </w:rPr>
      </w:pPr>
      <w:r>
        <w:rPr>
          <w:rFonts w:hint="eastAsia"/>
          <w:szCs w:val="21"/>
        </w:rPr>
        <w:t>（8）本项目采购产品被财政部、国家发改委、生态环境部等列入“节能产品目录清单”、“环境标志产品目录清单”强制采购范围，而供应商所响应的产品不在强制采购范围内的。</w:t>
      </w:r>
    </w:p>
    <w:p w14:paraId="7A0A3A6F">
      <w:pPr>
        <w:adjustRightInd w:val="0"/>
        <w:snapToGrid w:val="0"/>
        <w:spacing w:line="360" w:lineRule="exact"/>
        <w:ind w:firstLine="420" w:firstLineChars="200"/>
        <w:rPr>
          <w:szCs w:val="21"/>
        </w:rPr>
      </w:pPr>
      <w:r>
        <w:rPr>
          <w:rFonts w:hint="eastAsia"/>
          <w:szCs w:val="21"/>
        </w:rPr>
        <w:t>5.4未实质性响应磋商文件的响应文件按无效响应处理，磋商小组将予以拒绝，供应商不得通过修改或撤销不合要求的偏离或保留而使其磋商响应文件成为实质性响应的文件。</w:t>
      </w:r>
    </w:p>
    <w:p w14:paraId="420AC3FB">
      <w:pPr>
        <w:adjustRightInd w:val="0"/>
        <w:snapToGrid w:val="0"/>
        <w:spacing w:line="360" w:lineRule="exact"/>
        <w:ind w:firstLine="420" w:firstLineChars="200"/>
        <w:rPr>
          <w:rFonts w:ascii="宋体" w:hAnsi="宋体"/>
          <w:szCs w:val="21"/>
        </w:rPr>
      </w:pPr>
      <w:r>
        <w:rPr>
          <w:rFonts w:hint="eastAsia"/>
          <w:szCs w:val="21"/>
        </w:rPr>
        <w:t>5.5同一项目（项目未分包）或同一分包（项目有不同分包），如出现</w:t>
      </w:r>
      <w:r>
        <w:rPr>
          <w:szCs w:val="21"/>
        </w:rPr>
        <w:t>同一品牌同一型号</w:t>
      </w:r>
      <w:r>
        <w:rPr>
          <w:rFonts w:hint="eastAsia"/>
          <w:szCs w:val="21"/>
        </w:rPr>
        <w:t>的</w:t>
      </w:r>
      <w:r>
        <w:rPr>
          <w:szCs w:val="21"/>
        </w:rPr>
        <w:t>产品</w:t>
      </w:r>
      <w:r>
        <w:rPr>
          <w:rFonts w:hint="eastAsia"/>
          <w:szCs w:val="21"/>
        </w:rPr>
        <w:t>有多个供应商参加磋商时，磋商中在其他条件合格的前提下，选取报价最低的供应商参加磋</w:t>
      </w:r>
      <w:r>
        <w:rPr>
          <w:rFonts w:hint="eastAsia" w:ascii="宋体" w:hAnsi="宋体"/>
          <w:szCs w:val="21"/>
        </w:rPr>
        <w:t>商报价，其他供应商作为无效磋商响应处理。</w:t>
      </w:r>
    </w:p>
    <w:p w14:paraId="3C55E59A">
      <w:pPr>
        <w:adjustRightInd w:val="0"/>
        <w:snapToGrid w:val="0"/>
        <w:spacing w:line="360" w:lineRule="exact"/>
        <w:ind w:firstLine="420" w:firstLineChars="200"/>
        <w:rPr>
          <w:rFonts w:ascii="宋体" w:hAnsi="宋体"/>
          <w:szCs w:val="21"/>
        </w:rPr>
      </w:pPr>
      <w:bookmarkStart w:id="153" w:name="_Toc16938550"/>
      <w:bookmarkStart w:id="154" w:name="_Toc513029234"/>
      <w:bookmarkStart w:id="155" w:name="_Toc20823306"/>
      <w:r>
        <w:rPr>
          <w:rFonts w:hint="eastAsia" w:ascii="宋体" w:hAnsi="宋体"/>
          <w:szCs w:val="21"/>
        </w:rPr>
        <w:t>6、</w:t>
      </w:r>
      <w:bookmarkEnd w:id="153"/>
      <w:bookmarkEnd w:id="154"/>
      <w:bookmarkEnd w:id="155"/>
      <w:r>
        <w:rPr>
          <w:rFonts w:hint="eastAsia" w:ascii="宋体" w:hAnsi="宋体"/>
          <w:szCs w:val="21"/>
        </w:rPr>
        <w:t>磋商程序及评审方法和标准</w:t>
      </w:r>
    </w:p>
    <w:p w14:paraId="5E7347A1">
      <w:pPr>
        <w:adjustRightInd w:val="0"/>
        <w:snapToGrid w:val="0"/>
        <w:spacing w:line="360" w:lineRule="exact"/>
        <w:ind w:firstLine="420" w:firstLineChars="200"/>
        <w:rPr>
          <w:rFonts w:ascii="宋体" w:hAnsi="宋体"/>
          <w:szCs w:val="21"/>
        </w:rPr>
      </w:pPr>
      <w:bookmarkStart w:id="156" w:name="_Toc16938551"/>
      <w:bookmarkStart w:id="157" w:name="_Toc20823307"/>
      <w:bookmarkStart w:id="158" w:name="_Toc513029235"/>
      <w:r>
        <w:rPr>
          <w:rFonts w:hint="eastAsia" w:ascii="宋体" w:hAnsi="宋体"/>
          <w:szCs w:val="21"/>
        </w:rPr>
        <w:t>6.1磋商程序</w:t>
      </w:r>
    </w:p>
    <w:p w14:paraId="0E30DB55">
      <w:pPr>
        <w:adjustRightInd w:val="0"/>
        <w:snapToGrid w:val="0"/>
        <w:spacing w:line="360" w:lineRule="exact"/>
        <w:ind w:firstLine="420" w:firstLineChars="200"/>
        <w:rPr>
          <w:rFonts w:ascii="宋体" w:hAnsi="宋体"/>
          <w:szCs w:val="21"/>
        </w:rPr>
      </w:pPr>
      <w:r>
        <w:rPr>
          <w:rFonts w:hint="eastAsia" w:ascii="宋体" w:hAnsi="宋体"/>
          <w:szCs w:val="21"/>
        </w:rPr>
        <w:t>6.1.1 对于通过资格性和符合性审查的供应商，磋商小组所有成员将集中与单一供应商分别进行磋商。</w:t>
      </w:r>
    </w:p>
    <w:p w14:paraId="54D1FD3F">
      <w:pPr>
        <w:adjustRightInd w:val="0"/>
        <w:snapToGrid w:val="0"/>
        <w:spacing w:line="360" w:lineRule="exact"/>
        <w:ind w:firstLine="420" w:firstLineChars="200"/>
        <w:rPr>
          <w:rFonts w:ascii="宋体" w:hAnsi="宋体"/>
          <w:szCs w:val="21"/>
        </w:rPr>
      </w:pPr>
      <w:r>
        <w:rPr>
          <w:rFonts w:hint="eastAsia" w:ascii="宋体" w:hAnsi="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6F2292A0">
      <w:pPr>
        <w:adjustRightInd w:val="0"/>
        <w:snapToGrid w:val="0"/>
        <w:spacing w:line="360" w:lineRule="exact"/>
        <w:ind w:firstLine="420" w:firstLineChars="200"/>
        <w:rPr>
          <w:rFonts w:ascii="宋体" w:hAnsi="宋体"/>
          <w:szCs w:val="21"/>
        </w:rPr>
      </w:pPr>
      <w:r>
        <w:rPr>
          <w:rFonts w:hint="eastAsia" w:ascii="宋体" w:hAnsi="宋体"/>
          <w:szCs w:val="21"/>
        </w:rPr>
        <w:t xml:space="preserve"> 6.1.2 </w:t>
      </w:r>
      <w:r>
        <w:rPr>
          <w:rFonts w:ascii="宋体" w:hAnsi="宋体"/>
          <w:szCs w:val="21"/>
        </w:rPr>
        <w:t>磋商文件能够详细列明采购标的的技术、服务要求的，磋商结束后，磋商小组</w:t>
      </w:r>
      <w:r>
        <w:rPr>
          <w:rFonts w:hint="eastAsia" w:ascii="宋体" w:hAnsi="宋体"/>
          <w:szCs w:val="21"/>
        </w:rPr>
        <w:t>将</w:t>
      </w:r>
      <w:r>
        <w:rPr>
          <w:rFonts w:ascii="宋体" w:hAnsi="宋体"/>
          <w:szCs w:val="21"/>
        </w:rPr>
        <w:t>要求所有实质性响应的供应商在规定时间内提交最后报价。</w:t>
      </w:r>
    </w:p>
    <w:p w14:paraId="5870F81A">
      <w:pPr>
        <w:adjustRightInd w:val="0"/>
        <w:snapToGrid w:val="0"/>
        <w:spacing w:line="360" w:lineRule="exact"/>
        <w:ind w:firstLine="420" w:firstLineChars="200"/>
        <w:rPr>
          <w:rFonts w:ascii="宋体" w:hAnsi="宋体"/>
          <w:szCs w:val="21"/>
        </w:rPr>
      </w:pPr>
      <w:r>
        <w:rPr>
          <w:rFonts w:hint="eastAsia" w:ascii="宋体" w:hAnsi="宋体"/>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5612F48D">
      <w:pPr>
        <w:adjustRightInd w:val="0"/>
        <w:snapToGrid w:val="0"/>
        <w:spacing w:line="360" w:lineRule="exact"/>
        <w:ind w:firstLine="420" w:firstLineChars="200"/>
        <w:rPr>
          <w:rFonts w:ascii="宋体" w:hAnsi="宋体"/>
          <w:szCs w:val="21"/>
        </w:rPr>
      </w:pPr>
      <w:r>
        <w:rPr>
          <w:rFonts w:hint="eastAsia" w:ascii="宋体" w:hAnsi="宋体"/>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3F1180ED">
      <w:pPr>
        <w:adjustRightInd w:val="0"/>
        <w:snapToGrid w:val="0"/>
        <w:spacing w:line="360" w:lineRule="exact"/>
        <w:ind w:firstLine="420" w:firstLineChars="200"/>
        <w:rPr>
          <w:rFonts w:ascii="宋体" w:hAnsi="宋体"/>
          <w:szCs w:val="21"/>
        </w:rPr>
      </w:pPr>
      <w:r>
        <w:rPr>
          <w:rFonts w:hint="eastAsia" w:ascii="宋体" w:hAnsi="宋体"/>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szCs w:val="21"/>
        </w:rPr>
        <w:t>已提交响应文件的供应商，在提交最后报价之前，可以根据磋商情况退出磋商。</w:t>
      </w:r>
    </w:p>
    <w:p w14:paraId="182B0E24">
      <w:pPr>
        <w:adjustRightInd w:val="0"/>
        <w:snapToGrid w:val="0"/>
        <w:spacing w:line="360" w:lineRule="exact"/>
        <w:ind w:firstLine="420" w:firstLineChars="200"/>
        <w:rPr>
          <w:rFonts w:ascii="宋体" w:hAnsi="宋体"/>
          <w:szCs w:val="21"/>
        </w:rPr>
      </w:pPr>
      <w:r>
        <w:rPr>
          <w:rFonts w:hint="eastAsia" w:ascii="宋体" w:hAnsi="宋体"/>
          <w:szCs w:val="21"/>
        </w:rPr>
        <w:t>6.2 评审方法和标准</w:t>
      </w:r>
    </w:p>
    <w:p w14:paraId="21A81A17">
      <w:pPr>
        <w:adjustRightInd w:val="0"/>
        <w:snapToGrid w:val="0"/>
        <w:spacing w:line="360" w:lineRule="exact"/>
        <w:ind w:firstLine="420" w:firstLineChars="200"/>
        <w:rPr>
          <w:rFonts w:ascii="宋体" w:hAnsi="宋体"/>
          <w:szCs w:val="21"/>
        </w:rPr>
      </w:pPr>
      <w:r>
        <w:rPr>
          <w:rFonts w:hint="eastAsia" w:ascii="宋体" w:hAnsi="宋体"/>
          <w:szCs w:val="21"/>
        </w:rPr>
        <w:t>6.2.1评审方法。经磋商确定最终采购需求和提交最后报价的供应商后，由磋商小组采用综合评分法对提交最后报价的供应商的响应文件和最后报价进行综合评分。</w:t>
      </w:r>
    </w:p>
    <w:p w14:paraId="707209A4">
      <w:pPr>
        <w:adjustRightInd w:val="0"/>
        <w:snapToGrid w:val="0"/>
        <w:spacing w:line="360" w:lineRule="exact"/>
        <w:ind w:firstLine="420" w:firstLineChars="200"/>
        <w:rPr>
          <w:rFonts w:ascii="宋体" w:hAns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C69471C">
      <w:pPr>
        <w:adjustRightInd w:val="0"/>
        <w:snapToGrid w:val="0"/>
        <w:spacing w:line="360" w:lineRule="exact"/>
        <w:ind w:firstLine="420" w:firstLineChars="200"/>
        <w:rPr>
          <w:rFonts w:ascii="宋体" w:hAnsi="宋体"/>
          <w:szCs w:val="21"/>
        </w:rPr>
      </w:pPr>
      <w:r>
        <w:rPr>
          <w:rFonts w:hint="eastAsia" w:ascii="宋体" w:hAnsi="宋体"/>
          <w:szCs w:val="21"/>
        </w:rPr>
        <w:t>6.2.2评审标准</w:t>
      </w:r>
    </w:p>
    <w:p w14:paraId="74AB482A">
      <w:pPr>
        <w:adjustRightInd w:val="0"/>
        <w:snapToGrid w:val="0"/>
        <w:spacing w:line="360" w:lineRule="exact"/>
        <w:ind w:firstLine="420" w:firstLineChars="200"/>
        <w:rPr>
          <w:rFonts w:ascii="宋体" w:hAnsi="宋体"/>
          <w:szCs w:val="21"/>
        </w:rPr>
      </w:pPr>
      <w:r>
        <w:rPr>
          <w:rFonts w:hint="eastAsia" w:ascii="宋体" w:hAnsi="宋体"/>
          <w:szCs w:val="21"/>
        </w:rPr>
        <w:t>见本磋商文件第五章规定。</w:t>
      </w:r>
    </w:p>
    <w:p w14:paraId="5AF2DE81">
      <w:pPr>
        <w:adjustRightInd w:val="0"/>
        <w:snapToGrid w:val="0"/>
        <w:spacing w:line="360" w:lineRule="exact"/>
        <w:ind w:firstLine="420" w:firstLineChars="200"/>
        <w:rPr>
          <w:rFonts w:ascii="宋体" w:hAnsi="宋体"/>
          <w:szCs w:val="21"/>
        </w:rPr>
      </w:pPr>
      <w:r>
        <w:rPr>
          <w:rFonts w:hint="eastAsia" w:ascii="宋体" w:hAnsi="宋体"/>
          <w:szCs w:val="21"/>
        </w:rPr>
        <w:t>6.3采购活动终止的情况</w:t>
      </w:r>
    </w:p>
    <w:p w14:paraId="1060259B">
      <w:pPr>
        <w:adjustRightInd w:val="0"/>
        <w:snapToGrid w:val="0"/>
        <w:spacing w:line="360" w:lineRule="exact"/>
        <w:ind w:firstLine="420" w:firstLineChars="200"/>
        <w:rPr>
          <w:rFonts w:ascii="宋体" w:hAnsi="宋体"/>
          <w:szCs w:val="21"/>
        </w:rPr>
      </w:pPr>
      <w:r>
        <w:rPr>
          <w:rFonts w:hint="eastAsia" w:ascii="宋体" w:hAnsi="宋体"/>
          <w:szCs w:val="21"/>
        </w:rPr>
        <w:t>出现下列情形之一的，本次竞争性磋商采购活动将被终止：</w:t>
      </w:r>
    </w:p>
    <w:p w14:paraId="1CE7DBCA">
      <w:pPr>
        <w:adjustRightInd w:val="0"/>
        <w:snapToGrid w:val="0"/>
        <w:spacing w:line="360" w:lineRule="exact"/>
        <w:ind w:firstLine="420" w:firstLineChars="200"/>
        <w:rPr>
          <w:rFonts w:ascii="宋体" w:hAnsi="宋体"/>
          <w:szCs w:val="21"/>
        </w:rPr>
      </w:pPr>
      <w:r>
        <w:rPr>
          <w:rFonts w:hint="eastAsia" w:ascii="宋体" w:hAnsi="宋体"/>
          <w:szCs w:val="21"/>
        </w:rPr>
        <w:t>（1）因情况变化，不再符合规定的竞争性磋商采购方式适用情形的；</w:t>
      </w:r>
    </w:p>
    <w:p w14:paraId="2AE8040D">
      <w:pPr>
        <w:adjustRightInd w:val="0"/>
        <w:snapToGrid w:val="0"/>
        <w:spacing w:line="360" w:lineRule="exact"/>
        <w:ind w:firstLine="420" w:firstLineChars="200"/>
        <w:rPr>
          <w:rFonts w:ascii="宋体" w:hAnsi="宋体"/>
          <w:szCs w:val="21"/>
        </w:rPr>
      </w:pPr>
      <w:r>
        <w:rPr>
          <w:rFonts w:hint="eastAsia" w:ascii="宋体" w:hAnsi="宋体"/>
          <w:szCs w:val="21"/>
        </w:rPr>
        <w:t>（2）出现影响采购公正的违法、违规行为的；</w:t>
      </w:r>
    </w:p>
    <w:p w14:paraId="3D553AC7">
      <w:pPr>
        <w:adjustRightInd w:val="0"/>
        <w:snapToGrid w:val="0"/>
        <w:spacing w:line="360" w:lineRule="exact"/>
        <w:ind w:firstLine="420" w:firstLineChars="200"/>
        <w:rPr>
          <w:rFonts w:ascii="宋体" w:hAnsi="宋体"/>
          <w:szCs w:val="21"/>
        </w:rPr>
      </w:pPr>
      <w:r>
        <w:rPr>
          <w:rFonts w:hint="eastAsia" w:ascii="宋体" w:hAnsi="宋体"/>
          <w:szCs w:val="21"/>
        </w:rPr>
        <w:t>（3）除本磋商文件第6.1.2条第三款规定的情形外，在采购过程中符合要求的供应商或者报价未超过采购预算的供应商不足3家的。</w:t>
      </w:r>
    </w:p>
    <w:bookmarkEnd w:id="156"/>
    <w:bookmarkEnd w:id="157"/>
    <w:bookmarkEnd w:id="158"/>
    <w:p w14:paraId="7527EFE7">
      <w:pPr>
        <w:adjustRightInd w:val="0"/>
        <w:snapToGrid w:val="0"/>
        <w:spacing w:line="360" w:lineRule="exact"/>
        <w:ind w:firstLine="420" w:firstLineChars="200"/>
        <w:rPr>
          <w:rFonts w:ascii="宋体" w:hAnsi="宋体"/>
          <w:szCs w:val="21"/>
        </w:rPr>
      </w:pPr>
      <w:r>
        <w:rPr>
          <w:rFonts w:hint="eastAsia" w:ascii="宋体" w:hAnsi="宋体"/>
          <w:szCs w:val="21"/>
        </w:rPr>
        <w:t>五、成交</w:t>
      </w:r>
    </w:p>
    <w:p w14:paraId="493188E2">
      <w:pPr>
        <w:adjustRightInd w:val="0"/>
        <w:snapToGrid w:val="0"/>
        <w:spacing w:line="360" w:lineRule="exact"/>
        <w:ind w:firstLine="420" w:firstLineChars="200"/>
        <w:rPr>
          <w:rFonts w:ascii="宋体" w:hAnsi="宋体"/>
          <w:szCs w:val="21"/>
        </w:rPr>
      </w:pPr>
      <w:bookmarkStart w:id="159" w:name="_Toc513029238"/>
      <w:bookmarkStart w:id="160" w:name="_Toc16938554"/>
      <w:bookmarkStart w:id="161" w:name="_Toc20823310"/>
      <w:r>
        <w:rPr>
          <w:rFonts w:hint="eastAsia" w:ascii="宋体" w:hAnsi="宋体"/>
          <w:szCs w:val="21"/>
        </w:rPr>
        <w:t>1、</w:t>
      </w:r>
      <w:bookmarkEnd w:id="159"/>
      <w:r>
        <w:rPr>
          <w:rFonts w:hint="eastAsia" w:ascii="宋体" w:hAnsi="宋体"/>
          <w:szCs w:val="21"/>
        </w:rPr>
        <w:t>确定</w:t>
      </w:r>
      <w:bookmarkEnd w:id="160"/>
      <w:bookmarkEnd w:id="161"/>
      <w:r>
        <w:rPr>
          <w:rFonts w:hint="eastAsia" w:ascii="宋体" w:hAnsi="宋体"/>
          <w:szCs w:val="21"/>
        </w:rPr>
        <w:t>成交单位</w:t>
      </w:r>
    </w:p>
    <w:p w14:paraId="26F73092">
      <w:pPr>
        <w:adjustRightInd w:val="0"/>
        <w:snapToGrid w:val="0"/>
        <w:spacing w:line="360" w:lineRule="exact"/>
        <w:ind w:firstLine="420" w:firstLineChars="200"/>
        <w:rPr>
          <w:rFonts w:ascii="宋体" w:hAnsi="宋体"/>
          <w:szCs w:val="21"/>
        </w:rPr>
      </w:pPr>
      <w:r>
        <w:rPr>
          <w:rFonts w:hint="eastAsia" w:ascii="宋体" w:hAnsi="宋体"/>
          <w:szCs w:val="21"/>
        </w:rPr>
        <w:t>1.1 磋商小组根据综合评分情况，按照评审得分由高到低顺序推荐3名成交候选供应商，并编写评审报告。符合本文件第6.1.2条情形的，可以推荐2名成交候选供应商。评审得分相同的，按照最后报价由低到高的顺序推荐。评审得分且最后报价相同的，按照技术指标优劣顺序推荐。</w:t>
      </w:r>
    </w:p>
    <w:p w14:paraId="1AA3A156">
      <w:pPr>
        <w:adjustRightInd w:val="0"/>
        <w:snapToGrid w:val="0"/>
        <w:spacing w:line="360" w:lineRule="exact"/>
        <w:ind w:firstLine="420" w:firstLineChars="200"/>
        <w:rPr>
          <w:rFonts w:ascii="宋体" w:hAnsi="宋体"/>
          <w:szCs w:val="21"/>
        </w:rPr>
      </w:pPr>
      <w:r>
        <w:rPr>
          <w:rFonts w:hint="eastAsia" w:ascii="宋体" w:hAnsi="宋体"/>
          <w:szCs w:val="21"/>
        </w:rPr>
        <w:t>1.2采购人从评审报告提出的成交候选供应商中，按照排序由高到低的原则确定成交供应商。采购人确定成交供应商后，采购人将在“通州区烈士陵园”www.tzlsly.cn发布成交结果公告，公告期限为1个工作日。</w:t>
      </w:r>
    </w:p>
    <w:p w14:paraId="0F3B208A">
      <w:pPr>
        <w:adjustRightInd w:val="0"/>
        <w:snapToGrid w:val="0"/>
        <w:spacing w:line="360" w:lineRule="exact"/>
        <w:ind w:firstLine="420" w:firstLineChars="200"/>
        <w:rPr>
          <w:rFonts w:ascii="宋体" w:hAnsi="宋体"/>
          <w:szCs w:val="21"/>
        </w:rPr>
      </w:pPr>
      <w:r>
        <w:rPr>
          <w:rFonts w:hint="eastAsia" w:ascii="宋体" w:hAnsi="宋体"/>
          <w:szCs w:val="21"/>
        </w:rPr>
        <w:t>成交结果确定后，采购人将向成交供应商发出成交通知书。采购人将以中国邮政EMS的形式向成交供应商寄送成交通知书，请供应商务必准确填写《法人授权书》，如因相关信息错误导致成交通知书无法寄达，采购人将不再寄送成交通知书，由此造成的不利后果由供应商自行承担。</w:t>
      </w:r>
    </w:p>
    <w:p w14:paraId="61C71CBF">
      <w:pPr>
        <w:adjustRightInd w:val="0"/>
        <w:snapToGrid w:val="0"/>
        <w:spacing w:line="360" w:lineRule="exact"/>
        <w:ind w:firstLine="420" w:firstLineChars="200"/>
        <w:rPr>
          <w:rFonts w:ascii="宋体" w:hAnsi="宋体"/>
          <w:szCs w:val="21"/>
        </w:rPr>
      </w:pPr>
      <w:r>
        <w:rPr>
          <w:rFonts w:hint="eastAsia" w:ascii="宋体" w:hAnsi="宋体"/>
          <w:szCs w:val="21"/>
        </w:rPr>
        <w:t>1.3若有充分证据证明，成交供应商出现下列情况之一的，一经查实，将被取消成交资格：</w:t>
      </w:r>
    </w:p>
    <w:p w14:paraId="71DDEC33">
      <w:pPr>
        <w:adjustRightInd w:val="0"/>
        <w:snapToGrid w:val="0"/>
        <w:spacing w:line="360" w:lineRule="exact"/>
        <w:ind w:firstLine="420" w:firstLineChars="200"/>
        <w:rPr>
          <w:rFonts w:ascii="宋体" w:hAnsi="宋体"/>
          <w:szCs w:val="21"/>
        </w:rPr>
      </w:pPr>
      <w:r>
        <w:rPr>
          <w:rFonts w:hint="eastAsia" w:ascii="宋体" w:hAnsi="宋体"/>
          <w:szCs w:val="21"/>
        </w:rPr>
        <w:t>（1）提供虚假材料谋取成交的；</w:t>
      </w:r>
    </w:p>
    <w:p w14:paraId="27A3E436">
      <w:pPr>
        <w:adjustRightInd w:val="0"/>
        <w:snapToGrid w:val="0"/>
        <w:spacing w:line="360" w:lineRule="exact"/>
        <w:ind w:firstLine="420" w:firstLineChars="200"/>
        <w:rPr>
          <w:rFonts w:ascii="宋体" w:hAnsi="宋体"/>
          <w:szCs w:val="21"/>
        </w:rPr>
      </w:pPr>
      <w:r>
        <w:rPr>
          <w:rFonts w:hint="eastAsia" w:ascii="宋体" w:hAnsi="宋体"/>
          <w:szCs w:val="21"/>
        </w:rPr>
        <w:t>（2）与评审专家、采购人、其他供应商或者采购人工作人员恶意串通的；</w:t>
      </w:r>
    </w:p>
    <w:p w14:paraId="0357A834">
      <w:pPr>
        <w:adjustRightInd w:val="0"/>
        <w:snapToGrid w:val="0"/>
        <w:spacing w:line="360" w:lineRule="exact"/>
        <w:ind w:firstLine="420" w:firstLineChars="200"/>
        <w:rPr>
          <w:rFonts w:ascii="宋体" w:hAnsi="宋体"/>
          <w:szCs w:val="21"/>
        </w:rPr>
      </w:pPr>
      <w:r>
        <w:rPr>
          <w:rFonts w:hint="eastAsia" w:ascii="宋体" w:hAnsi="宋体"/>
          <w:szCs w:val="21"/>
        </w:rPr>
        <w:t>（3）向评审专家、采购人或采购人工作人员行贿或者提供其他不正当利益的；</w:t>
      </w:r>
    </w:p>
    <w:p w14:paraId="0637F5E9">
      <w:pPr>
        <w:adjustRightInd w:val="0"/>
        <w:snapToGrid w:val="0"/>
        <w:spacing w:line="360" w:lineRule="exact"/>
        <w:ind w:firstLine="420" w:firstLineChars="200"/>
        <w:rPr>
          <w:rFonts w:ascii="宋体" w:hAnsi="宋体"/>
          <w:szCs w:val="21"/>
        </w:rPr>
      </w:pPr>
      <w:r>
        <w:rPr>
          <w:rFonts w:hint="eastAsia" w:ascii="宋体" w:hAnsi="宋体"/>
          <w:szCs w:val="21"/>
        </w:rPr>
        <w:t>（4）恶意竞争，最后报价明显低于其自身合理成本且又无法提供证明的；</w:t>
      </w:r>
    </w:p>
    <w:p w14:paraId="16D84263">
      <w:pPr>
        <w:adjustRightInd w:val="0"/>
        <w:snapToGrid w:val="0"/>
        <w:spacing w:line="360" w:lineRule="exact"/>
        <w:ind w:firstLine="420" w:firstLineChars="200"/>
        <w:rPr>
          <w:rFonts w:ascii="宋体" w:hAnsi="宋体"/>
          <w:szCs w:val="21"/>
        </w:rPr>
      </w:pPr>
      <w:r>
        <w:rPr>
          <w:rFonts w:hint="eastAsia" w:ascii="宋体" w:hAnsi="宋体"/>
          <w:szCs w:val="21"/>
        </w:rPr>
        <w:t>（5）不满足本磋商文件规定的实质性要求，但在评审过程中又未被磋商小组发现的；</w:t>
      </w:r>
    </w:p>
    <w:p w14:paraId="0B924254">
      <w:pPr>
        <w:adjustRightInd w:val="0"/>
        <w:snapToGrid w:val="0"/>
        <w:spacing w:line="360" w:lineRule="exact"/>
        <w:ind w:firstLine="420" w:firstLineChars="200"/>
        <w:rPr>
          <w:rFonts w:ascii="宋体" w:hAnsi="宋体"/>
          <w:szCs w:val="21"/>
        </w:rPr>
      </w:pPr>
      <w:r>
        <w:rPr>
          <w:rFonts w:hint="eastAsia" w:ascii="宋体" w:hAnsi="宋体"/>
          <w:szCs w:val="21"/>
        </w:rPr>
        <w:t>（6）成交后无正当理由拒不与采购人签订政府采购合同或者未按照磋商文件确定的事项签订政府采购合同；</w:t>
      </w:r>
    </w:p>
    <w:p w14:paraId="08368D60">
      <w:pPr>
        <w:adjustRightInd w:val="0"/>
        <w:snapToGrid w:val="0"/>
        <w:spacing w:line="360" w:lineRule="exact"/>
        <w:ind w:firstLine="420" w:firstLineChars="200"/>
        <w:rPr>
          <w:rFonts w:ascii="宋体" w:hAnsi="宋体"/>
          <w:szCs w:val="21"/>
        </w:rPr>
      </w:pPr>
      <w:r>
        <w:rPr>
          <w:rFonts w:hint="eastAsia" w:ascii="宋体" w:hAnsi="宋体"/>
          <w:szCs w:val="21"/>
        </w:rPr>
        <w:t>（7）将政府采购合同转包；</w:t>
      </w:r>
    </w:p>
    <w:p w14:paraId="580A8488">
      <w:pPr>
        <w:adjustRightInd w:val="0"/>
        <w:snapToGrid w:val="0"/>
        <w:spacing w:line="360" w:lineRule="exact"/>
        <w:ind w:firstLine="420" w:firstLineChars="200"/>
        <w:rPr>
          <w:rFonts w:ascii="宋体" w:hAnsi="宋体"/>
          <w:szCs w:val="21"/>
        </w:rPr>
      </w:pPr>
      <w:r>
        <w:rPr>
          <w:rFonts w:hint="eastAsia" w:ascii="宋体" w:hAnsi="宋体"/>
          <w:szCs w:val="21"/>
        </w:rPr>
        <w:t>2、质疑处理</w:t>
      </w:r>
    </w:p>
    <w:p w14:paraId="7DA2198D">
      <w:pPr>
        <w:adjustRightInd w:val="0"/>
        <w:snapToGrid w:val="0"/>
        <w:spacing w:line="360" w:lineRule="exact"/>
        <w:ind w:firstLine="420" w:firstLineChars="200"/>
        <w:rPr>
          <w:rFonts w:ascii="宋体" w:hAnsi="宋体"/>
          <w:szCs w:val="21"/>
        </w:rPr>
      </w:pPr>
      <w:r>
        <w:rPr>
          <w:rFonts w:hint="eastAsia" w:ascii="宋体" w:hAnsi="宋体"/>
          <w:szCs w:val="21"/>
        </w:rPr>
        <w:t>2.1 提出质疑的供应商应当是参与所质疑项目采购活动的供应商。潜在供应商依法获取其可质疑的采购文件的，可以对采购文件提出质疑。</w:t>
      </w:r>
    </w:p>
    <w:p w14:paraId="5593E2F0">
      <w:pPr>
        <w:adjustRightInd w:val="0"/>
        <w:snapToGrid w:val="0"/>
        <w:spacing w:line="360" w:lineRule="exact"/>
        <w:ind w:firstLine="420" w:firstLineChars="200"/>
        <w:rPr>
          <w:rFonts w:ascii="宋体" w:hAnsi="宋体"/>
          <w:szCs w:val="21"/>
        </w:rPr>
      </w:pPr>
      <w:r>
        <w:rPr>
          <w:rFonts w:hint="eastAsia" w:ascii="宋体" w:hAnsi="宋体"/>
          <w:szCs w:val="21"/>
        </w:rPr>
        <w:t>对项目需求部分的质疑，潜在供应商应向采购人提出，由采购人负责答复。</w:t>
      </w:r>
    </w:p>
    <w:p w14:paraId="14FF6265">
      <w:pPr>
        <w:adjustRightInd w:val="0"/>
        <w:snapToGrid w:val="0"/>
        <w:spacing w:line="360" w:lineRule="exact"/>
        <w:ind w:firstLine="420" w:firstLineChars="200"/>
        <w:rPr>
          <w:rFonts w:ascii="宋体" w:hAnsi="宋体"/>
          <w:szCs w:val="21"/>
        </w:rPr>
      </w:pPr>
      <w:r>
        <w:rPr>
          <w:rFonts w:hint="eastAsia" w:ascii="宋体" w:hAnsi="宋体"/>
          <w:szCs w:val="21"/>
        </w:rPr>
        <w:t>对项目需求部分以外内容的质疑，潜在供应商应向采购人提出，由采购人负责答复。</w:t>
      </w:r>
    </w:p>
    <w:p w14:paraId="3B034C65">
      <w:pPr>
        <w:adjustRightInd w:val="0"/>
        <w:snapToGrid w:val="0"/>
        <w:spacing w:line="360" w:lineRule="exact"/>
        <w:ind w:firstLine="420" w:firstLineChars="200"/>
        <w:rPr>
          <w:rFonts w:ascii="宋体" w:hAnsi="宋体"/>
          <w:szCs w:val="21"/>
        </w:rPr>
      </w:pPr>
      <w:r>
        <w:rPr>
          <w:rFonts w:hint="eastAsia" w:ascii="宋体" w:hAnsi="宋体"/>
          <w:szCs w:val="21"/>
        </w:rPr>
        <w:t>2.2供应商认为磋商文件、采购过程和采购结果使自己的权益受到损害的，可以在知道或应知其权益受到损害之日起七个工作日内，以书面形式向采购人或采购人提出质疑。上述应知其权益受到损害之日，是指：</w:t>
      </w:r>
    </w:p>
    <w:p w14:paraId="4EC08638">
      <w:pPr>
        <w:adjustRightInd w:val="0"/>
        <w:snapToGrid w:val="0"/>
        <w:spacing w:line="360" w:lineRule="exact"/>
        <w:ind w:firstLine="420" w:firstLineChars="200"/>
        <w:rPr>
          <w:rFonts w:ascii="宋体" w:hAnsi="宋体"/>
          <w:szCs w:val="21"/>
        </w:rPr>
      </w:pPr>
      <w:r>
        <w:rPr>
          <w:rFonts w:hint="eastAsia" w:ascii="宋体" w:hAnsi="宋体"/>
          <w:szCs w:val="21"/>
        </w:rPr>
        <w:t>（1）</w:t>
      </w:r>
      <w:r>
        <w:rPr>
          <w:rFonts w:ascii="宋体" w:hAnsi="宋体"/>
          <w:szCs w:val="21"/>
        </w:rPr>
        <w:t>对可以质疑的磋商文件提出质疑的，为收到磋商文件之日或者磋商文件公告期限届满之日；</w:t>
      </w:r>
    </w:p>
    <w:p w14:paraId="25D6EFDF">
      <w:pPr>
        <w:adjustRightInd w:val="0"/>
        <w:snapToGrid w:val="0"/>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对采购过程提出质疑的，为各采购程序环节结束之日；</w:t>
      </w:r>
    </w:p>
    <w:p w14:paraId="1698EFF7">
      <w:pPr>
        <w:adjustRightInd w:val="0"/>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对成交结果提出质疑的，为成交结果公告期限届满之日。</w:t>
      </w:r>
    </w:p>
    <w:p w14:paraId="5E95F38A">
      <w:pPr>
        <w:adjustRightInd w:val="0"/>
        <w:snapToGrid w:val="0"/>
        <w:spacing w:line="360" w:lineRule="exact"/>
        <w:ind w:firstLine="420" w:firstLineChars="200"/>
        <w:rPr>
          <w:rFonts w:ascii="宋体" w:hAnsi="宋体"/>
          <w:szCs w:val="21"/>
        </w:rPr>
      </w:pPr>
      <w:r>
        <w:rPr>
          <w:rFonts w:hint="eastAsia" w:ascii="宋体" w:hAnsi="宋体"/>
          <w:szCs w:val="21"/>
        </w:rPr>
        <w:t>供应商应当在法定质疑期内一次性提出针对同一采购程序环节的质疑。供应商如在法定期限内对同一采购程序环节提出多次质疑的，采购人、</w:t>
      </w:r>
      <w:r>
        <w:rPr>
          <w:rFonts w:ascii="宋体" w:hAnsi="宋体"/>
          <w:szCs w:val="21"/>
        </w:rPr>
        <w:t>采购人</w:t>
      </w:r>
      <w:r>
        <w:rPr>
          <w:rFonts w:hint="eastAsia" w:ascii="宋体" w:hAnsi="宋体"/>
          <w:szCs w:val="21"/>
        </w:rPr>
        <w:t>将只对供应商第一次质疑作出答复。</w:t>
      </w:r>
    </w:p>
    <w:p w14:paraId="31DCA6DC">
      <w:pPr>
        <w:adjustRightInd w:val="0"/>
        <w:snapToGrid w:val="0"/>
        <w:spacing w:line="360" w:lineRule="exact"/>
        <w:ind w:firstLine="420" w:firstLineChars="200"/>
        <w:rPr>
          <w:rFonts w:ascii="宋体" w:hAnsi="宋体"/>
          <w:szCs w:val="21"/>
        </w:rPr>
      </w:pPr>
      <w:r>
        <w:rPr>
          <w:rFonts w:hint="eastAsia" w:ascii="宋体" w:hAnsi="宋体"/>
          <w:szCs w:val="21"/>
        </w:rPr>
        <w:t>2.3质疑函必须按照本磋商文件中《质疑函范本》要求的格式和内容进行填写。</w:t>
      </w:r>
    </w:p>
    <w:p w14:paraId="52D2204D">
      <w:pPr>
        <w:adjustRightInd w:val="0"/>
        <w:snapToGrid w:val="0"/>
        <w:spacing w:line="360" w:lineRule="exact"/>
        <w:ind w:firstLine="420" w:firstLineChars="200"/>
        <w:rPr>
          <w:rFonts w:ascii="宋体" w:hAnsi="宋体"/>
          <w:szCs w:val="21"/>
        </w:rPr>
      </w:pPr>
      <w:bookmarkStart w:id="162" w:name="_Toc20823309"/>
      <w:bookmarkStart w:id="163" w:name="_Toc513029237"/>
      <w:bookmarkStart w:id="164" w:name="_Toc16938553"/>
      <w:r>
        <w:rPr>
          <w:rFonts w:hint="eastAsia" w:ascii="宋体" w:hAnsi="宋体"/>
          <w:szCs w:val="21"/>
        </w:rPr>
        <w:t>2.4采购人及采购人只接收以纸质原件形式送达的质疑。</w:t>
      </w:r>
    </w:p>
    <w:p w14:paraId="2E016A8A">
      <w:pPr>
        <w:adjustRightInd w:val="0"/>
        <w:snapToGrid w:val="0"/>
        <w:spacing w:line="360" w:lineRule="exact"/>
        <w:ind w:firstLine="420" w:firstLineChars="200"/>
        <w:rPr>
          <w:rFonts w:ascii="宋体" w:hAnsi="宋体"/>
          <w:szCs w:val="21"/>
        </w:rPr>
      </w:pPr>
      <w:r>
        <w:rPr>
          <w:rFonts w:hint="eastAsia" w:ascii="宋体" w:hAnsi="宋体"/>
          <w:szCs w:val="21"/>
        </w:rPr>
        <w:t>2.5 以下情形的质疑不予受理</w:t>
      </w:r>
    </w:p>
    <w:p w14:paraId="5D8EA951">
      <w:pPr>
        <w:adjustRightInd w:val="0"/>
        <w:snapToGrid w:val="0"/>
        <w:spacing w:line="360" w:lineRule="exact"/>
        <w:ind w:firstLine="420" w:firstLineChars="200"/>
        <w:rPr>
          <w:rFonts w:ascii="宋体" w:hAnsi="宋体"/>
          <w:szCs w:val="21"/>
        </w:rPr>
      </w:pPr>
      <w:r>
        <w:rPr>
          <w:rFonts w:hint="eastAsia" w:ascii="宋体" w:hAnsi="宋体"/>
          <w:szCs w:val="21"/>
        </w:rPr>
        <w:t>2.5.1 内容不符合《政府采购质疑和投诉办法》第十二条规定的质疑。</w:t>
      </w:r>
    </w:p>
    <w:p w14:paraId="6B39888E">
      <w:pPr>
        <w:adjustRightInd w:val="0"/>
        <w:snapToGrid w:val="0"/>
        <w:spacing w:line="360" w:lineRule="exact"/>
        <w:ind w:firstLine="420" w:firstLineChars="200"/>
        <w:rPr>
          <w:rFonts w:ascii="宋体" w:hAnsi="宋体"/>
          <w:szCs w:val="21"/>
        </w:rPr>
      </w:pPr>
      <w:r>
        <w:rPr>
          <w:rFonts w:hint="eastAsia" w:ascii="宋体" w:hAnsi="宋体"/>
          <w:szCs w:val="21"/>
        </w:rPr>
        <w:t>2.5.2 超出政府采购法定期限的质疑。</w:t>
      </w:r>
    </w:p>
    <w:p w14:paraId="26E77C96">
      <w:pPr>
        <w:adjustRightInd w:val="0"/>
        <w:snapToGrid w:val="0"/>
        <w:spacing w:line="360" w:lineRule="exact"/>
        <w:ind w:firstLine="420" w:firstLineChars="200"/>
        <w:rPr>
          <w:rFonts w:ascii="宋体" w:hAnsi="宋体"/>
          <w:szCs w:val="21"/>
        </w:rPr>
      </w:pPr>
      <w:r>
        <w:rPr>
          <w:rFonts w:hint="eastAsia" w:ascii="宋体" w:hAnsi="宋体"/>
          <w:szCs w:val="21"/>
        </w:rPr>
        <w:t>2.5.3 以传真、电子邮件等方式递交的非原件形式的质疑。</w:t>
      </w:r>
    </w:p>
    <w:p w14:paraId="0AE84C8B">
      <w:pPr>
        <w:adjustRightInd w:val="0"/>
        <w:snapToGrid w:val="0"/>
        <w:spacing w:line="360" w:lineRule="exact"/>
        <w:ind w:firstLine="420" w:firstLineChars="200"/>
        <w:rPr>
          <w:rFonts w:ascii="宋体" w:hAnsi="宋体"/>
          <w:szCs w:val="21"/>
        </w:rPr>
      </w:pPr>
      <w:r>
        <w:rPr>
          <w:rFonts w:hint="eastAsia" w:ascii="宋体" w:hAnsi="宋体"/>
          <w:szCs w:val="21"/>
        </w:rPr>
        <w:t>2.5.4 未参加磋商活动的供应商或在磋商活动中自身权益未受到损害的供应商所提出的质疑。</w:t>
      </w:r>
    </w:p>
    <w:p w14:paraId="42C92D67">
      <w:pPr>
        <w:adjustRightInd w:val="0"/>
        <w:snapToGrid w:val="0"/>
        <w:spacing w:line="360" w:lineRule="exact"/>
        <w:ind w:firstLine="420" w:firstLineChars="200"/>
        <w:rPr>
          <w:rFonts w:ascii="宋体" w:hAnsi="宋体"/>
          <w:szCs w:val="21"/>
        </w:rPr>
      </w:pPr>
      <w:r>
        <w:rPr>
          <w:rFonts w:hint="eastAsia" w:ascii="宋体" w:hAnsi="宋体"/>
          <w:szCs w:val="21"/>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48C6341">
      <w:pPr>
        <w:adjustRightInd w:val="0"/>
        <w:snapToGrid w:val="0"/>
        <w:spacing w:line="360" w:lineRule="exact"/>
        <w:ind w:firstLine="420" w:firstLineChars="200"/>
        <w:rPr>
          <w:rFonts w:ascii="宋体" w:hAnsi="宋体"/>
          <w:szCs w:val="21"/>
        </w:rPr>
      </w:pPr>
      <w:r>
        <w:rPr>
          <w:rFonts w:hint="eastAsia" w:ascii="宋体" w:hAnsi="宋体"/>
          <w:szCs w:val="21"/>
        </w:rPr>
        <w:t>六、合同签订相关事项</w:t>
      </w:r>
    </w:p>
    <w:p w14:paraId="736CBFFC">
      <w:pPr>
        <w:adjustRightInd w:val="0"/>
        <w:snapToGrid w:val="0"/>
        <w:spacing w:line="360" w:lineRule="exact"/>
        <w:ind w:firstLine="420" w:firstLineChars="200"/>
        <w:rPr>
          <w:rFonts w:ascii="宋体" w:hAnsi="宋体"/>
          <w:szCs w:val="21"/>
        </w:rPr>
      </w:pPr>
      <w:r>
        <w:rPr>
          <w:rFonts w:hint="eastAsia" w:ascii="宋体" w:hAnsi="宋体"/>
          <w:szCs w:val="21"/>
        </w:rPr>
        <w:t>1、签订合同</w:t>
      </w:r>
    </w:p>
    <w:p w14:paraId="6D7B25DC">
      <w:pPr>
        <w:adjustRightInd w:val="0"/>
        <w:snapToGrid w:val="0"/>
        <w:spacing w:line="360" w:lineRule="exact"/>
        <w:ind w:firstLine="420" w:firstLineChars="200"/>
        <w:rPr>
          <w:rFonts w:ascii="宋体" w:hAnsi="宋体"/>
          <w:szCs w:val="21"/>
        </w:rPr>
      </w:pPr>
      <w:r>
        <w:rPr>
          <w:rFonts w:hint="eastAsia" w:ascii="宋体" w:hAnsi="宋体"/>
          <w:szCs w:val="21"/>
        </w:rPr>
        <w:t>1.l成交供应商应当在成交通知书发出之日起十五日内，按照磋商文件确定的事项与采购人签订政府采购合同。</w:t>
      </w:r>
    </w:p>
    <w:p w14:paraId="78059F1C">
      <w:pPr>
        <w:adjustRightInd w:val="0"/>
        <w:snapToGrid w:val="0"/>
        <w:spacing w:line="360" w:lineRule="exact"/>
        <w:ind w:firstLine="420" w:firstLineChars="200"/>
        <w:rPr>
          <w:rFonts w:ascii="宋体" w:hAnsi="宋体"/>
          <w:szCs w:val="21"/>
        </w:rPr>
      </w:pPr>
      <w:r>
        <w:rPr>
          <w:rFonts w:hint="eastAsia" w:ascii="宋体" w:hAnsi="宋体"/>
          <w:szCs w:val="21"/>
        </w:rPr>
        <w:t>1.2 磋商文件、成交供应商的响应文件及磋商采购过程中有关澄清、承诺文件均应作为合同附件。</w:t>
      </w:r>
    </w:p>
    <w:p w14:paraId="711D5250">
      <w:pPr>
        <w:adjustRightInd w:val="0"/>
        <w:snapToGrid w:val="0"/>
        <w:spacing w:line="360" w:lineRule="exact"/>
        <w:ind w:firstLine="420" w:firstLineChars="200"/>
        <w:rPr>
          <w:rFonts w:ascii="宋体" w:hAnsi="宋体"/>
          <w:szCs w:val="21"/>
        </w:rPr>
      </w:pPr>
      <w:r>
        <w:rPr>
          <w:rFonts w:hint="eastAsia" w:ascii="宋体" w:hAnsi="宋体"/>
          <w:szCs w:val="21"/>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14:paraId="3C9565E4">
      <w:pPr>
        <w:adjustRightInd w:val="0"/>
        <w:snapToGrid w:val="0"/>
        <w:spacing w:line="360" w:lineRule="exact"/>
        <w:ind w:firstLine="420" w:firstLineChars="200"/>
        <w:rPr>
          <w:rFonts w:ascii="宋体" w:hAnsi="宋体"/>
          <w:szCs w:val="21"/>
        </w:rPr>
      </w:pPr>
      <w:r>
        <w:rPr>
          <w:rFonts w:hint="eastAsia" w:ascii="宋体" w:hAnsi="宋体"/>
          <w:szCs w:val="21"/>
        </w:rPr>
        <w:t>2、履约保证金</w:t>
      </w:r>
    </w:p>
    <w:bookmarkEnd w:id="162"/>
    <w:bookmarkEnd w:id="163"/>
    <w:bookmarkEnd w:id="164"/>
    <w:p w14:paraId="1AFD21DF">
      <w:pPr>
        <w:adjustRightInd w:val="0"/>
        <w:snapToGrid w:val="0"/>
        <w:spacing w:line="360" w:lineRule="exact"/>
        <w:ind w:firstLine="420" w:firstLineChars="200"/>
        <w:rPr>
          <w:rFonts w:ascii="宋体" w:hAnsi="宋体"/>
          <w:szCs w:val="21"/>
        </w:rPr>
      </w:pPr>
      <w:r>
        <w:rPr>
          <w:rFonts w:hint="eastAsia" w:ascii="宋体" w:hAnsi="宋体"/>
          <w:szCs w:val="21"/>
        </w:rPr>
        <w:t>成交人在签订合同前，向采购人以银行转账方式缴纳成交</w:t>
      </w:r>
      <w:r>
        <w:rPr>
          <w:rFonts w:ascii="宋体" w:hAnsi="宋体"/>
          <w:szCs w:val="21"/>
        </w:rPr>
        <w:t>金额</w:t>
      </w:r>
      <w:r>
        <w:rPr>
          <w:rFonts w:hint="eastAsia" w:ascii="宋体" w:hAnsi="宋体"/>
          <w:szCs w:val="21"/>
          <w:u w:val="single"/>
        </w:rPr>
        <w:t>10 %</w:t>
      </w:r>
      <w:r>
        <w:rPr>
          <w:rFonts w:hint="eastAsia" w:ascii="宋体" w:hAnsi="宋体"/>
          <w:szCs w:val="21"/>
        </w:rPr>
        <w:t>履约保证金，待验收合格后退还</w:t>
      </w:r>
      <w:r>
        <w:rPr>
          <w:rFonts w:ascii="宋体" w:hAnsi="宋体"/>
          <w:szCs w:val="21"/>
        </w:rPr>
        <w:t>。</w:t>
      </w:r>
    </w:p>
    <w:p w14:paraId="09A2B4F9">
      <w:pPr>
        <w:adjustRightInd w:val="0"/>
        <w:snapToGrid w:val="0"/>
        <w:spacing w:line="360" w:lineRule="auto"/>
        <w:ind w:firstLine="480" w:firstLineChars="200"/>
        <w:rPr>
          <w:rFonts w:ascii="宋体" w:hAnsi="宋体"/>
          <w:sz w:val="24"/>
        </w:rPr>
      </w:pPr>
    </w:p>
    <w:p w14:paraId="1E491C18">
      <w:pPr>
        <w:rPr>
          <w:rFonts w:ascii="宋体" w:hAnsi="宋体"/>
          <w:sz w:val="24"/>
        </w:rPr>
      </w:pPr>
    </w:p>
    <w:p w14:paraId="5CD35D4B">
      <w:pPr>
        <w:pStyle w:val="3"/>
        <w:rPr>
          <w:rFonts w:ascii="宋体" w:hAnsi="宋体" w:eastAsia="宋体" w:cs="宋体"/>
          <w:b w:val="0"/>
          <w:bCs/>
          <w:sz w:val="21"/>
          <w:szCs w:val="21"/>
        </w:rPr>
      </w:pPr>
      <w:bookmarkStart w:id="165" w:name="_Toc20183"/>
      <w:r>
        <w:rPr>
          <w:rFonts w:hint="eastAsia" w:ascii="宋体" w:hAnsi="宋体" w:eastAsia="宋体" w:cs="宋体"/>
          <w:b w:val="0"/>
          <w:bCs/>
          <w:sz w:val="21"/>
          <w:szCs w:val="21"/>
        </w:rPr>
        <w:t>第三章  合同条款及格式</w:t>
      </w:r>
      <w:bookmarkEnd w:id="165"/>
    </w:p>
    <w:p w14:paraId="5F385559">
      <w:pPr>
        <w:spacing w:before="153" w:line="219" w:lineRule="auto"/>
        <w:ind w:left="3297"/>
        <w:rPr>
          <w:rFonts w:ascii="宋体" w:hAnsi="宋体" w:cs="宋体"/>
          <w:szCs w:val="21"/>
        </w:rPr>
      </w:pPr>
      <w:bookmarkStart w:id="166" w:name="_Toc24468"/>
      <w:r>
        <w:rPr>
          <w:rFonts w:hint="eastAsia" w:ascii="宋体" w:hAnsi="宋体" w:cs="宋体"/>
          <w:szCs w:val="21"/>
        </w:rPr>
        <w:t>合同条款前附表</w:t>
      </w:r>
    </w:p>
    <w:p w14:paraId="2E5F1364">
      <w:pPr>
        <w:spacing w:line="120" w:lineRule="exact"/>
        <w:rPr>
          <w:rFonts w:ascii="宋体" w:hAnsi="宋体" w:cs="宋体"/>
          <w:szCs w:val="21"/>
        </w:rPr>
      </w:pPr>
    </w:p>
    <w:tbl>
      <w:tblPr>
        <w:tblStyle w:val="298"/>
        <w:tblW w:w="8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52"/>
        <w:gridCol w:w="6849"/>
      </w:tblGrid>
      <w:tr w14:paraId="389F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79" w:type="dxa"/>
          </w:tcPr>
          <w:p w14:paraId="35DE1BE0">
            <w:pPr>
              <w:pStyle w:val="99"/>
              <w:spacing w:before="120" w:line="229" w:lineRule="auto"/>
              <w:ind w:left="115"/>
              <w:rPr>
                <w:rFonts w:ascii="宋体" w:eastAsia="宋体" w:cs="宋体"/>
                <w:sz w:val="21"/>
                <w:szCs w:val="21"/>
              </w:rPr>
            </w:pPr>
            <w:r>
              <w:rPr>
                <w:rFonts w:hint="eastAsia" w:ascii="宋体" w:eastAsia="宋体" w:cs="宋体"/>
                <w:sz w:val="21"/>
                <w:szCs w:val="21"/>
              </w:rPr>
              <w:t>序号</w:t>
            </w:r>
          </w:p>
        </w:tc>
        <w:tc>
          <w:tcPr>
            <w:tcW w:w="952" w:type="dxa"/>
          </w:tcPr>
          <w:p w14:paraId="15B98756">
            <w:pPr>
              <w:pStyle w:val="99"/>
              <w:spacing w:before="120" w:line="228" w:lineRule="auto"/>
              <w:ind w:left="166"/>
              <w:rPr>
                <w:rFonts w:ascii="宋体" w:eastAsia="宋体" w:cs="宋体"/>
                <w:sz w:val="21"/>
                <w:szCs w:val="21"/>
              </w:rPr>
            </w:pPr>
            <w:r>
              <w:rPr>
                <w:rFonts w:hint="eastAsia" w:ascii="宋体" w:eastAsia="宋体" w:cs="宋体"/>
                <w:sz w:val="21"/>
                <w:szCs w:val="21"/>
              </w:rPr>
              <w:t>条款号</w:t>
            </w:r>
          </w:p>
        </w:tc>
        <w:tc>
          <w:tcPr>
            <w:tcW w:w="6849" w:type="dxa"/>
          </w:tcPr>
          <w:p w14:paraId="060A4586">
            <w:pPr>
              <w:pStyle w:val="99"/>
              <w:spacing w:before="120" w:line="228" w:lineRule="auto"/>
              <w:ind w:left="2929"/>
              <w:rPr>
                <w:rFonts w:ascii="宋体" w:eastAsia="宋体" w:cs="宋体"/>
                <w:sz w:val="21"/>
                <w:szCs w:val="21"/>
              </w:rPr>
            </w:pPr>
            <w:r>
              <w:rPr>
                <w:rFonts w:hint="eastAsia" w:ascii="宋体" w:eastAsia="宋体" w:cs="宋体"/>
                <w:sz w:val="21"/>
                <w:szCs w:val="21"/>
              </w:rPr>
              <w:t>内      容</w:t>
            </w:r>
          </w:p>
        </w:tc>
      </w:tr>
      <w:tr w14:paraId="5028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79" w:type="dxa"/>
          </w:tcPr>
          <w:p w14:paraId="65DAA53A">
            <w:pPr>
              <w:spacing w:line="284" w:lineRule="auto"/>
              <w:rPr>
                <w:rFonts w:ascii="宋体" w:hAnsi="宋体" w:cs="宋体"/>
                <w:szCs w:val="21"/>
              </w:rPr>
            </w:pPr>
          </w:p>
          <w:p w14:paraId="62D8262C">
            <w:pPr>
              <w:spacing w:line="284" w:lineRule="auto"/>
              <w:rPr>
                <w:rFonts w:ascii="宋体" w:hAnsi="宋体" w:cs="宋体"/>
                <w:szCs w:val="21"/>
              </w:rPr>
            </w:pPr>
          </w:p>
          <w:p w14:paraId="21A6E5A1">
            <w:pPr>
              <w:spacing w:line="284" w:lineRule="auto"/>
              <w:rPr>
                <w:rFonts w:ascii="宋体" w:hAnsi="宋体" w:cs="宋体"/>
                <w:szCs w:val="21"/>
              </w:rPr>
            </w:pPr>
          </w:p>
          <w:p w14:paraId="76F0DD5D">
            <w:pPr>
              <w:spacing w:before="57" w:line="195" w:lineRule="auto"/>
              <w:ind w:left="360"/>
              <w:rPr>
                <w:rFonts w:ascii="宋体" w:hAnsi="宋体" w:cs="宋体"/>
                <w:szCs w:val="21"/>
              </w:rPr>
            </w:pPr>
            <w:r>
              <w:rPr>
                <w:rFonts w:hint="eastAsia" w:ascii="宋体" w:hAnsi="宋体" w:cs="宋体"/>
                <w:szCs w:val="21"/>
              </w:rPr>
              <w:t>1</w:t>
            </w:r>
          </w:p>
        </w:tc>
        <w:tc>
          <w:tcPr>
            <w:tcW w:w="952" w:type="dxa"/>
          </w:tcPr>
          <w:p w14:paraId="77D4A331">
            <w:pPr>
              <w:spacing w:line="269" w:lineRule="auto"/>
              <w:rPr>
                <w:rFonts w:ascii="宋体" w:hAnsi="宋体" w:cs="宋体"/>
                <w:szCs w:val="21"/>
              </w:rPr>
            </w:pPr>
          </w:p>
          <w:p w14:paraId="3E00AA5A">
            <w:pPr>
              <w:spacing w:line="270" w:lineRule="auto"/>
              <w:rPr>
                <w:rFonts w:ascii="宋体" w:hAnsi="宋体" w:cs="宋体"/>
                <w:szCs w:val="21"/>
              </w:rPr>
            </w:pPr>
          </w:p>
          <w:p w14:paraId="48429A23">
            <w:pPr>
              <w:spacing w:line="270" w:lineRule="auto"/>
              <w:rPr>
                <w:rFonts w:ascii="宋体" w:hAnsi="宋体" w:cs="宋体"/>
                <w:szCs w:val="21"/>
              </w:rPr>
            </w:pPr>
          </w:p>
          <w:p w14:paraId="0A6470D0">
            <w:pPr>
              <w:pStyle w:val="99"/>
              <w:spacing w:before="120"/>
              <w:ind w:left="181"/>
              <w:rPr>
                <w:rFonts w:ascii="宋体" w:eastAsia="宋体" w:cs="宋体"/>
                <w:sz w:val="21"/>
                <w:szCs w:val="21"/>
              </w:rPr>
            </w:pPr>
            <w:r>
              <w:rPr>
                <w:rFonts w:hint="eastAsia" w:ascii="宋体" w:eastAsia="宋体" w:cs="宋体"/>
                <w:sz w:val="21"/>
                <w:szCs w:val="21"/>
              </w:rPr>
              <w:t>1（5）</w:t>
            </w:r>
          </w:p>
        </w:tc>
        <w:tc>
          <w:tcPr>
            <w:tcW w:w="6849" w:type="dxa"/>
          </w:tcPr>
          <w:p w14:paraId="0A08BECE">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买方名称：</w:t>
            </w:r>
          </w:p>
          <w:p w14:paraId="3414A7EE">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买方地址：</w:t>
            </w:r>
          </w:p>
          <w:p w14:paraId="04EA0D27">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买方电话：</w:t>
            </w:r>
          </w:p>
          <w:p w14:paraId="4ACA5D0C">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买方联系人：</w:t>
            </w:r>
          </w:p>
        </w:tc>
      </w:tr>
      <w:tr w14:paraId="11243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79" w:type="dxa"/>
          </w:tcPr>
          <w:p w14:paraId="07331543">
            <w:pPr>
              <w:spacing w:line="284" w:lineRule="auto"/>
              <w:rPr>
                <w:rFonts w:ascii="宋体" w:hAnsi="宋体" w:cs="宋体"/>
                <w:szCs w:val="21"/>
              </w:rPr>
            </w:pPr>
          </w:p>
          <w:p w14:paraId="55AE4736">
            <w:pPr>
              <w:spacing w:line="284" w:lineRule="auto"/>
              <w:rPr>
                <w:rFonts w:ascii="宋体" w:hAnsi="宋体" w:cs="宋体"/>
                <w:szCs w:val="21"/>
              </w:rPr>
            </w:pPr>
          </w:p>
          <w:p w14:paraId="127D4C18">
            <w:pPr>
              <w:spacing w:line="285" w:lineRule="auto"/>
              <w:rPr>
                <w:rFonts w:ascii="宋体" w:hAnsi="宋体" w:cs="宋体"/>
                <w:szCs w:val="21"/>
              </w:rPr>
            </w:pPr>
          </w:p>
          <w:p w14:paraId="6FF94EB3">
            <w:pPr>
              <w:spacing w:before="58" w:line="195" w:lineRule="auto"/>
              <w:ind w:left="340"/>
              <w:rPr>
                <w:rFonts w:ascii="宋体" w:hAnsi="宋体" w:cs="宋体"/>
                <w:szCs w:val="21"/>
              </w:rPr>
            </w:pPr>
            <w:r>
              <w:rPr>
                <w:rFonts w:hint="eastAsia" w:ascii="宋体" w:hAnsi="宋体" w:cs="宋体"/>
                <w:szCs w:val="21"/>
              </w:rPr>
              <w:t>2</w:t>
            </w:r>
          </w:p>
        </w:tc>
        <w:tc>
          <w:tcPr>
            <w:tcW w:w="952" w:type="dxa"/>
          </w:tcPr>
          <w:p w14:paraId="4A77CDE2">
            <w:pPr>
              <w:spacing w:line="270" w:lineRule="auto"/>
              <w:rPr>
                <w:rFonts w:ascii="宋体" w:hAnsi="宋体" w:cs="宋体"/>
                <w:szCs w:val="21"/>
              </w:rPr>
            </w:pPr>
          </w:p>
          <w:p w14:paraId="7BA518DE">
            <w:pPr>
              <w:spacing w:line="270" w:lineRule="auto"/>
              <w:rPr>
                <w:rFonts w:ascii="宋体" w:hAnsi="宋体" w:cs="宋体"/>
                <w:szCs w:val="21"/>
              </w:rPr>
            </w:pPr>
          </w:p>
          <w:p w14:paraId="38D54843">
            <w:pPr>
              <w:spacing w:line="270" w:lineRule="auto"/>
              <w:rPr>
                <w:rFonts w:ascii="宋体" w:hAnsi="宋体" w:cs="宋体"/>
                <w:szCs w:val="21"/>
              </w:rPr>
            </w:pPr>
          </w:p>
          <w:p w14:paraId="1567961A">
            <w:pPr>
              <w:pStyle w:val="99"/>
              <w:spacing w:before="120"/>
              <w:ind w:left="181"/>
              <w:rPr>
                <w:rFonts w:ascii="宋体" w:eastAsia="宋体" w:cs="宋体"/>
                <w:sz w:val="21"/>
                <w:szCs w:val="21"/>
              </w:rPr>
            </w:pPr>
            <w:r>
              <w:rPr>
                <w:rFonts w:hint="eastAsia" w:ascii="宋体" w:eastAsia="宋体" w:cs="宋体"/>
                <w:sz w:val="21"/>
                <w:szCs w:val="21"/>
              </w:rPr>
              <w:t>1（6）</w:t>
            </w:r>
          </w:p>
        </w:tc>
        <w:tc>
          <w:tcPr>
            <w:tcW w:w="6849" w:type="dxa"/>
          </w:tcPr>
          <w:p w14:paraId="64682DE8">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卖方名称：</w:t>
            </w:r>
          </w:p>
          <w:p w14:paraId="7C8F16F4">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卖方地址：</w:t>
            </w:r>
          </w:p>
          <w:p w14:paraId="4F1216EC">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卖方电话：</w:t>
            </w:r>
          </w:p>
          <w:p w14:paraId="18C92433">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卖方联系人：</w:t>
            </w:r>
          </w:p>
        </w:tc>
      </w:tr>
      <w:tr w14:paraId="20E37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79" w:type="dxa"/>
          </w:tcPr>
          <w:p w14:paraId="28C4C45D">
            <w:pPr>
              <w:spacing w:line="297" w:lineRule="auto"/>
              <w:rPr>
                <w:rFonts w:ascii="宋体" w:hAnsi="宋体" w:cs="宋体"/>
                <w:szCs w:val="21"/>
              </w:rPr>
            </w:pPr>
          </w:p>
          <w:p w14:paraId="1A34D606">
            <w:pPr>
              <w:spacing w:before="57" w:line="195" w:lineRule="auto"/>
              <w:ind w:left="344"/>
              <w:rPr>
                <w:rFonts w:ascii="宋体" w:hAnsi="宋体" w:cs="宋体"/>
                <w:szCs w:val="21"/>
              </w:rPr>
            </w:pPr>
            <w:r>
              <w:rPr>
                <w:rFonts w:hint="eastAsia" w:ascii="宋体" w:hAnsi="宋体" w:cs="宋体"/>
                <w:szCs w:val="21"/>
              </w:rPr>
              <w:t>3</w:t>
            </w:r>
          </w:p>
        </w:tc>
        <w:tc>
          <w:tcPr>
            <w:tcW w:w="952" w:type="dxa"/>
          </w:tcPr>
          <w:p w14:paraId="64264408">
            <w:pPr>
              <w:spacing w:line="253" w:lineRule="auto"/>
              <w:rPr>
                <w:rFonts w:ascii="宋体" w:hAnsi="宋体" w:cs="宋体"/>
                <w:szCs w:val="21"/>
              </w:rPr>
            </w:pPr>
          </w:p>
          <w:p w14:paraId="43A0E636">
            <w:pPr>
              <w:pStyle w:val="99"/>
              <w:spacing w:before="120"/>
              <w:ind w:left="181"/>
              <w:rPr>
                <w:rFonts w:ascii="宋体" w:eastAsia="宋体" w:cs="宋体"/>
                <w:sz w:val="21"/>
                <w:szCs w:val="21"/>
              </w:rPr>
            </w:pPr>
            <w:r>
              <w:rPr>
                <w:rFonts w:hint="eastAsia" w:ascii="宋体" w:eastAsia="宋体" w:cs="宋体"/>
                <w:sz w:val="21"/>
                <w:szCs w:val="21"/>
              </w:rPr>
              <w:t>1（7）</w:t>
            </w:r>
          </w:p>
        </w:tc>
        <w:tc>
          <w:tcPr>
            <w:tcW w:w="6849" w:type="dxa"/>
          </w:tcPr>
          <w:p w14:paraId="2D4E2AF9">
            <w:pPr>
              <w:spacing w:line="254" w:lineRule="auto"/>
              <w:jc w:val="left"/>
              <w:rPr>
                <w:rFonts w:ascii="宋体" w:hAnsi="宋体" w:cs="宋体"/>
                <w:szCs w:val="21"/>
              </w:rPr>
            </w:pPr>
          </w:p>
          <w:p w14:paraId="7A34B5BF">
            <w:pPr>
              <w:pStyle w:val="99"/>
              <w:spacing w:before="120" w:line="228" w:lineRule="auto"/>
              <w:ind w:left="116"/>
              <w:jc w:val="left"/>
              <w:rPr>
                <w:rFonts w:ascii="宋体" w:eastAsia="宋体" w:cs="宋体"/>
                <w:sz w:val="21"/>
                <w:szCs w:val="21"/>
              </w:rPr>
            </w:pPr>
            <w:r>
              <w:rPr>
                <w:rFonts w:hint="eastAsia" w:ascii="宋体" w:eastAsia="宋体" w:cs="宋体"/>
                <w:sz w:val="21"/>
                <w:szCs w:val="21"/>
              </w:rPr>
              <w:t>项目现场：</w:t>
            </w:r>
          </w:p>
        </w:tc>
      </w:tr>
      <w:tr w14:paraId="6EC5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79" w:type="dxa"/>
          </w:tcPr>
          <w:p w14:paraId="747C6A96">
            <w:pPr>
              <w:spacing w:line="288" w:lineRule="auto"/>
              <w:rPr>
                <w:rFonts w:ascii="宋体" w:hAnsi="宋体" w:cs="宋体"/>
                <w:szCs w:val="21"/>
              </w:rPr>
            </w:pPr>
          </w:p>
          <w:p w14:paraId="0D5D824E">
            <w:pPr>
              <w:spacing w:before="58" w:line="195" w:lineRule="auto"/>
              <w:ind w:left="339"/>
              <w:rPr>
                <w:rFonts w:ascii="宋体" w:hAnsi="宋体" w:cs="宋体"/>
                <w:szCs w:val="21"/>
              </w:rPr>
            </w:pPr>
            <w:r>
              <w:rPr>
                <w:rFonts w:hint="eastAsia" w:ascii="宋体" w:hAnsi="宋体" w:cs="宋体"/>
                <w:szCs w:val="21"/>
              </w:rPr>
              <w:t>4</w:t>
            </w:r>
          </w:p>
        </w:tc>
        <w:tc>
          <w:tcPr>
            <w:tcW w:w="952" w:type="dxa"/>
          </w:tcPr>
          <w:p w14:paraId="3C6DA489">
            <w:pPr>
              <w:spacing w:line="288" w:lineRule="auto"/>
              <w:rPr>
                <w:rFonts w:ascii="宋体" w:hAnsi="宋体" w:cs="宋体"/>
                <w:szCs w:val="21"/>
              </w:rPr>
            </w:pPr>
          </w:p>
          <w:p w14:paraId="284ACEB2">
            <w:pPr>
              <w:spacing w:before="58" w:line="195" w:lineRule="auto"/>
              <w:ind w:left="433"/>
              <w:rPr>
                <w:rFonts w:ascii="宋体" w:hAnsi="宋体" w:cs="宋体"/>
                <w:szCs w:val="21"/>
              </w:rPr>
            </w:pPr>
            <w:r>
              <w:rPr>
                <w:rFonts w:hint="eastAsia" w:ascii="宋体" w:hAnsi="宋体" w:cs="宋体"/>
                <w:szCs w:val="21"/>
              </w:rPr>
              <w:t>8</w:t>
            </w:r>
          </w:p>
        </w:tc>
        <w:tc>
          <w:tcPr>
            <w:tcW w:w="6849" w:type="dxa"/>
          </w:tcPr>
          <w:p w14:paraId="76229816">
            <w:pPr>
              <w:spacing w:line="245" w:lineRule="auto"/>
              <w:jc w:val="left"/>
              <w:rPr>
                <w:rFonts w:ascii="宋体" w:hAnsi="宋体" w:cs="宋体"/>
                <w:szCs w:val="21"/>
              </w:rPr>
            </w:pPr>
          </w:p>
          <w:p w14:paraId="778437EA">
            <w:pPr>
              <w:pStyle w:val="99"/>
              <w:spacing w:before="120" w:line="226" w:lineRule="auto"/>
              <w:ind w:left="113"/>
              <w:jc w:val="left"/>
              <w:rPr>
                <w:rFonts w:ascii="宋体" w:eastAsia="宋体" w:cs="宋体"/>
                <w:sz w:val="21"/>
                <w:szCs w:val="21"/>
              </w:rPr>
            </w:pPr>
            <w:r>
              <w:rPr>
                <w:rFonts w:hint="eastAsia" w:ascii="宋体" w:eastAsia="宋体" w:cs="宋体"/>
                <w:sz w:val="21"/>
                <w:szCs w:val="21"/>
              </w:rPr>
              <w:t>合同价格：人民币： 元整 （RMB： ）。</w:t>
            </w:r>
          </w:p>
        </w:tc>
      </w:tr>
      <w:tr w14:paraId="3141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779" w:type="dxa"/>
          </w:tcPr>
          <w:p w14:paraId="7A151FDB">
            <w:pPr>
              <w:spacing w:line="263" w:lineRule="auto"/>
              <w:rPr>
                <w:rFonts w:ascii="宋体" w:hAnsi="宋体" w:cs="宋体"/>
                <w:szCs w:val="21"/>
              </w:rPr>
            </w:pPr>
          </w:p>
          <w:p w14:paraId="668C7C11">
            <w:pPr>
              <w:spacing w:line="263" w:lineRule="auto"/>
              <w:rPr>
                <w:rFonts w:ascii="宋体" w:hAnsi="宋体" w:cs="宋体"/>
                <w:szCs w:val="21"/>
              </w:rPr>
            </w:pPr>
          </w:p>
          <w:p w14:paraId="10FBA351">
            <w:pPr>
              <w:spacing w:line="263" w:lineRule="auto"/>
              <w:rPr>
                <w:rFonts w:ascii="宋体" w:hAnsi="宋体" w:cs="宋体"/>
                <w:szCs w:val="21"/>
              </w:rPr>
            </w:pPr>
          </w:p>
          <w:p w14:paraId="1A07EA08">
            <w:pPr>
              <w:spacing w:line="263" w:lineRule="auto"/>
              <w:rPr>
                <w:rFonts w:ascii="宋体" w:hAnsi="宋体" w:cs="宋体"/>
                <w:szCs w:val="21"/>
              </w:rPr>
            </w:pPr>
          </w:p>
          <w:p w14:paraId="3B57E36A">
            <w:pPr>
              <w:spacing w:line="263" w:lineRule="auto"/>
              <w:rPr>
                <w:rFonts w:ascii="宋体" w:hAnsi="宋体" w:cs="宋体"/>
                <w:szCs w:val="21"/>
              </w:rPr>
            </w:pPr>
          </w:p>
          <w:p w14:paraId="1F07D70E">
            <w:pPr>
              <w:spacing w:before="57" w:line="192" w:lineRule="auto"/>
              <w:ind w:left="345"/>
              <w:rPr>
                <w:rFonts w:ascii="宋体" w:hAnsi="宋体" w:cs="宋体"/>
                <w:szCs w:val="21"/>
              </w:rPr>
            </w:pPr>
            <w:r>
              <w:rPr>
                <w:rFonts w:hint="eastAsia" w:ascii="宋体" w:hAnsi="宋体" w:cs="宋体"/>
                <w:szCs w:val="21"/>
              </w:rPr>
              <w:t>5</w:t>
            </w:r>
          </w:p>
        </w:tc>
        <w:tc>
          <w:tcPr>
            <w:tcW w:w="952" w:type="dxa"/>
          </w:tcPr>
          <w:p w14:paraId="49B11146">
            <w:pPr>
              <w:spacing w:line="262" w:lineRule="auto"/>
              <w:rPr>
                <w:rFonts w:ascii="宋体" w:hAnsi="宋体" w:cs="宋体"/>
                <w:szCs w:val="21"/>
              </w:rPr>
            </w:pPr>
          </w:p>
          <w:p w14:paraId="0AA2496A">
            <w:pPr>
              <w:spacing w:line="262" w:lineRule="auto"/>
              <w:rPr>
                <w:rFonts w:ascii="宋体" w:hAnsi="宋体" w:cs="宋体"/>
                <w:szCs w:val="21"/>
              </w:rPr>
            </w:pPr>
          </w:p>
          <w:p w14:paraId="43AB962F">
            <w:pPr>
              <w:spacing w:line="262" w:lineRule="auto"/>
              <w:rPr>
                <w:rFonts w:ascii="宋体" w:hAnsi="宋体" w:cs="宋体"/>
                <w:szCs w:val="21"/>
              </w:rPr>
            </w:pPr>
          </w:p>
          <w:p w14:paraId="35283CF6">
            <w:pPr>
              <w:spacing w:line="263" w:lineRule="auto"/>
              <w:rPr>
                <w:rFonts w:ascii="宋体" w:hAnsi="宋体" w:cs="宋体"/>
                <w:szCs w:val="21"/>
              </w:rPr>
            </w:pPr>
          </w:p>
          <w:p w14:paraId="5CC52398">
            <w:pPr>
              <w:spacing w:line="263" w:lineRule="auto"/>
              <w:rPr>
                <w:rFonts w:ascii="宋体" w:hAnsi="宋体" w:cs="宋体"/>
                <w:szCs w:val="21"/>
              </w:rPr>
            </w:pPr>
          </w:p>
          <w:p w14:paraId="5B1ECC15">
            <w:pPr>
              <w:spacing w:before="57" w:line="195" w:lineRule="auto"/>
              <w:ind w:left="390"/>
              <w:rPr>
                <w:rFonts w:ascii="宋体" w:hAnsi="宋体" w:cs="宋体"/>
                <w:szCs w:val="21"/>
              </w:rPr>
            </w:pPr>
            <w:r>
              <w:rPr>
                <w:rFonts w:hint="eastAsia" w:ascii="宋体" w:hAnsi="宋体" w:cs="宋体"/>
                <w:szCs w:val="21"/>
              </w:rPr>
              <w:t>15</w:t>
            </w:r>
          </w:p>
        </w:tc>
        <w:tc>
          <w:tcPr>
            <w:tcW w:w="6849" w:type="dxa"/>
          </w:tcPr>
          <w:p w14:paraId="0180E11B">
            <w:pPr>
              <w:pStyle w:val="99"/>
              <w:spacing w:before="120" w:line="228" w:lineRule="auto"/>
              <w:ind w:left="112"/>
              <w:jc w:val="left"/>
              <w:rPr>
                <w:rFonts w:ascii="宋体" w:eastAsia="宋体" w:cs="宋体"/>
                <w:sz w:val="21"/>
                <w:szCs w:val="21"/>
              </w:rPr>
            </w:pPr>
            <w:r>
              <w:rPr>
                <w:rFonts w:hint="eastAsia" w:ascii="宋体" w:eastAsia="宋体" w:cs="宋体"/>
                <w:sz w:val="21"/>
                <w:szCs w:val="21"/>
              </w:rPr>
              <w:t>付款计划：</w:t>
            </w:r>
          </w:p>
          <w:p w14:paraId="49DBC1CC">
            <w:pPr>
              <w:pStyle w:val="99"/>
              <w:spacing w:before="120" w:line="360" w:lineRule="auto"/>
              <w:ind w:left="113" w:right="53" w:firstLine="429"/>
              <w:jc w:val="left"/>
              <w:rPr>
                <w:rFonts w:ascii="宋体" w:eastAsia="宋体" w:cs="宋体"/>
                <w:sz w:val="21"/>
                <w:szCs w:val="21"/>
              </w:rPr>
            </w:pPr>
            <w:r>
              <w:rPr>
                <w:rFonts w:hint="eastAsia" w:ascii="宋体" w:eastAsia="宋体" w:cs="宋体"/>
                <w:sz w:val="21"/>
                <w:szCs w:val="21"/>
              </w:rPr>
              <w:t>（1）卖方按时供货、安装并通过买方组织验收合格后（或通过第三 方质量检测），买方十日内付合同款的 90%（供货方需提供普通发票）， 同时在无违约情形时一周內退还履约保证金，</w:t>
            </w:r>
          </w:p>
          <w:p w14:paraId="2ADC0E11">
            <w:pPr>
              <w:pStyle w:val="99"/>
              <w:spacing w:before="120" w:line="327" w:lineRule="auto"/>
              <w:ind w:left="113" w:right="108" w:firstLine="429"/>
              <w:jc w:val="left"/>
              <w:rPr>
                <w:rFonts w:ascii="宋体" w:eastAsia="宋体" w:cs="宋体"/>
                <w:sz w:val="21"/>
                <w:szCs w:val="21"/>
              </w:rPr>
            </w:pPr>
            <w:r>
              <w:rPr>
                <w:rFonts w:hint="eastAsia" w:ascii="宋体" w:eastAsia="宋体" w:cs="宋体"/>
                <w:sz w:val="21"/>
                <w:szCs w:val="21"/>
              </w:rPr>
              <w:t>（2）安装使用无质量问题且贰年质保期满后一个月内，一次性付清 余款。</w:t>
            </w:r>
          </w:p>
        </w:tc>
      </w:tr>
      <w:tr w14:paraId="1C5D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79" w:type="dxa"/>
          </w:tcPr>
          <w:p w14:paraId="3D59A646">
            <w:pPr>
              <w:spacing w:line="269" w:lineRule="auto"/>
              <w:rPr>
                <w:rFonts w:ascii="宋体" w:hAnsi="宋体" w:cs="宋体"/>
                <w:szCs w:val="21"/>
              </w:rPr>
            </w:pPr>
          </w:p>
          <w:p w14:paraId="3893BE71">
            <w:pPr>
              <w:spacing w:before="57" w:line="195" w:lineRule="auto"/>
              <w:ind w:left="344"/>
              <w:rPr>
                <w:rFonts w:ascii="宋体" w:hAnsi="宋体" w:cs="宋体"/>
                <w:szCs w:val="21"/>
              </w:rPr>
            </w:pPr>
            <w:r>
              <w:rPr>
                <w:rFonts w:hint="eastAsia" w:ascii="宋体" w:hAnsi="宋体" w:cs="宋体"/>
                <w:szCs w:val="21"/>
              </w:rPr>
              <w:t>6</w:t>
            </w:r>
          </w:p>
        </w:tc>
        <w:tc>
          <w:tcPr>
            <w:tcW w:w="952" w:type="dxa"/>
          </w:tcPr>
          <w:p w14:paraId="5D53DE9D">
            <w:pPr>
              <w:spacing w:line="269" w:lineRule="auto"/>
              <w:rPr>
                <w:rFonts w:ascii="宋体" w:hAnsi="宋体" w:cs="宋体"/>
                <w:szCs w:val="21"/>
              </w:rPr>
            </w:pPr>
          </w:p>
          <w:p w14:paraId="601F35D8">
            <w:pPr>
              <w:spacing w:before="57" w:line="195" w:lineRule="auto"/>
              <w:ind w:left="390"/>
              <w:rPr>
                <w:rFonts w:ascii="宋体" w:hAnsi="宋体" w:cs="宋体"/>
                <w:szCs w:val="21"/>
              </w:rPr>
            </w:pPr>
            <w:r>
              <w:rPr>
                <w:rFonts w:hint="eastAsia" w:ascii="宋体" w:hAnsi="宋体" w:cs="宋体"/>
                <w:szCs w:val="21"/>
              </w:rPr>
              <w:t>17</w:t>
            </w:r>
          </w:p>
        </w:tc>
        <w:tc>
          <w:tcPr>
            <w:tcW w:w="6849" w:type="dxa"/>
          </w:tcPr>
          <w:p w14:paraId="350F002E">
            <w:pPr>
              <w:pStyle w:val="99"/>
              <w:spacing w:before="120" w:line="228" w:lineRule="auto"/>
              <w:ind w:left="113"/>
              <w:jc w:val="left"/>
              <w:rPr>
                <w:rFonts w:ascii="宋体" w:eastAsia="宋体" w:cs="宋体"/>
                <w:sz w:val="21"/>
                <w:szCs w:val="21"/>
              </w:rPr>
            </w:pPr>
            <w:r>
              <w:rPr>
                <w:rFonts w:hint="eastAsia" w:ascii="宋体" w:eastAsia="宋体" w:cs="宋体"/>
                <w:sz w:val="21"/>
                <w:szCs w:val="21"/>
              </w:rPr>
              <w:t>质量保修期：从安装调试结束通过验收之日起计算为 24 个月。</w:t>
            </w:r>
          </w:p>
        </w:tc>
      </w:tr>
    </w:tbl>
    <w:p w14:paraId="5999F245">
      <w:pPr>
        <w:pStyle w:val="18"/>
        <w:rPr>
          <w:rFonts w:ascii="宋体" w:hAnsi="宋体" w:eastAsia="宋体" w:cs="宋体"/>
          <w:sz w:val="21"/>
          <w:szCs w:val="21"/>
        </w:rPr>
      </w:pPr>
    </w:p>
    <w:p w14:paraId="29F3CE4E">
      <w:pPr>
        <w:rPr>
          <w:rFonts w:ascii="宋体" w:hAnsi="宋体" w:cs="宋体"/>
          <w:szCs w:val="21"/>
        </w:rPr>
        <w:sectPr>
          <w:footerReference r:id="rId8" w:type="default"/>
          <w:pgSz w:w="11906" w:h="16839"/>
          <w:pgMar w:top="1431" w:right="1633" w:bottom="1156" w:left="1687" w:header="0" w:footer="994" w:gutter="0"/>
          <w:cols w:space="720" w:num="1"/>
        </w:sectPr>
      </w:pPr>
    </w:p>
    <w:p w14:paraId="0718646F">
      <w:pPr>
        <w:spacing w:before="65" w:line="228" w:lineRule="auto"/>
        <w:ind w:left="3061"/>
        <w:rPr>
          <w:rFonts w:ascii="宋体" w:hAnsi="宋体" w:cs="宋体"/>
          <w:szCs w:val="21"/>
        </w:rPr>
      </w:pPr>
      <w:r>
        <w:rPr>
          <w:rFonts w:hint="eastAsia" w:ascii="宋体" w:hAnsi="宋体" w:cs="宋体"/>
          <w:szCs w:val="21"/>
        </w:rPr>
        <w:t>合  同  条  款</w:t>
      </w:r>
    </w:p>
    <w:p w14:paraId="026B447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  定义</w:t>
      </w:r>
    </w:p>
    <w:p w14:paraId="771E647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本合同中的下列术语应解释为：</w:t>
      </w:r>
    </w:p>
    <w:p w14:paraId="6A3F3B6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  合同系指合同各方共同签署的、载明各方权利义务的协议，包括所有的附件、附录以及上述文件中提到的构成合同的所有文件。</w:t>
      </w:r>
    </w:p>
    <w:p w14:paraId="2B49957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  合同价格系指根据合同的规定，卖方在正确、完整地履行合同义务后，买方应向其支付的所有货款及报酬的金额。</w:t>
      </w:r>
    </w:p>
    <w:p w14:paraId="6C06A2D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  货物系指卖方根据合同的规定须向买方提供的一切材料、设备、机械、仪表、备品、 备件、工具和（或）其他设施。本合同中系指</w:t>
      </w:r>
      <w:r>
        <w:rPr>
          <w:rFonts w:hint="eastAsia" w:ascii="宋体" w:hAnsi="宋体" w:cs="宋体"/>
          <w:bCs/>
          <w:szCs w:val="21"/>
          <w:u w:val="single"/>
        </w:rPr>
        <w:t>招标文件中项目需求</w:t>
      </w:r>
      <w:r>
        <w:rPr>
          <w:rFonts w:hint="eastAsia" w:ascii="宋体" w:hAnsi="宋体" w:cs="宋体"/>
          <w:szCs w:val="21"/>
        </w:rPr>
        <w:t>。但在履行合同过程中如发现有任何遗漏和缺件，在清单中并未列入而且确实是卖方供货范围中应该有的，均应由卖方负责补足，且不发生费用。</w:t>
      </w:r>
    </w:p>
    <w:p w14:paraId="3B1B790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  服务系指根据合同的规定，卖方应提供的与所供货物有关的辅助服务，如深化设计、 运输、装卸、保险、制作、安装、调试、技术援助、人员培训、售后服务等以及合同中规定的卖方应承担的其他义务。</w:t>
      </w:r>
    </w:p>
    <w:p w14:paraId="4F28623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  买方系指“合同条款前附表 ”第 1 项中所述的购买货物和服务的单位。</w:t>
      </w:r>
    </w:p>
    <w:p w14:paraId="71359C5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(6)  卖方系指“合同条款前附表 ”第 2 项中所述的提供货物和服务的公司或实体。</w:t>
      </w:r>
    </w:p>
    <w:p w14:paraId="13C79EB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(7)  项目现场系指“合同条款前附表 ”第 3 项中指明的项目实施地点。</w:t>
      </w:r>
    </w:p>
    <w:p w14:paraId="0CF8454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  “天 ”系指日历天数。</w:t>
      </w:r>
    </w:p>
    <w:p w14:paraId="4A7B8E9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  适用性</w:t>
      </w:r>
    </w:p>
    <w:p w14:paraId="7993D9E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本合同条款适用于未被合同其他部分规定所取代的范围，如出现合同其他部分规定与本 合同条款不一致， 以本合同条款约定优先适用。</w:t>
      </w:r>
    </w:p>
    <w:p w14:paraId="257A05F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  适用法律</w:t>
      </w:r>
    </w:p>
    <w:p w14:paraId="5CAC6E5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本合同的适用法律为中华人民共和国的现行法律、法规。</w:t>
      </w:r>
    </w:p>
    <w:p w14:paraId="21B2572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  适用语言和计量单位</w:t>
      </w:r>
    </w:p>
    <w:p w14:paraId="552AA11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 1    本合同的适用语言为中文，所有与本合同有关的来往函件、通知及其他文件均应 使用中文。</w:t>
      </w:r>
    </w:p>
    <w:p w14:paraId="5A07593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4.2    除另有规定外，计量单位应采用中华人民共和国法定计量单位。</w:t>
      </w:r>
    </w:p>
    <w:p w14:paraId="011C671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  原产地</w:t>
      </w:r>
    </w:p>
    <w:p w14:paraId="5134937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 1   本条所述的“原产地 ”系指货物的开采、生长或生产地，或者为所供服务的来源地。经过制造、加工的产品或经过实质上组装主要零部件而形成的产品均可称为货物。商业上公认的新产品是指在基本特征、 目的或功能上与原部件有实质性区别的产品。</w:t>
      </w:r>
    </w:p>
    <w:p w14:paraId="131D9D5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5.2    货物和服务的原产地有别于卖方的国籍。</w:t>
      </w:r>
    </w:p>
    <w:p w14:paraId="4E96449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6  标准和规格</w:t>
      </w:r>
    </w:p>
    <w:p w14:paraId="35B6B19F">
      <w:pPr>
        <w:widowControl/>
        <w:numPr>
          <w:ilvl w:val="0"/>
          <w:numId w:val="3"/>
        </w:numPr>
        <w:topLinePunct/>
        <w:autoSpaceDE w:val="0"/>
        <w:spacing w:line="400" w:lineRule="exact"/>
        <w:ind w:firstLine="420" w:firstLineChars="200"/>
        <w:jc w:val="left"/>
        <w:rPr>
          <w:rFonts w:ascii="宋体" w:hAnsi="宋体" w:cs="宋体"/>
          <w:szCs w:val="21"/>
        </w:rPr>
      </w:pPr>
      <w:r>
        <w:rPr>
          <w:rFonts w:hint="eastAsia" w:ascii="宋体" w:hAnsi="宋体" w:cs="宋体"/>
          <w:szCs w:val="21"/>
        </w:rPr>
        <w:t>1    本合同下交付的货物应与招标文件中规定的 “产品技术要求 ”和其附件及其投标文件的“投标报价一览表及相关说明 ”与规格偏差表（如有的话）相一致。如果在“产品技术要求 ”和其附件中没有提及适用标准或技术规范说明不明确的，则应符合货物原产地适用的官方标准。这些标准必须是有关机构发布的最新版本的标准。卖方所供货物必须达到国家（行业）验收优质标准。</w:t>
      </w:r>
    </w:p>
    <w:p w14:paraId="09484EB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6.2    本合同下提供的深化设计、运输、保险、制作、安装、调试、质量保证（修）等服务，应符合招标文件和合同规定的要求以及中华人民共和国现行国家标准、行业标准或地方标准中要求高的标准。</w:t>
      </w:r>
    </w:p>
    <w:p w14:paraId="304D463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7  专利权</w:t>
      </w:r>
    </w:p>
    <w:p w14:paraId="271C411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卖方应保证买方在使用该货物或其任何一部分时，免受第三方提出侵犯其专利权、商标 权或工业设计权的起诉。任何第三方如果提出侵权指控，卖方必须与第三方交涉并承担可能 发生的一切法律责任和费用。</w:t>
      </w:r>
    </w:p>
    <w:p w14:paraId="5AFB038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  合同价格</w:t>
      </w:r>
    </w:p>
    <w:p w14:paraId="3DBB347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8.1 卖方在正确、完整地履行本合同规定的义务后，买方应向其支付“合同条款前附表 ” 第 4 项所规定的合同价格。合同价格是卖方将货物运达买方指定的现场并安装调试合格直至交付使用且完成质量保证（修）义务的价格（其中包括卖方自制的或外购的全部设备、材料的价格，人工费、材料费、运输费、措施项目费、检测费、安装调试费、管理费、税金、利润、国家相关规费以及其他所有费用（即作为一个完整的工程项目直至验收合格交付使用过程中供货的全部费用），该价格在合同实施期间不因市场变化因素而变动。在验收过程中，  如发现有遗漏、缺件，供应商应无条件无偿补齐，所发生的一切费用，视为已包含在投标报   价之中。</w:t>
      </w:r>
    </w:p>
    <w:p w14:paraId="710D660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8.2 在货物安装、调试、验收过程中，如发现有漏洞、缺件，卖方应无条件、无偿补齐， 所发生的费用视为已在合同价格之中，且不因此而影响交付买方使用的时间。</w:t>
      </w:r>
    </w:p>
    <w:p w14:paraId="014FDC5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9  保险</w:t>
      </w:r>
    </w:p>
    <w:p w14:paraId="6E02A6C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9. 1 卖方应负责办理货物从出厂地运抵项目现场途中（包括装卸）的保险，并支付相关费用。</w:t>
      </w:r>
    </w:p>
    <w:p w14:paraId="15D779B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9.2 卖方承担了所供货物的制作安装调试施工服务，即为专项交钥匙工程，卖方应充分 考虑在最终验收移交前可能发生的潜在的各类风险，并自行办理相关工程、设备、人员的投 保，因为制作安装调试施工中的安全由卖方自行负责。</w:t>
      </w:r>
    </w:p>
    <w:p w14:paraId="62FD7BD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10  包装要求</w:t>
      </w:r>
    </w:p>
    <w:p w14:paraId="7309A2D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10.1    除在合同中另有规定外，卖方提供的全部货物均应按国家标准保护措施进行包 装，这类包装应适应于远距离运输，并能防淋、防晒、防潮、防震、防锈和防野蛮装卸，以 确保货物安全无损地运抵项目现场。</w:t>
      </w:r>
    </w:p>
    <w:p w14:paraId="071D47E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10.2    每一批货物均应附有详细的货物装箱单、质量证明书、检验合格证书、质保书等， 进口产品应附有海关报关单（或成批设备进口报关单复印件），所有上述资料必须随货物一起提供给买方。</w:t>
      </w:r>
    </w:p>
    <w:p w14:paraId="53367BD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11  制作安装安全</w:t>
      </w:r>
    </w:p>
    <w:p w14:paraId="117CD26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在制作安装过程中，卖方应遵守工程建设安全生产的有关管理规定，严格按安全标准 组织施工，采取必要的安全防护措施，消除事故隐患，防护措施费用已计算在合同价格中。 由于卖方的安全措施不力造成事故的责任和因此发生的费用均由其自行承担。</w:t>
      </w:r>
    </w:p>
    <w:p w14:paraId="3522226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12  包装标志</w:t>
      </w:r>
    </w:p>
    <w:p w14:paraId="5EB9960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12. 1 卖方应在每一包装箱的相邻四侧用不褪色的油漆以醒目的中文字样标出每一批 货物应标明的包装标志。</w:t>
      </w:r>
    </w:p>
    <w:p w14:paraId="3B0ECB4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12.2 根据货物的特点和运输的不同要求，卖方应在包装箱上清楚地标出“小心轻放 ”、 “请勿倒置 ”和“ 防潮 ”等字样以及其它适当的标志。</w:t>
      </w:r>
    </w:p>
    <w:p w14:paraId="2434EB2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13  装运条件</w:t>
      </w:r>
    </w:p>
    <w:p w14:paraId="2FE0183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13. 1    卖方应负责将货物从出厂地运抵买方指定的现场，并支付相关费用；</w:t>
      </w:r>
    </w:p>
    <w:p w14:paraId="3F230E2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13.2    卖方装运的货物不应超过合同规定的数量或重量，否则，由此超装而导致的一切 后果均应由卖方负责。</w:t>
      </w:r>
    </w:p>
    <w:p w14:paraId="48B639D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14  装运通知</w:t>
      </w:r>
    </w:p>
    <w:p w14:paraId="46AA906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卖方应按下列要求发出装运通知：</w:t>
      </w:r>
    </w:p>
    <w:p w14:paraId="1DBC5BB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在合同规定的买方现场工程师书面指定的到货日期的七日之前，以传真或特快专递形式 将合同号、货物名称、规格、数量、总重量等通知买方。</w:t>
      </w:r>
    </w:p>
    <w:p w14:paraId="4554359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  单据</w:t>
      </w:r>
    </w:p>
    <w:p w14:paraId="0E1E248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15.1    卖方在安装调试结束并经验收通过后向买方书面提出付款要求时，提供下列单 据：</w:t>
      </w:r>
    </w:p>
    <w:p w14:paraId="7FC3165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15.1.1    已提供全额的普通发票；</w:t>
      </w:r>
    </w:p>
    <w:p w14:paraId="0D96AA5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15.1.2    安装调试结束并通过验收的相关证明材料。</w:t>
      </w:r>
    </w:p>
    <w:p w14:paraId="3424E10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15.2    卖方在要求质量保修金返还时，向买方提供下列单据：</w:t>
      </w:r>
    </w:p>
    <w:p w14:paraId="13D4FF3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15.2.1    买卖双方签署的质量保修期期满合格证书；</w:t>
      </w:r>
    </w:p>
    <w:p w14:paraId="7C6904F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15.2.2    已依约履行保修义务及质量保修金扣留情况的相关证明材料。</w:t>
      </w:r>
    </w:p>
    <w:p w14:paraId="2663F29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  支付</w:t>
      </w:r>
    </w:p>
    <w:p w14:paraId="6E9759E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16.1    价格应以“合同条款前附表 ”第 4 项中所规定的币种支付。</w:t>
      </w:r>
    </w:p>
    <w:p w14:paraId="25D1B38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16.2    买方应按“合同条款前附表 ”第 5 项中所规定的付款计划完成合同价格的支付。</w:t>
      </w:r>
    </w:p>
    <w:p w14:paraId="75D2982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16.3    卖方应以书面形式提出付款要求，并附上“合同条款 ”第 15 条规定的单据以及 合同规定的有关义务已经履行的证明。</w:t>
      </w:r>
    </w:p>
    <w:p w14:paraId="550BC10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16.4  买方的付款应当及时，如买方在审核有关单据时发现了错误或问题，应及时以书 面形式通知卖方。</w:t>
      </w:r>
    </w:p>
    <w:p w14:paraId="3D3D423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16.5    卖方未及时开具票据或提供相应证明，买方有权拒绝付款且不承担违约责任，</w:t>
      </w:r>
    </w:p>
    <w:p w14:paraId="39D34AB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同时卖方不得以此拖延、拒绝履行交货、安装调试及验收交付的义务。</w:t>
      </w:r>
    </w:p>
    <w:p w14:paraId="3737F79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16.6    支付过程中发生的银行费用应由各方各自承担。</w:t>
      </w:r>
    </w:p>
    <w:p w14:paraId="385171B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检验和验收</w:t>
      </w:r>
    </w:p>
    <w:p w14:paraId="171D3F5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    在货物制造过程中，买方有权派人参与监造，买方人员参与监造不解除卖方的任何责任，也不替代到货后的检验和验收。</w:t>
      </w:r>
      <w:r>
        <w:rPr>
          <w:rFonts w:hint="eastAsia" w:ascii="宋体" w:hAnsi="宋体" w:cs="宋体"/>
          <w:bCs/>
          <w:szCs w:val="21"/>
        </w:rPr>
        <w:t>为了保证深化设计的质量和效果，卖方在深化设计前需到现场察看；卖方在制作产品前需经买方确认，否则由此引起的一切责任均由卖方自负。</w:t>
      </w:r>
    </w:p>
    <w:p w14:paraId="75AFE9B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17.2    在交货前，制造厂应对货物的质量、规格、性能、数量和重量等进行全面、细致的检验，并出具证明货物符合合同规定的检验合格证书，检验合格证书是支付交货付款所需单据之一，但不能作为有关质量、规格、性能、数量或重量等的最终检验凭证。制造厂检验的结果和细节应附在检验合格证书之后。</w:t>
      </w:r>
    </w:p>
    <w:p w14:paraId="080E9A9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17.3    货物运抵现场后，买方对货物的规格、数量、重量和随货提供的资料进行检验， 出具到货检验合格证书之日视为卖方送货完成。</w:t>
      </w:r>
    </w:p>
    <w:p w14:paraId="112D446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17.4    买方或其代表应有权对货物进行检验，以确认货物是否符合规格、数量、重量和随货提供资料方面的要求，并且不承担额外的费用。买方应及时将进行检验的代表身份情况告知卖方。</w:t>
      </w:r>
    </w:p>
    <w:p w14:paraId="206DA03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17.5    上述检验在项目现场进行，卖方应对检验工作免费提供合理的协助并借用可能需要的专用仪器或仪表。</w:t>
      </w:r>
    </w:p>
    <w:p w14:paraId="309BE14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17.6  如果被检验的货物不能满足规格、数量、重量和随货提供资料等方面 的要求，买方可以拒绝接受该批货物，卖方应免费更换被拒绝的货物。</w:t>
      </w:r>
      <w:r>
        <w:rPr>
          <w:rFonts w:hint="eastAsia" w:ascii="宋体" w:hAnsi="宋体" w:cs="宋体"/>
          <w:bCs/>
          <w:szCs w:val="21"/>
        </w:rPr>
        <w:t>卖方事先需提供样品，且</w:t>
      </w:r>
      <w:r>
        <w:rPr>
          <w:rFonts w:hint="eastAsia" w:ascii="宋体" w:hAnsi="宋体" w:cs="宋体"/>
          <w:bCs/>
          <w:color w:val="333333"/>
          <w:szCs w:val="21"/>
        </w:rPr>
        <w:t>样品必须经双方确认、封印、签字后保存，经验出供货</w:t>
      </w:r>
      <w:r>
        <w:rPr>
          <w:rFonts w:hint="eastAsia" w:ascii="宋体" w:hAnsi="宋体" w:cs="宋体"/>
          <w:bCs/>
          <w:szCs w:val="21"/>
        </w:rPr>
        <w:t>与样品不符时，买方有权拒绝接受该批货物，卖方应免费更换被拒绝的货物，更换后货物必须达到样品标准。</w:t>
      </w:r>
    </w:p>
    <w:p w14:paraId="60D441B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17.7    买方在货物运抵项目现场后对其进行检验以及必要时拒绝接受该货物的权力，将不会因为货物在其出厂地启运前通过了买方或其代表的检验及认可而受到限制或放弃。</w:t>
      </w:r>
    </w:p>
    <w:p w14:paraId="3D35E94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17.8    在货物到达项目现场后，卖方应及时以书面形式通知买方进行检验。买方应在收到检验通知后的 2 天之内开始进行检验。</w:t>
      </w:r>
    </w:p>
    <w:p w14:paraId="262153F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17.9  买方对货物质量的检验适用质量保修期的规定。</w:t>
      </w:r>
    </w:p>
    <w:p w14:paraId="0D3A16A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17.10   因卖方承担了所供货物制作安装调试施工服务，为专项交钥匙工程，货物到达 项目现场后仍由卖方承担保管责任和费用。</w:t>
      </w:r>
    </w:p>
    <w:p w14:paraId="4B38223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11  卖方在安装施工质量、工期、安全和现场文明施工等方面应服从买方的管理，并与买方密切配合，共同实现合同所确定的目标。</w:t>
      </w:r>
    </w:p>
    <w:p w14:paraId="105AAC1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12 卖方在安装调试结束后，应根据设计方案和验收规范自行验收，买方在收到卖方正式验收报告后 5 个工作日内组织相关单位、部门按照国家有关规范和合同要求进行验收； 如果货物的或安装的质量等与合同要求不符，包括潜在的缺陷或使用不符合要求的配件、材料等，买方有权提出整改要求或提请相关检验机构进行检测；卖方整改完成或检测达到要求才能通过验收。买方未在 5 个工作日内组织验收的，视为验收合格。</w:t>
      </w:r>
    </w:p>
    <w:p w14:paraId="0E738B8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17.13  卖方的货物经其安装调试并通过买方的验收日期视为卖方的交货完成日期和质 量保修期的起算日，据此双方应签署交货验收合格证书。</w:t>
      </w:r>
    </w:p>
    <w:p w14:paraId="485C9F4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14    “合同条款 ”第 17.1-17. 14 条的规定无论如何也不能免除卖方在本合同项下的质量保证（修）义务及其他义务。</w:t>
      </w:r>
    </w:p>
    <w:p w14:paraId="1E75D94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  质量保证</w:t>
      </w:r>
    </w:p>
    <w:p w14:paraId="7A7D388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 1    卖方保证所供货物是全新的、未使用过的，并完全符合合同规定的质量、规格和性能要求。卖方应保证其货物在正确安装、正常使用和正常保养的条件下，在其预计使用寿命期内均具有满意的性能。</w:t>
      </w:r>
    </w:p>
    <w:p w14:paraId="6EF98DF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18.2    根据当地有关部门的检验结果，或者在货物的质量保修期内，发现其数量、质 量或规格与合同不符，或发现设计、工艺、材料有瑕疵，或证实货物是有缺陷的，包括潜在 的缺陷或使用不符合要求的材料等，买方应尽快以书面通知形式向卖方提出本保证条款下的 索赔。</w:t>
      </w:r>
    </w:p>
    <w:p w14:paraId="362AF06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18.3    卖方在收到通知后，在其服务承诺的时间内负责免费维修、更换有缺陷的货物或部件。否则买方可采取必要的补救措施，但风险和费用将由卖方承担，且买方根据合同规定对卖方行使的其他权利不受影响。</w:t>
      </w:r>
    </w:p>
    <w:p w14:paraId="01FE7B3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18.4    如在质量保修期满之时，未发生 17.2 条所述的索赔事宜，或虽发生但双方已按约处理结束，则买卖双方应在 7 天之内签署质量保证（修）期期满合格证书。</w:t>
      </w:r>
    </w:p>
    <w:p w14:paraId="1B64643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18.5    在保修期内，同一货物或部件由于同一质量问题经过连续两次维修仍无法正常 使用的，卖方应无条件给予全套更换，并相应延长质量保修期。</w:t>
      </w:r>
    </w:p>
    <w:p w14:paraId="70041DB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  索赔</w:t>
      </w:r>
    </w:p>
    <w:p w14:paraId="018BF63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 1    买方有权根据当地有关部门出具的检验证书向卖方提出索赔。</w:t>
      </w:r>
    </w:p>
    <w:p w14:paraId="719D70A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    在“合同条款 ”第 18 条规定的质量保修期内，如果卖方对货物缺陷负有责任而买方提出了索赔，则卖方应按买方同意的下列一种或多种方式解决索赔事宜：</w:t>
      </w:r>
    </w:p>
    <w:p w14:paraId="2B6B6AB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 1    卖方同意退货并用合同规定的货币将货款退还给买方，同时承担由此而导致的 一切损失和费用，包括利息、银行手续费、运费、保险费、检验费、仓储费、装卸费以及为 保护退回货物所需的其他费用；</w:t>
      </w:r>
    </w:p>
    <w:p w14:paraId="03EA42B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19.2.2    根据货物的低劣和损坏程度以及买方遭受的损失金额，经过双方商定，降低货物的价格，并及时将差额部分退还给买方；</w:t>
      </w:r>
    </w:p>
    <w:p w14:paraId="1C4C922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19.2.3    用规格、质量和性能符合合同要求的新货物来更换有缺陷的部分，卖方应承担由此而导致的一切费用和保险，并负担买方因此而蒙受的全部直接经济损失。同时，卖方应按“合同条款 ”第 17 条的规定，相应延长更换货物的质量保修期。</w:t>
      </w:r>
    </w:p>
    <w:p w14:paraId="5FCDE71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19.3    如果在买方发出索赔通知后的 28 天内，卖方未作答复，上述索赔应视为已被卖方接受。如卖方未能在买方发出索赔通知后的 28 天内或在买方同意的延长期限内，按照“合 同条款 ”第 18.2  条规定的任何一种或多种方法解决索赔事宜并使买方满意，买方将从卖方 留存的质量保修金中扣回索赔金额而无需通过诉讼程序确认；如果索赔金额高于卖方留存的 质量保修金，买方有权依约另行主张。</w:t>
      </w:r>
    </w:p>
    <w:p w14:paraId="503B5F5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20  通知与送达</w:t>
      </w:r>
    </w:p>
    <w:p w14:paraId="153B401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20. 1    本合同一方按照合同约定或法律规定向另一方送达任何文件、通知、回复及其他 任何联系，必须用书面形式，且采用直接送达、传真、特快专递、挂号邮寄的方式，送达本 合同所列另一方的地址或另一方以本条所述方式通知变更后的地址。如以直接送达的方式送 达，则于另一方签收时视为送达；如以传真方式，在传真到达对方时视为已送达另一方，但 须随后补发信函确认；如以特快专递方式，在投邮后（以寄出邮戳为准）第二日被视为已送 达另一方；如以挂号邮寄的方式，在投邮后（以寄出邮戳为准）第四日将被视为已送达另一 方。</w:t>
      </w:r>
    </w:p>
    <w:p w14:paraId="748E59E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20.2.    文件、通知、回复等联系资料以送达之日或文件、通知、回复中规定的生效之 日为生效日期，两个日期中以较晚的一个为准。</w:t>
      </w:r>
    </w:p>
    <w:p w14:paraId="6A830E5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变更指令</w:t>
      </w:r>
    </w:p>
    <w:p w14:paraId="0228765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1    根据“合同条款 ”第 19 条规定，买方可在任何时候向卖方发出书面指令， 以在 本合同的一般范围内变更下列一项或几项：</w:t>
      </w:r>
    </w:p>
    <w:p w14:paraId="40BE69A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1. 1    本合同项下提供的货物是专为买方制造时，变更设计、图样或规格；</w:t>
      </w:r>
    </w:p>
    <w:p w14:paraId="2FF133B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1.2    货物的运输或包装方法或交货地点。</w:t>
      </w:r>
    </w:p>
    <w:p w14:paraId="3FDAB9E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21.2    如果上述变更使卖方履行合同义务的费用和(或)时间发生了增加或减少，则相应 的合同价格和(或)交货时间作合理的调整，同时应对合同作相应的修改。卖方根据本条进行 调整的要求必须在收到买方的变更指令后的 28 天内提出。</w:t>
      </w:r>
    </w:p>
    <w:p w14:paraId="226C092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22  合同修改</w:t>
      </w:r>
    </w:p>
    <w:p w14:paraId="7E18F28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除“合同条款 ”第 21 条的规定外，任何对合同条件的变更或修改均须由双方签订书面 修改协议。</w:t>
      </w:r>
    </w:p>
    <w:p w14:paraId="0B7D6B1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23  卖方履约期间</w:t>
      </w:r>
    </w:p>
    <w:p w14:paraId="0BD0B61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 xml:space="preserve">23. 1    卖方签订合同之日起 </w:t>
      </w:r>
      <w:r>
        <w:rPr>
          <w:rFonts w:hint="eastAsia" w:ascii="宋体" w:hAnsi="宋体" w:cs="宋体"/>
          <w:color w:val="333333"/>
          <w:szCs w:val="21"/>
        </w:rPr>
        <w:t>5 周内完成供货、安装及调试</w:t>
      </w:r>
      <w:r>
        <w:rPr>
          <w:rFonts w:hint="eastAsia" w:ascii="宋体" w:hAnsi="宋体" w:cs="宋体"/>
          <w:szCs w:val="21"/>
        </w:rPr>
        <w:t>。</w:t>
      </w:r>
    </w:p>
    <w:p w14:paraId="6E93C3E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23.2    在履行合同过程中，如果卖方遇到了可能妨碍按时交货或提供服务的情况时，应 及时以书面形式将拖延的原因、可能拖延的时间及理由通知买方。买方在收到卖方的通知后， 应尽快对所述情况进行评价，并确定是否通过修改合同，酌情延长交货时间或延期提供服务。</w:t>
      </w:r>
    </w:p>
    <w:p w14:paraId="48FA5DD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24  误期赔偿</w:t>
      </w:r>
    </w:p>
    <w:p w14:paraId="69366AB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除“合同条款 ”第 25 条规定外，如果卖方没有按照合同规定的期限交货或提供服务， 买方将从合同价格中扣除误期赔偿费，且不会因此而影响在合同项下要求卖方采取其他补救 措施。误期赔偿费的计算方法为：每延误一天交付买方使用的，按合同价格 5‰赔偿，直至交付买方使用为止；未按 35. 1 中售后服务响应时间要求进行售后服务的，每出现一次，扣 除质量保修金的 1%作为赔偿，直至完成保修服务至买方满意为止。买方也可考虑根据“合 同条款 ”第 28 条的规定终止合同。</w:t>
      </w:r>
    </w:p>
    <w:p w14:paraId="22065EA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  不可抗力</w:t>
      </w:r>
    </w:p>
    <w:p w14:paraId="6881007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 1    如果因不可抗力而导致合同实施延误或不能履行合同义务的话，受不可抗力影响 的一方不应承担违约责任(包括误期赔偿责任、被没收履约保证金或被终止合同等)。</w:t>
      </w:r>
    </w:p>
    <w:p w14:paraId="2E4160A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25.2    本条所述的“不可抗力 ”系指 那些不能预见、不能避免并不能克服的客观情况， 但不包括违约或疏忽。这些情况包括但不限于：战争、严重火灾、洪水、8 级以上台风、5  级以上地震以及政府相关部门发布的认为是不可抗力的事件。</w:t>
      </w:r>
    </w:p>
    <w:p w14:paraId="58BDE8E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25.3    在不可抗力事件发生后，受不可抗力影响的一方应尽快以书面形式将不可抗力的 情况和原因通知对方。除对方书面另行要求外，受不可抗力影响的一方应尽实际可能继续履 行合同义务，并积极寻求采取合理的方案履行未受到不可抗力影响的其他合同事项。</w:t>
      </w:r>
    </w:p>
    <w:p w14:paraId="51116FD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26  税费</w:t>
      </w:r>
    </w:p>
    <w:p w14:paraId="1F17941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26. 1    根据现行税法规定对买方征收的与本合同有关的一切税费均应由买方负担。</w:t>
      </w:r>
    </w:p>
    <w:p w14:paraId="27B80C4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26.2    根据现行税法规定对卖方征收的与本合同有关的一切税费均应由卖方负担。</w:t>
      </w:r>
    </w:p>
    <w:p w14:paraId="25E0FD9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  履约保证金</w:t>
      </w:r>
    </w:p>
    <w:p w14:paraId="2F84933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 1    卖方应在签订本合同前向买方交纳履约保证金。</w:t>
      </w:r>
    </w:p>
    <w:p w14:paraId="158B376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27.2    履约保证金的金额应为合同价格的 10%。</w:t>
      </w:r>
    </w:p>
    <w:p w14:paraId="2E1C41D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27.3  卖方按时供货、安装并通过买方组织验收合格后（或通过第三方质量检测） 同时在无违约情形发生时一周内退还履约保证金。</w:t>
      </w:r>
    </w:p>
    <w:p w14:paraId="675742E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27.4    如果卖方未能履行合同规定的任何义务，买方有权从履约保证金中得到赔偿。</w:t>
      </w:r>
    </w:p>
    <w:p w14:paraId="0DAD4C6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28  合同争议的解决方式</w:t>
      </w:r>
    </w:p>
    <w:p w14:paraId="390AF24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28. 1 合同在履行过程中如果发生争议，先由双方协商解决，协商不成时，任何一方均可向本工程所在地即买方所在地南通市通州区人民法院起诉。</w:t>
      </w:r>
    </w:p>
    <w:p w14:paraId="40741DA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28.2 任何一方未按约定履行本合同义务，由此而造成对方的其它损失（包括但不限于为实现合同权利而支出的诉讼费、财产保全费、律师费，调查取证费用，执行费，公告费用等）， 均由违约方承担。</w:t>
      </w:r>
    </w:p>
    <w:p w14:paraId="3611257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  违约终止合同</w:t>
      </w:r>
    </w:p>
    <w:p w14:paraId="03EE5C3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 1    在买方对卖方违约而采取的任何补救措施不受影响的情况下，买方可在下列情况下向卖方发出书面通知书，提出终止部分或全部合同：</w:t>
      </w:r>
    </w:p>
    <w:p w14:paraId="28C7AC9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29.1.1    卖方未能在合同规定的限期或买方同意延长的限期内提供部分或全部货物；</w:t>
      </w:r>
    </w:p>
    <w:p w14:paraId="02FD11F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29.1.2    卖方未能履行合同规定的其他任何义务。</w:t>
      </w:r>
    </w:p>
    <w:p w14:paraId="489008C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29.2    如果买方根据上述第 28. 1  条的规定，终止了部分或全部合同，买方可以依其认为适当的条件和方法购买与未交货物相类似的货物，卖方应对购买类似货物所超出的那部分费用负责。同时，卖方仍应继续执行合同中未终止的部分。</w:t>
      </w:r>
    </w:p>
    <w:p w14:paraId="3129C0B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30  破产终止合同</w:t>
      </w:r>
    </w:p>
    <w:p w14:paraId="134977E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如果卖方破产或丧失清偿能力，买方可在任何时候以书面形式通知卖方终止合同而不给 卖方补偿。该终止合同的行为将不损害或影响买方在本合同项下已经或将要采取的任何其他 行动或补救措施的权力。</w:t>
      </w:r>
    </w:p>
    <w:p w14:paraId="3F80FBC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  便利终止合同</w:t>
      </w:r>
    </w:p>
    <w:p w14:paraId="58E1F03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31.1    买方可在任何时候出于自身的便利向卖方发出部分或全部终止合同的书面通知， 该书面通知应明确终止合同是出于买方的便利，终止合同的书面通知到达卖方时生效。</w:t>
      </w:r>
    </w:p>
    <w:p w14:paraId="49C93DF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31.2    对卖方在收到终止合同通知后 28 天内可完成并准备装运的货物，买方应按原合 同价格的条款予以接收。对于剩下的货物，买方可按下列方法处置：</w:t>
      </w:r>
    </w:p>
    <w:p w14:paraId="2733E81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31.2.1    让任一部分按照原来的合同价格和条款完成装运和交货；</w:t>
      </w:r>
    </w:p>
    <w:p w14:paraId="3218D9B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31.2.2    取消该剩下货物的装运和交货，并按双方商定的金额向卖方支付部分已完成货 物的制造和服务费用以及卖方此前为制造所订货物而已采购的材料和部件的费用。</w:t>
      </w:r>
    </w:p>
    <w:p w14:paraId="0E310B3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32  转让和分包</w:t>
      </w:r>
    </w:p>
    <w:p w14:paraId="3BFD717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32.1    除买方事先书面同意外，卖方不得部分或全部转让其应履行的合同义务。</w:t>
      </w:r>
    </w:p>
    <w:p w14:paraId="0AC5D5A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32.2    如投标（响应）文件中没有明确分包合同，在本合同签约前，卖方应书面通知买方其在本合同中所分包的全部分包合同，无论是原投标（响应）文件中的还是后续通知的分包合同均不能解除卖方履行本合同的责任和义务。</w:t>
      </w:r>
    </w:p>
    <w:p w14:paraId="22C656A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  合同文件和资料的使用</w:t>
      </w:r>
    </w:p>
    <w:p w14:paraId="52A361B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33.1    未经买方事先书面同意，卖方不得将由买方提供的有关合同、合同条文、规格、计划、图样、模型、样品或资料提供给与履行本合同无关的任何其他人。即使向本合同的雇 员提供，也应注意保密并限于履行本合同所必需的范围。</w:t>
      </w:r>
    </w:p>
    <w:p w14:paraId="7628A50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33.2    未经买方事先书面同意，除履行本合同之外，卖方不应使用“合同条款 ”第 32. 1 条所列举的任何文件和资料。</w:t>
      </w:r>
    </w:p>
    <w:p w14:paraId="73785A6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33.3    除合同本身外，“合同条款 ”第 33. 1 条所列举的任何文件和资料是买方的财产。 如果买方有要求，卖方应在完成合同后将这些文件和资料(包括全部副本)还给买方。</w:t>
      </w:r>
    </w:p>
    <w:p w14:paraId="485198A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34  合同生效</w:t>
      </w:r>
    </w:p>
    <w:p w14:paraId="7C8CEBC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本合同在满足下列所有条件时即生效：</w:t>
      </w:r>
    </w:p>
    <w:p w14:paraId="1A190DE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34.1    合同已由双方的法定代表人或其授权代表签署并加盖了单位印章；</w:t>
      </w:r>
    </w:p>
    <w:p w14:paraId="72BAD30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34.2    卖方已按规定递交了履约保证金。</w:t>
      </w:r>
    </w:p>
    <w:p w14:paraId="4145011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  其他</w:t>
      </w:r>
    </w:p>
    <w:p w14:paraId="0F9BC8F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35.1    卖方应按投标（响应）文件中明确的项目技术服务和售后维修人员提供安装调试 和维修服务，卖方的售后服务响应时间为：接通知后 30 分钟内作出响应，4 小时内赶到现场，并保证在 24 小时内排除故障恢复运行。</w:t>
      </w:r>
    </w:p>
    <w:p w14:paraId="7E366F2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35.2    卖方应按竞谈响应文件的承诺向买方提供人员培训服务。</w:t>
      </w:r>
    </w:p>
    <w:p w14:paraId="3C3B8F0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35.3    本合同条款，中标通知书，投标（竞谈）过程中的澄清、补漏记录，招标（竞谈）文件，投标（响应）文件，相关国家标准、规范均为合同文件的组成部分，且按上列顺序进行解释。</w:t>
      </w:r>
    </w:p>
    <w:p w14:paraId="716DDB7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35.4    本合同一式捌份，卖方执贰份，买方执陆份。</w:t>
      </w:r>
    </w:p>
    <w:p w14:paraId="6A74414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买      方 ：                  卖      方：</w:t>
      </w:r>
    </w:p>
    <w:p w14:paraId="3DBC575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住      所 ：                  住      所：</w:t>
      </w:r>
    </w:p>
    <w:p w14:paraId="7C7F67D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法定代表人：                  法定代表人：</w:t>
      </w:r>
    </w:p>
    <w:p w14:paraId="1C2FE3B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委托代理人：                  委托代理人：</w:t>
      </w:r>
    </w:p>
    <w:p w14:paraId="3A5B092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电      话 ：                  电      话：</w:t>
      </w:r>
    </w:p>
    <w:p w14:paraId="0DB483E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邮      编 ：                  邮      编：</w:t>
      </w:r>
    </w:p>
    <w:p w14:paraId="14B6B843">
      <w:pPr>
        <w:widowControl/>
        <w:topLinePunct/>
        <w:autoSpaceDE w:val="0"/>
        <w:spacing w:line="400" w:lineRule="exact"/>
        <w:ind w:firstLine="482" w:firstLineChars="200"/>
        <w:jc w:val="left"/>
        <w:rPr>
          <w:rFonts w:ascii="宋体" w:hAnsi="宋体" w:cs="宋体"/>
          <w:szCs w:val="21"/>
        </w:rPr>
        <w:sectPr>
          <w:footerReference r:id="rId9" w:type="default"/>
          <w:pgSz w:w="11906" w:h="16839"/>
          <w:pgMar w:top="1431" w:right="1743" w:bottom="1156" w:left="1785" w:header="0" w:footer="994" w:gutter="0"/>
          <w:cols w:space="720" w:num="1"/>
        </w:sectPr>
      </w:pPr>
      <w:r>
        <w:rPr>
          <w:rFonts w:hint="eastAsia" w:ascii="宋体" w:hAnsi="宋体" w:cs="宋体"/>
          <w:b/>
          <w:kern w:val="0"/>
          <w:sz w:val="24"/>
        </w:rPr>
        <w:t>招标人保留对本合同进一步修改、完善的权利。</w:t>
      </w:r>
    </w:p>
    <w:p w14:paraId="48AF06A4"/>
    <w:p w14:paraId="0E5038A7">
      <w:pPr>
        <w:pStyle w:val="4"/>
        <w:jc w:val="center"/>
        <w:rPr>
          <w:rFonts w:ascii="黑体" w:eastAsia="黑体" w:cs="Arial"/>
          <w:bCs/>
          <w:szCs w:val="44"/>
        </w:rPr>
      </w:pPr>
      <w:r>
        <w:rPr>
          <w:rFonts w:hint="eastAsia" w:ascii="黑体" w:eastAsia="黑体" w:cs="Arial"/>
          <w:bCs/>
          <w:szCs w:val="44"/>
        </w:rPr>
        <w:t>第四章  项目需求</w:t>
      </w:r>
      <w:bookmarkEnd w:id="166"/>
    </w:p>
    <w:p w14:paraId="3FD8EF1D">
      <w:pPr>
        <w:pStyle w:val="4"/>
        <w:spacing w:line="360" w:lineRule="auto"/>
        <w:rPr>
          <w:rFonts w:ascii="宋体" w:hAnsi="宋体"/>
          <w:b w:val="0"/>
          <w:bCs/>
          <w:color w:val="000000"/>
          <w:sz w:val="28"/>
          <w:szCs w:val="28"/>
        </w:rPr>
      </w:pPr>
      <w:bookmarkStart w:id="167" w:name="_Toc26554097"/>
      <w:bookmarkStart w:id="168" w:name="_Toc23828480"/>
      <w:bookmarkStart w:id="169" w:name="_Toc61149622"/>
      <w:r>
        <w:rPr>
          <w:rFonts w:hint="eastAsia" w:ascii="宋体" w:hAnsi="宋体"/>
          <w:b w:val="0"/>
          <w:bCs/>
          <w:color w:val="000000"/>
          <w:sz w:val="28"/>
          <w:szCs w:val="28"/>
        </w:rPr>
        <w:t>1.展柜尺寸（长x高x宽）：150*50*120cm，数量：12张；</w:t>
      </w:r>
    </w:p>
    <w:p w14:paraId="6D7705E5">
      <w:pPr>
        <w:pStyle w:val="4"/>
        <w:spacing w:line="360" w:lineRule="auto"/>
        <w:rPr>
          <w:rFonts w:ascii="宋体" w:hAnsi="宋体"/>
          <w:b w:val="0"/>
          <w:bCs/>
          <w:color w:val="000000"/>
          <w:sz w:val="28"/>
          <w:szCs w:val="28"/>
        </w:rPr>
      </w:pPr>
      <w:r>
        <w:rPr>
          <w:rFonts w:hint="eastAsia" w:ascii="宋体" w:hAnsi="宋体"/>
          <w:b w:val="0"/>
          <w:bCs/>
          <w:color w:val="000000"/>
          <w:sz w:val="28"/>
          <w:szCs w:val="28"/>
        </w:rPr>
        <w:t>2.冷轧钢板制作，厚度≥1.2毫米，高温静电喷塑，8毫米超白钢化玻璃，液压式开启，博物馆专用灯；</w:t>
      </w:r>
    </w:p>
    <w:p w14:paraId="55DA410A">
      <w:pPr>
        <w:pStyle w:val="4"/>
        <w:spacing w:line="360" w:lineRule="auto"/>
        <w:rPr>
          <w:rFonts w:ascii="宋体" w:hAnsi="宋体"/>
          <w:b w:val="0"/>
          <w:bCs/>
          <w:color w:val="000000"/>
          <w:sz w:val="28"/>
          <w:szCs w:val="28"/>
        </w:rPr>
      </w:pPr>
      <w:r>
        <w:rPr>
          <w:rFonts w:hint="eastAsia" w:ascii="宋体" w:hAnsi="宋体"/>
          <w:b w:val="0"/>
          <w:bCs/>
          <w:color w:val="000000"/>
          <w:sz w:val="28"/>
          <w:szCs w:val="28"/>
        </w:rPr>
        <w:t>3.展台环保型多层实木板包亚麻布；</w:t>
      </w:r>
    </w:p>
    <w:p w14:paraId="09F6633D">
      <w:pPr>
        <w:pStyle w:val="4"/>
        <w:spacing w:line="360" w:lineRule="auto"/>
        <w:rPr>
          <w:b w:val="0"/>
          <w:bCs/>
        </w:rPr>
      </w:pPr>
      <w:r>
        <w:rPr>
          <w:rFonts w:hint="eastAsia" w:ascii="宋体" w:hAnsi="宋体"/>
          <w:b w:val="0"/>
          <w:bCs/>
          <w:color w:val="000000"/>
          <w:sz w:val="28"/>
          <w:szCs w:val="28"/>
        </w:rPr>
        <w:t>4.具体样式请参照纪念馆原展柜。</w:t>
      </w:r>
    </w:p>
    <w:p w14:paraId="5B23D33B"/>
    <w:p w14:paraId="793AD350"/>
    <w:p w14:paraId="4B0BC7EB"/>
    <w:p w14:paraId="076FB0EA"/>
    <w:p w14:paraId="6353A899"/>
    <w:p w14:paraId="09F8A0CA"/>
    <w:p w14:paraId="5F6A6058"/>
    <w:p w14:paraId="4D029E32"/>
    <w:p w14:paraId="308C8B2A"/>
    <w:p w14:paraId="2F0E383D"/>
    <w:p w14:paraId="7559A059"/>
    <w:p w14:paraId="717903A8"/>
    <w:p w14:paraId="2CFC6542"/>
    <w:p w14:paraId="1580BA9E"/>
    <w:p w14:paraId="0BB2DFBD"/>
    <w:p w14:paraId="7FA79024"/>
    <w:p w14:paraId="0B9CA1D7"/>
    <w:p w14:paraId="60FA5702"/>
    <w:p w14:paraId="11DAB8D3"/>
    <w:p w14:paraId="3FF6C3BB"/>
    <w:p w14:paraId="0C2617E4"/>
    <w:p w14:paraId="04281C48"/>
    <w:p w14:paraId="0AF2EB0F"/>
    <w:p w14:paraId="25616040"/>
    <w:p w14:paraId="035857A7"/>
    <w:p w14:paraId="1BB7E5D2"/>
    <w:p w14:paraId="4245DA98"/>
    <w:p w14:paraId="1F1D83CA"/>
    <w:p w14:paraId="445148A6"/>
    <w:p w14:paraId="15BDBDEC"/>
    <w:p w14:paraId="3D6BE5CA"/>
    <w:p w14:paraId="70550C78"/>
    <w:p w14:paraId="68D0CB64"/>
    <w:p w14:paraId="4043E30B">
      <w:pPr>
        <w:rPr>
          <w:rFonts w:ascii="宋体" w:hAnsi="宋体"/>
          <w:b/>
          <w:color w:val="000000"/>
          <w:szCs w:val="21"/>
        </w:rPr>
      </w:pPr>
    </w:p>
    <w:p w14:paraId="5F4574FE">
      <w:pPr>
        <w:pStyle w:val="3"/>
        <w:rPr>
          <w:rFonts w:ascii="黑体" w:eastAsia="黑体" w:cs="Arial"/>
          <w:bCs/>
          <w:sz w:val="36"/>
          <w:szCs w:val="36"/>
        </w:rPr>
      </w:pPr>
      <w:bookmarkStart w:id="170" w:name="_Toc18518"/>
      <w:r>
        <w:rPr>
          <w:rFonts w:hint="eastAsia" w:ascii="黑体" w:eastAsia="黑体" w:cs="Arial"/>
          <w:bCs/>
          <w:sz w:val="36"/>
          <w:szCs w:val="36"/>
        </w:rPr>
        <w:t>第五章 评审方法和评审标准</w:t>
      </w:r>
      <w:bookmarkEnd w:id="170"/>
    </w:p>
    <w:p w14:paraId="049043A9">
      <w:pPr>
        <w:autoSpaceDE w:val="0"/>
        <w:autoSpaceDN w:val="0"/>
        <w:adjustRightInd w:val="0"/>
        <w:snapToGrid w:val="0"/>
        <w:spacing w:line="400" w:lineRule="exact"/>
        <w:ind w:right="210" w:firstLine="560"/>
        <w:rPr>
          <w:rFonts w:ascii="宋体" w:hAnsi="宋体" w:cs="宋体"/>
          <w:b/>
          <w:szCs w:val="21"/>
        </w:rPr>
      </w:pPr>
      <w:r>
        <w:rPr>
          <w:rFonts w:hint="eastAsia" w:ascii="宋体" w:hAnsi="宋体" w:cs="宋体"/>
          <w:b/>
          <w:szCs w:val="21"/>
        </w:rPr>
        <w:t>一、采购人组织磋商活动</w:t>
      </w:r>
    </w:p>
    <w:p w14:paraId="270CBCD4">
      <w:pPr>
        <w:pStyle w:val="43"/>
        <w:widowControl w:val="0"/>
        <w:snapToGrid w:val="0"/>
        <w:spacing w:before="0" w:beforeAutospacing="0" w:after="0" w:afterAutospacing="0" w:line="400" w:lineRule="exact"/>
        <w:ind w:firstLine="422" w:firstLineChars="200"/>
        <w:contextualSpacing/>
        <w:jc w:val="both"/>
        <w:rPr>
          <w:sz w:val="21"/>
          <w:szCs w:val="21"/>
        </w:rPr>
      </w:pPr>
      <w:r>
        <w:rPr>
          <w:rFonts w:hint="eastAsia"/>
          <w:b/>
          <w:sz w:val="21"/>
          <w:szCs w:val="21"/>
        </w:rPr>
        <w:t>1、成立竞争性磋商小组。</w:t>
      </w:r>
      <w:r>
        <w:rPr>
          <w:rFonts w:hint="eastAsia"/>
          <w:sz w:val="21"/>
          <w:szCs w:val="21"/>
        </w:rPr>
        <w:t>竞争性磋商小组由采购人代表和评审专家共3 人以上单数组成，其中评审专家人数不得少于竞争性磋商小组成员总数的2/3。</w:t>
      </w:r>
    </w:p>
    <w:p w14:paraId="774DEC61">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14:paraId="66262816">
      <w:pPr>
        <w:spacing w:line="400" w:lineRule="exact"/>
        <w:ind w:firstLine="422" w:firstLineChars="200"/>
        <w:rPr>
          <w:rFonts w:ascii="宋体" w:hAnsi="宋体" w:cs="宋体"/>
          <w:b/>
          <w:kern w:val="0"/>
          <w:szCs w:val="21"/>
        </w:rPr>
      </w:pPr>
      <w:r>
        <w:rPr>
          <w:rFonts w:hint="eastAsia" w:ascii="宋体" w:hAnsi="宋体" w:cs="宋体"/>
          <w:b/>
          <w:kern w:val="0"/>
          <w:szCs w:val="21"/>
        </w:rPr>
        <w:t>2、竞争性磋商小组的职责：</w:t>
      </w:r>
    </w:p>
    <w:p w14:paraId="58F4009B">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评审专家应当遵守评审工作纪律，不得泄露评审情况和评审中获悉的商业秘密。</w:t>
      </w:r>
    </w:p>
    <w:p w14:paraId="20D4A29E">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磋商小组在评审过程中发现供应商有行贿、提供虚假材料或者串通等违法行为的，应当及时向财政部门报告。</w:t>
      </w:r>
    </w:p>
    <w:p w14:paraId="0E6CAFBD">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评审专家在评审过程中受到非法干涉的，应当及时向财政、监察等部门举报。</w:t>
      </w:r>
    </w:p>
    <w:p w14:paraId="6F4291BC">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4EA299E">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磋商文件内容违反国家有关强制性规定的，磋商小组应当停止评审并向采购人机构说明情况。</w:t>
      </w:r>
    </w:p>
    <w:p w14:paraId="195D290B">
      <w:pPr>
        <w:pStyle w:val="43"/>
        <w:widowControl w:val="0"/>
        <w:snapToGrid w:val="0"/>
        <w:spacing w:before="0" w:beforeAutospacing="0" w:after="0" w:afterAutospacing="0" w:line="400" w:lineRule="exact"/>
        <w:ind w:firstLine="422" w:firstLineChars="200"/>
        <w:contextualSpacing/>
        <w:jc w:val="both"/>
        <w:rPr>
          <w:b/>
          <w:sz w:val="21"/>
          <w:szCs w:val="21"/>
        </w:rPr>
      </w:pPr>
      <w:r>
        <w:rPr>
          <w:rFonts w:hint="eastAsia"/>
          <w:b/>
          <w:sz w:val="21"/>
          <w:szCs w:val="21"/>
        </w:rPr>
        <w:t>3、竞争性磋商小组成员的义务：</w:t>
      </w:r>
    </w:p>
    <w:p w14:paraId="485693DF">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遵纪守法，客观、公正、廉洁地履行职责；根据采购文件的规定独立进行评审，对个人的评审意见承担法律责任；参与评审报告的起草；配合采购人、招标人答复供应商提出的质疑；配合财政部门的投诉处理和监督检查工作。</w:t>
      </w:r>
    </w:p>
    <w:p w14:paraId="19D5C767">
      <w:pPr>
        <w:autoSpaceDE w:val="0"/>
        <w:autoSpaceDN w:val="0"/>
        <w:adjustRightInd w:val="0"/>
        <w:snapToGrid w:val="0"/>
        <w:spacing w:line="400" w:lineRule="exact"/>
        <w:ind w:right="210" w:firstLine="422" w:firstLineChars="200"/>
        <w:rPr>
          <w:rFonts w:ascii="宋体" w:hAnsi="宋体" w:cs="宋体"/>
          <w:b/>
          <w:szCs w:val="21"/>
        </w:rPr>
      </w:pPr>
      <w:r>
        <w:rPr>
          <w:rFonts w:hint="eastAsia" w:ascii="宋体" w:hAnsi="宋体" w:cs="宋体"/>
          <w:b/>
          <w:szCs w:val="21"/>
        </w:rPr>
        <w:t>二、评审程序、内容</w:t>
      </w:r>
    </w:p>
    <w:p w14:paraId="360E22F3">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 xml:space="preserve">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60D1EB29">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3A32C7">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88F2CF4">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2、磋商小组所有成员应当集中与单一供应商分别进行磋商，并给予所有参加磋商的供应商平等的磋商机会。</w:t>
      </w:r>
    </w:p>
    <w:p w14:paraId="6AD207C5">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3、在磋商过程中，磋商小组可以根据磋商文件和磋商情况实质性变动采购需求中的技术、服务要求以及合同草案条款，但不得变动磋商文件中的其他内容。实质性变动的内容，须经采购人代表确认。</w:t>
      </w:r>
    </w:p>
    <w:p w14:paraId="0AEBEAF6">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对磋商文件作出的实质性变动是磋商文件的有效组成部分，磋商小组应当及时以书面形式同时通知所有参加磋商的供应商。</w:t>
      </w:r>
    </w:p>
    <w:p w14:paraId="1DD7E857">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供应商应当按照磋商文件的变动情况和磋商小组的要求重新提交响应文件，并由其法定代表人或授权代表签字或者加盖公章。由授权代表签字的，应当附法定代表人授权书。</w:t>
      </w:r>
    </w:p>
    <w:p w14:paraId="14195D57">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磋商文件不能详细列明采购标的技术、服务要求，需经磋商由供应商提供最终设计方案或解决方案的，磋商结束后，磋商小组应当按照少数服从多数的原则投票推荐3家以上供应商的设计方案或者解决方案。</w:t>
      </w:r>
    </w:p>
    <w:p w14:paraId="2939E934">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市场竞争不充分的科研项目，以及需要扶持的科技成果转化项目，提交报价的供应商可以是2家。</w:t>
      </w:r>
    </w:p>
    <w:p w14:paraId="118593C1">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4</w:t>
      </w:r>
      <w:r>
        <w:rPr>
          <w:rFonts w:hint="eastAsia"/>
          <w:i/>
          <w:sz w:val="21"/>
          <w:szCs w:val="21"/>
        </w:rPr>
        <w:t>、</w:t>
      </w:r>
      <w:r>
        <w:rPr>
          <w:rFonts w:hint="eastAsia"/>
          <w:sz w:val="21"/>
          <w:szCs w:val="21"/>
        </w:rPr>
        <w:t>磋商结束后，要求磋商响应人提交最后报价，该报价作为本项目成交的依据。</w:t>
      </w:r>
    </w:p>
    <w:p w14:paraId="639F9A38">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磋商时间由磋商小组掌握。</w:t>
      </w:r>
    </w:p>
    <w:p w14:paraId="3B2A2158">
      <w:pPr>
        <w:pStyle w:val="43"/>
        <w:widowControl w:val="0"/>
        <w:snapToGrid w:val="0"/>
        <w:spacing w:before="0" w:beforeAutospacing="0" w:after="0" w:afterAutospacing="0" w:line="400" w:lineRule="exact"/>
        <w:ind w:firstLine="434" w:firstLineChars="206"/>
        <w:contextualSpacing/>
        <w:jc w:val="both"/>
        <w:rPr>
          <w:b/>
          <w:sz w:val="21"/>
          <w:szCs w:val="21"/>
        </w:rPr>
      </w:pPr>
      <w:r>
        <w:rPr>
          <w:rFonts w:hint="eastAsia"/>
          <w:b/>
          <w:sz w:val="21"/>
          <w:szCs w:val="21"/>
        </w:rPr>
        <w:t>三、评审方法-综合评分法</w:t>
      </w:r>
    </w:p>
    <w:p w14:paraId="64464018">
      <w:pPr>
        <w:pStyle w:val="43"/>
        <w:widowControl w:val="0"/>
        <w:snapToGrid w:val="0"/>
        <w:spacing w:before="0" w:beforeAutospacing="0" w:after="0" w:afterAutospacing="0" w:line="400" w:lineRule="exact"/>
        <w:ind w:firstLine="420" w:firstLineChars="200"/>
        <w:contextualSpacing/>
        <w:jc w:val="both"/>
        <w:rPr>
          <w:sz w:val="21"/>
          <w:szCs w:val="21"/>
        </w:rPr>
      </w:pPr>
      <w:r>
        <w:rPr>
          <w:sz w:val="21"/>
          <w:szCs w:val="21"/>
        </w:rPr>
        <w:t>经磋商确定最终采购需求和提交最后报价的供应商后，由磋商小组采用综合评分法对提交最后报价的供应商的响应文件和最后报价进行综合评分。</w:t>
      </w:r>
    </w:p>
    <w:p w14:paraId="21BB3E46">
      <w:pPr>
        <w:pStyle w:val="43"/>
        <w:widowControl w:val="0"/>
        <w:snapToGrid w:val="0"/>
        <w:spacing w:before="0" w:beforeAutospacing="0" w:after="0" w:afterAutospacing="0" w:line="400" w:lineRule="exact"/>
        <w:ind w:firstLine="420" w:firstLineChars="200"/>
        <w:contextualSpacing/>
        <w:jc w:val="both"/>
        <w:rPr>
          <w:sz w:val="21"/>
          <w:szCs w:val="21"/>
        </w:rPr>
      </w:pPr>
      <w:r>
        <w:rPr>
          <w:sz w:val="21"/>
          <w:szCs w:val="21"/>
        </w:rPr>
        <w:t>综合评分法，是指响应文件满足磋商文件全部实质性要求且按评审因素的量化指标评审得分最高的供应商为成交候选供应商的评审方法。</w:t>
      </w:r>
    </w:p>
    <w:p w14:paraId="1DCD2C8B">
      <w:pPr>
        <w:pStyle w:val="43"/>
        <w:widowControl w:val="0"/>
        <w:snapToGrid w:val="0"/>
        <w:spacing w:before="0" w:beforeAutospacing="0" w:after="0" w:afterAutospacing="0" w:line="400" w:lineRule="exact"/>
        <w:ind w:firstLine="496" w:firstLineChars="206"/>
        <w:contextualSpacing/>
        <w:jc w:val="both"/>
        <w:rPr>
          <w:b/>
          <w:szCs w:val="21"/>
        </w:rPr>
      </w:pPr>
      <w:r>
        <w:rPr>
          <w:rFonts w:hint="eastAsia"/>
          <w:b/>
          <w:szCs w:val="21"/>
        </w:rPr>
        <w:t>（一）审查响应文件的有效性、完整性、响应程度</w:t>
      </w:r>
    </w:p>
    <w:p w14:paraId="69D60F22">
      <w:pPr>
        <w:snapToGrid w:val="0"/>
        <w:spacing w:line="400" w:lineRule="exact"/>
        <w:ind w:firstLine="420" w:firstLineChars="200"/>
        <w:rPr>
          <w:rFonts w:ascii="宋体" w:hAnsi="宋体" w:cs="宋体"/>
          <w:szCs w:val="21"/>
        </w:rPr>
      </w:pPr>
      <w:r>
        <w:rPr>
          <w:rFonts w:hint="eastAsia" w:ascii="宋体" w:hAnsi="宋体" w:cs="宋体"/>
          <w:szCs w:val="21"/>
        </w:rPr>
        <w:t>1、要求的保证金是否已提供；</w:t>
      </w:r>
    </w:p>
    <w:p w14:paraId="472E51F1">
      <w:pPr>
        <w:snapToGrid w:val="0"/>
        <w:spacing w:line="400" w:lineRule="exact"/>
        <w:ind w:firstLine="420" w:firstLineChars="200"/>
        <w:rPr>
          <w:rFonts w:ascii="宋体" w:hAnsi="宋体" w:cs="宋体"/>
          <w:bCs/>
          <w:szCs w:val="21"/>
        </w:rPr>
      </w:pPr>
      <w:r>
        <w:rPr>
          <w:rFonts w:hint="eastAsia" w:ascii="宋体" w:hAnsi="宋体" w:cs="宋体"/>
          <w:bCs/>
          <w:szCs w:val="21"/>
        </w:rPr>
        <w:t>2、网上是否上传响应文件；</w:t>
      </w:r>
    </w:p>
    <w:p w14:paraId="460D3812">
      <w:pPr>
        <w:snapToGrid w:val="0"/>
        <w:spacing w:line="400" w:lineRule="exact"/>
        <w:ind w:firstLine="420" w:firstLineChars="200"/>
        <w:rPr>
          <w:rFonts w:ascii="宋体" w:hAnsi="宋体" w:cs="宋体"/>
          <w:bCs/>
          <w:szCs w:val="21"/>
        </w:rPr>
      </w:pPr>
      <w:r>
        <w:rPr>
          <w:rFonts w:hint="eastAsia" w:ascii="宋体" w:hAnsi="宋体" w:cs="宋体"/>
          <w:bCs/>
          <w:szCs w:val="21"/>
        </w:rPr>
        <w:t>3、供应商资格是否符合；</w:t>
      </w:r>
    </w:p>
    <w:p w14:paraId="1B920811">
      <w:pPr>
        <w:snapToGrid w:val="0"/>
        <w:spacing w:line="400" w:lineRule="exact"/>
        <w:ind w:firstLine="420" w:firstLineChars="200"/>
        <w:rPr>
          <w:rFonts w:ascii="宋体" w:hAnsi="宋体" w:cs="宋体"/>
          <w:bCs/>
          <w:szCs w:val="21"/>
        </w:rPr>
      </w:pPr>
      <w:r>
        <w:rPr>
          <w:rFonts w:hint="eastAsia" w:ascii="宋体" w:hAnsi="宋体" w:cs="宋体"/>
          <w:bCs/>
          <w:szCs w:val="21"/>
        </w:rPr>
        <w:t>4、响应文件是否完整；</w:t>
      </w:r>
    </w:p>
    <w:p w14:paraId="3F5CF56E">
      <w:pPr>
        <w:snapToGrid w:val="0"/>
        <w:spacing w:line="400" w:lineRule="exact"/>
        <w:ind w:firstLine="420" w:firstLineChars="200"/>
        <w:rPr>
          <w:rFonts w:ascii="宋体" w:hAnsi="宋体" w:cs="宋体"/>
          <w:szCs w:val="21"/>
        </w:rPr>
      </w:pPr>
      <w:r>
        <w:rPr>
          <w:rFonts w:hint="eastAsia" w:ascii="宋体" w:hAnsi="宋体" w:cs="宋体"/>
          <w:bCs/>
          <w:szCs w:val="21"/>
        </w:rPr>
        <w:t>5、响应文件是否恰当地签署</w:t>
      </w:r>
      <w:r>
        <w:rPr>
          <w:rFonts w:hint="eastAsia" w:ascii="宋体" w:hAnsi="宋体" w:cs="宋体"/>
          <w:szCs w:val="21"/>
        </w:rPr>
        <w:t>；</w:t>
      </w:r>
    </w:p>
    <w:p w14:paraId="7C4A6EE0">
      <w:pPr>
        <w:snapToGrid w:val="0"/>
        <w:spacing w:line="400" w:lineRule="exact"/>
        <w:ind w:firstLine="420" w:firstLineChars="200"/>
        <w:rPr>
          <w:rFonts w:ascii="宋体" w:hAnsi="宋体" w:cs="宋体"/>
          <w:szCs w:val="21"/>
        </w:rPr>
      </w:pPr>
      <w:r>
        <w:rPr>
          <w:rFonts w:hint="eastAsia" w:ascii="宋体" w:hAnsi="宋体" w:cs="宋体"/>
          <w:szCs w:val="21"/>
        </w:rPr>
        <w:t>6、是否作出实质性响应（</w:t>
      </w:r>
      <w:r>
        <w:rPr>
          <w:rFonts w:hint="eastAsia" w:ascii="宋体" w:hAnsi="宋体" w:cs="宋体"/>
          <w:b/>
          <w:szCs w:val="21"/>
        </w:rPr>
        <w:t>是否有实质性响应，只根据响应文件本身，而不寻求外部证据）；</w:t>
      </w:r>
    </w:p>
    <w:p w14:paraId="67497296">
      <w:pPr>
        <w:snapToGrid w:val="0"/>
        <w:spacing w:line="400" w:lineRule="exact"/>
        <w:ind w:firstLine="420" w:firstLineChars="200"/>
        <w:rPr>
          <w:rFonts w:ascii="宋体" w:hAnsi="宋体" w:cs="宋体"/>
          <w:szCs w:val="21"/>
        </w:rPr>
      </w:pPr>
      <w:r>
        <w:rPr>
          <w:rFonts w:hint="eastAsia" w:ascii="宋体" w:hAnsi="宋体" w:cs="宋体"/>
          <w:szCs w:val="21"/>
        </w:rPr>
        <w:t>7、是否有计算错误。</w:t>
      </w:r>
    </w:p>
    <w:p w14:paraId="4BDC789F">
      <w:pPr>
        <w:snapToGrid w:val="0"/>
        <w:spacing w:line="400" w:lineRule="exact"/>
        <w:ind w:firstLine="422" w:firstLineChars="200"/>
        <w:rPr>
          <w:rFonts w:ascii="宋体" w:hAnsi="宋体" w:cs="宋体"/>
          <w:b/>
          <w:bCs/>
          <w:szCs w:val="21"/>
        </w:rPr>
      </w:pPr>
      <w:r>
        <w:rPr>
          <w:rFonts w:hint="eastAsia" w:ascii="宋体" w:hAnsi="宋体" w:cs="宋体"/>
          <w:b/>
          <w:bCs/>
          <w:szCs w:val="21"/>
        </w:rPr>
        <w:t>（二）误差纠正</w:t>
      </w:r>
    </w:p>
    <w:p w14:paraId="47243D3E">
      <w:pPr>
        <w:snapToGrid w:val="0"/>
        <w:spacing w:line="400" w:lineRule="exact"/>
        <w:ind w:firstLine="420" w:firstLineChars="200"/>
        <w:rPr>
          <w:rFonts w:ascii="宋体" w:hAnsi="宋体" w:cs="宋体"/>
          <w:szCs w:val="21"/>
        </w:rPr>
      </w:pPr>
      <w:r>
        <w:rPr>
          <w:rFonts w:hint="eastAsia" w:ascii="宋体" w:hAnsi="宋体" w:cs="宋体"/>
          <w:bCs/>
          <w:szCs w:val="21"/>
        </w:rPr>
        <w:t>1、</w:t>
      </w:r>
      <w:r>
        <w:rPr>
          <w:rFonts w:hint="eastAsia" w:ascii="宋体" w:hAnsi="宋体" w:cs="宋体"/>
          <w:szCs w:val="21"/>
        </w:rPr>
        <w:t>如果单价汇总金额与总价金额有出入，以单价金额计算结果为准；</w:t>
      </w:r>
    </w:p>
    <w:p w14:paraId="59ACE9D7">
      <w:pPr>
        <w:snapToGrid w:val="0"/>
        <w:spacing w:line="400" w:lineRule="exact"/>
        <w:ind w:firstLine="420" w:firstLineChars="200"/>
        <w:rPr>
          <w:rFonts w:ascii="宋体" w:hAnsi="宋体" w:cs="宋体"/>
          <w:szCs w:val="21"/>
        </w:rPr>
      </w:pPr>
      <w:r>
        <w:rPr>
          <w:rFonts w:hint="eastAsia" w:ascii="宋体" w:hAnsi="宋体" w:cs="宋体"/>
          <w:szCs w:val="21"/>
        </w:rPr>
        <w:t>2、单价金额小数点有明显错位的，应以总价为准；</w:t>
      </w:r>
    </w:p>
    <w:p w14:paraId="19A3A82B">
      <w:pPr>
        <w:snapToGrid w:val="0"/>
        <w:spacing w:line="400" w:lineRule="exact"/>
        <w:ind w:firstLine="420" w:firstLineChars="200"/>
        <w:rPr>
          <w:rFonts w:ascii="宋体" w:hAnsi="宋体" w:cs="宋体"/>
          <w:szCs w:val="21"/>
        </w:rPr>
      </w:pPr>
      <w:r>
        <w:rPr>
          <w:rFonts w:hint="eastAsia" w:ascii="宋体" w:hAnsi="宋体" w:cs="宋体"/>
          <w:szCs w:val="21"/>
        </w:rPr>
        <w:t>3、若文件大写表示的数据与数字表示的有差别，以大写表示的数据为准。</w:t>
      </w:r>
    </w:p>
    <w:p w14:paraId="41B40D43">
      <w:pPr>
        <w:snapToGrid w:val="0"/>
        <w:spacing w:line="400" w:lineRule="exact"/>
        <w:ind w:firstLine="422" w:firstLineChars="200"/>
        <w:rPr>
          <w:rFonts w:ascii="宋体" w:hAnsi="宋体" w:cs="宋体"/>
          <w:b/>
          <w:szCs w:val="21"/>
        </w:rPr>
      </w:pPr>
      <w:r>
        <w:rPr>
          <w:rFonts w:hint="eastAsia" w:ascii="宋体" w:hAnsi="宋体" w:cs="宋体"/>
          <w:b/>
          <w:szCs w:val="21"/>
        </w:rPr>
        <w:t>（三）出现下列情形之一的，作无效响应处理</w:t>
      </w:r>
    </w:p>
    <w:p w14:paraId="53688D4C">
      <w:pPr>
        <w:snapToGrid w:val="0"/>
        <w:spacing w:line="400" w:lineRule="exact"/>
        <w:ind w:firstLine="570"/>
        <w:rPr>
          <w:rFonts w:ascii="宋体" w:hAnsi="宋体" w:cs="宋体"/>
          <w:szCs w:val="21"/>
        </w:rPr>
      </w:pPr>
      <w:r>
        <w:rPr>
          <w:rFonts w:hint="eastAsia" w:ascii="宋体" w:hAnsi="宋体" w:cs="宋体"/>
          <w:szCs w:val="21"/>
        </w:rPr>
        <w:t>1、未按照磋商文件规定要求签署、盖章的；</w:t>
      </w:r>
    </w:p>
    <w:p w14:paraId="4E2E022E">
      <w:pPr>
        <w:snapToGrid w:val="0"/>
        <w:spacing w:line="400" w:lineRule="exact"/>
        <w:ind w:firstLine="570"/>
        <w:rPr>
          <w:rFonts w:ascii="宋体" w:hAnsi="宋体" w:cs="宋体"/>
          <w:szCs w:val="21"/>
        </w:rPr>
      </w:pPr>
      <w:r>
        <w:rPr>
          <w:rFonts w:hint="eastAsia" w:ascii="宋体" w:hAnsi="宋体" w:cs="宋体"/>
          <w:szCs w:val="21"/>
        </w:rPr>
        <w:t>2、未完整上传响应文件电子文档的,或上传的文件打不开的；</w:t>
      </w:r>
    </w:p>
    <w:p w14:paraId="70D3AB31">
      <w:pPr>
        <w:snapToGrid w:val="0"/>
        <w:spacing w:line="400" w:lineRule="exact"/>
        <w:ind w:firstLine="570"/>
        <w:rPr>
          <w:rFonts w:ascii="宋体" w:hAnsi="宋体" w:cs="宋体"/>
          <w:szCs w:val="21"/>
        </w:rPr>
      </w:pPr>
      <w:r>
        <w:rPr>
          <w:rFonts w:hint="eastAsia" w:ascii="宋体" w:hAnsi="宋体" w:cs="宋体"/>
          <w:szCs w:val="21"/>
        </w:rPr>
        <w:t>3、不具备磋商文件中规定的资格要求的；</w:t>
      </w:r>
    </w:p>
    <w:p w14:paraId="742DF066">
      <w:pPr>
        <w:snapToGrid w:val="0"/>
        <w:spacing w:line="400" w:lineRule="exact"/>
        <w:ind w:firstLine="570"/>
        <w:rPr>
          <w:rFonts w:ascii="宋体" w:hAnsi="宋体" w:cs="宋体"/>
          <w:szCs w:val="21"/>
        </w:rPr>
      </w:pPr>
      <w:r>
        <w:rPr>
          <w:rFonts w:hint="eastAsia" w:ascii="宋体" w:hAnsi="宋体" w:cs="宋体"/>
          <w:szCs w:val="21"/>
        </w:rPr>
        <w:t>4、响应报价超出预算的；</w:t>
      </w:r>
      <w:r>
        <w:rPr>
          <w:rFonts w:hint="eastAsia" w:ascii="宋体" w:hAnsi="宋体" w:cs="宋体"/>
          <w:szCs w:val="21"/>
        </w:rPr>
        <w:tab/>
      </w:r>
    </w:p>
    <w:p w14:paraId="6E1337BC">
      <w:pPr>
        <w:snapToGrid w:val="0"/>
        <w:spacing w:line="400" w:lineRule="exact"/>
        <w:ind w:firstLine="570"/>
        <w:rPr>
          <w:rFonts w:ascii="宋体" w:hAnsi="宋体" w:cs="宋体"/>
          <w:szCs w:val="21"/>
        </w:rPr>
      </w:pPr>
      <w:r>
        <w:rPr>
          <w:rFonts w:hint="eastAsia" w:ascii="宋体" w:hAnsi="宋体" w:cs="宋体"/>
          <w:szCs w:val="21"/>
        </w:rPr>
        <w:t>5、不符合法律、法规和磋商文件中规定的其他实质性要求的。</w:t>
      </w:r>
    </w:p>
    <w:p w14:paraId="3446F7ED">
      <w:pPr>
        <w:snapToGrid w:val="0"/>
        <w:spacing w:line="400" w:lineRule="exact"/>
        <w:ind w:firstLine="570"/>
        <w:rPr>
          <w:rFonts w:ascii="宋体" w:hAnsi="宋体" w:cs="宋体"/>
          <w:b/>
          <w:szCs w:val="21"/>
        </w:rPr>
      </w:pPr>
      <w:r>
        <w:rPr>
          <w:rFonts w:hint="eastAsia" w:ascii="宋体" w:hAnsi="宋体" w:cs="宋体"/>
          <w:b/>
          <w:szCs w:val="21"/>
        </w:rPr>
        <w:t>（四）出现下列情形之一的，磋商失败</w:t>
      </w:r>
    </w:p>
    <w:p w14:paraId="3F39D168">
      <w:pPr>
        <w:snapToGrid w:val="0"/>
        <w:spacing w:line="400" w:lineRule="exact"/>
        <w:ind w:firstLine="570"/>
        <w:rPr>
          <w:rFonts w:ascii="宋体" w:hAnsi="宋体" w:cs="宋体"/>
          <w:szCs w:val="21"/>
        </w:rPr>
      </w:pPr>
      <w:r>
        <w:rPr>
          <w:rFonts w:hint="eastAsia" w:ascii="宋体" w:hAnsi="宋体" w:cs="宋体"/>
          <w:szCs w:val="21"/>
        </w:rPr>
        <w:t>1、符合条件的供应商或者对磋商文件作实质响应的供应商不足3家的（市场竞争不充分的科研项目，以及需要扶持的科技成果转化项目可以是2家）；</w:t>
      </w:r>
    </w:p>
    <w:p w14:paraId="332565A8">
      <w:pPr>
        <w:snapToGrid w:val="0"/>
        <w:spacing w:line="400" w:lineRule="exact"/>
        <w:ind w:firstLine="555"/>
        <w:rPr>
          <w:rFonts w:ascii="宋体" w:hAnsi="宋体" w:cs="宋体"/>
          <w:szCs w:val="21"/>
        </w:rPr>
      </w:pPr>
      <w:r>
        <w:rPr>
          <w:rFonts w:hint="eastAsia" w:ascii="宋体" w:hAnsi="宋体" w:cs="宋体"/>
          <w:szCs w:val="21"/>
        </w:rPr>
        <w:t>2、出现影响采购公正的违法违规行为的；</w:t>
      </w:r>
    </w:p>
    <w:p w14:paraId="39794739">
      <w:pPr>
        <w:snapToGrid w:val="0"/>
        <w:spacing w:line="400" w:lineRule="exact"/>
        <w:ind w:firstLine="555"/>
        <w:rPr>
          <w:rFonts w:ascii="宋体" w:hAnsi="宋体" w:cs="宋体"/>
          <w:szCs w:val="21"/>
        </w:rPr>
      </w:pPr>
      <w:r>
        <w:rPr>
          <w:rFonts w:hint="eastAsia" w:ascii="宋体" w:hAnsi="宋体" w:cs="宋体"/>
          <w:szCs w:val="21"/>
        </w:rPr>
        <w:t>3、供应商的报价均超过了采购预算，采购人不能支付的；</w:t>
      </w:r>
    </w:p>
    <w:p w14:paraId="255835D0">
      <w:pPr>
        <w:snapToGrid w:val="0"/>
        <w:spacing w:line="400" w:lineRule="exact"/>
        <w:ind w:firstLine="555"/>
        <w:rPr>
          <w:rFonts w:ascii="宋体" w:hAnsi="宋体" w:cs="宋体"/>
          <w:szCs w:val="21"/>
        </w:rPr>
      </w:pPr>
      <w:r>
        <w:rPr>
          <w:rFonts w:hint="eastAsia" w:ascii="宋体" w:hAnsi="宋体" w:cs="宋体"/>
          <w:szCs w:val="21"/>
        </w:rPr>
        <w:t>4、因重大变故，采购任务取消的。</w:t>
      </w:r>
    </w:p>
    <w:p w14:paraId="60651452">
      <w:pPr>
        <w:snapToGrid w:val="0"/>
        <w:spacing w:line="400" w:lineRule="exact"/>
        <w:ind w:firstLine="555"/>
        <w:rPr>
          <w:rFonts w:ascii="宋体" w:hAnsi="宋体" w:cs="宋体"/>
          <w:szCs w:val="21"/>
        </w:rPr>
      </w:pPr>
      <w:r>
        <w:rPr>
          <w:rFonts w:hint="eastAsia" w:ascii="宋体" w:hAnsi="宋体" w:cs="宋体"/>
          <w:szCs w:val="21"/>
        </w:rPr>
        <w:t xml:space="preserve"> 除资格性检查认定错误、分值汇总计算错误、分项评分超出评分标准范围、客观分评分不一致、经磋商小组一致认定评分畸高、畸低的情形外，采购人不以任何理由组织重新评审。采购人发现磋商小组未按照磋商文件规定的评审标准进行评审的，重新开展采购活动，并同时书面报告本级财政部门。</w:t>
      </w:r>
    </w:p>
    <w:p w14:paraId="4555B73D">
      <w:pPr>
        <w:pStyle w:val="43"/>
        <w:widowControl w:val="0"/>
        <w:snapToGrid w:val="0"/>
        <w:spacing w:before="0" w:beforeAutospacing="0" w:after="0" w:afterAutospacing="0" w:line="400" w:lineRule="exact"/>
        <w:ind w:firstLine="413" w:firstLineChars="196"/>
        <w:contextualSpacing/>
        <w:jc w:val="both"/>
        <w:rPr>
          <w:b/>
          <w:sz w:val="21"/>
          <w:szCs w:val="21"/>
        </w:rPr>
      </w:pPr>
      <w:r>
        <w:rPr>
          <w:rFonts w:hint="eastAsia"/>
          <w:b/>
          <w:sz w:val="21"/>
          <w:szCs w:val="21"/>
        </w:rPr>
        <w:t>四、评审标准</w:t>
      </w:r>
    </w:p>
    <w:p w14:paraId="586DB252">
      <w:pPr>
        <w:widowControl/>
        <w:spacing w:line="400" w:lineRule="exact"/>
        <w:ind w:firstLine="210" w:firstLineChars="100"/>
        <w:rPr>
          <w:rFonts w:ascii="宋体" w:hAnsi="宋体" w:cs="宋体"/>
          <w:szCs w:val="21"/>
        </w:rPr>
      </w:pPr>
      <w:r>
        <w:rPr>
          <w:rFonts w:hint="eastAsia" w:ascii="宋体" w:hAnsi="宋体" w:cs="宋体"/>
          <w:szCs w:val="21"/>
          <w:highlight w:val="yellow"/>
        </w:rPr>
        <w:t>（1）技术商务标评审，分值40分。</w:t>
      </w:r>
    </w:p>
    <w:tbl>
      <w:tblPr>
        <w:tblStyle w:val="47"/>
        <w:tblW w:w="10059" w:type="dxa"/>
        <w:jc w:val="center"/>
        <w:tblLayout w:type="fixed"/>
        <w:tblCellMar>
          <w:top w:w="0" w:type="dxa"/>
          <w:left w:w="108" w:type="dxa"/>
          <w:bottom w:w="0" w:type="dxa"/>
          <w:right w:w="108" w:type="dxa"/>
        </w:tblCellMar>
      </w:tblPr>
      <w:tblGrid>
        <w:gridCol w:w="441"/>
        <w:gridCol w:w="1417"/>
        <w:gridCol w:w="851"/>
        <w:gridCol w:w="7350"/>
      </w:tblGrid>
      <w:tr w14:paraId="5CE27CEB">
        <w:tblPrEx>
          <w:tblCellMar>
            <w:top w:w="0" w:type="dxa"/>
            <w:left w:w="108" w:type="dxa"/>
            <w:bottom w:w="0" w:type="dxa"/>
            <w:right w:w="108" w:type="dxa"/>
          </w:tblCellMar>
        </w:tblPrEx>
        <w:trPr>
          <w:trHeight w:val="338" w:hRule="atLeast"/>
          <w:jc w:val="center"/>
        </w:trPr>
        <w:tc>
          <w:tcPr>
            <w:tcW w:w="441" w:type="dxa"/>
            <w:tcBorders>
              <w:top w:val="single" w:color="000000" w:sz="4" w:space="0"/>
              <w:left w:val="single" w:color="000000" w:sz="4" w:space="0"/>
              <w:bottom w:val="single" w:color="auto" w:sz="4" w:space="0"/>
              <w:right w:val="single" w:color="000000" w:sz="4" w:space="0"/>
            </w:tcBorders>
            <w:noWrap/>
            <w:vAlign w:val="bottom"/>
          </w:tcPr>
          <w:p w14:paraId="7EC1471E">
            <w:pPr>
              <w:pStyle w:val="18"/>
              <w:spacing w:line="480" w:lineRule="exact"/>
              <w:jc w:val="left"/>
              <w:rPr>
                <w:rFonts w:ascii="宋体" w:hAnsi="宋体" w:eastAsia="宋体" w:cs="宋体"/>
                <w:sz w:val="21"/>
                <w:szCs w:val="21"/>
              </w:rPr>
            </w:pPr>
            <w:r>
              <w:rPr>
                <w:rFonts w:hint="eastAsia" w:ascii="宋体" w:hAnsi="宋体" w:eastAsia="宋体" w:cs="宋体"/>
                <w:sz w:val="21"/>
                <w:szCs w:val="21"/>
              </w:rPr>
              <w:t>序号</w:t>
            </w:r>
          </w:p>
        </w:tc>
        <w:tc>
          <w:tcPr>
            <w:tcW w:w="1417" w:type="dxa"/>
            <w:tcBorders>
              <w:top w:val="single" w:color="000000" w:sz="4" w:space="0"/>
              <w:left w:val="nil"/>
              <w:bottom w:val="single" w:color="auto" w:sz="4" w:space="0"/>
              <w:right w:val="single" w:color="000000" w:sz="4" w:space="0"/>
            </w:tcBorders>
            <w:noWrap/>
            <w:vAlign w:val="center"/>
          </w:tcPr>
          <w:p w14:paraId="41A004F6">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评分项目</w:t>
            </w:r>
          </w:p>
        </w:tc>
        <w:tc>
          <w:tcPr>
            <w:tcW w:w="851" w:type="dxa"/>
            <w:tcBorders>
              <w:top w:val="single" w:color="000000" w:sz="4" w:space="0"/>
              <w:left w:val="nil"/>
              <w:bottom w:val="single" w:color="auto" w:sz="4" w:space="0"/>
              <w:right w:val="single" w:color="000000" w:sz="4" w:space="0"/>
            </w:tcBorders>
            <w:noWrap/>
            <w:vAlign w:val="center"/>
          </w:tcPr>
          <w:p w14:paraId="6F541725">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分值</w:t>
            </w:r>
          </w:p>
        </w:tc>
        <w:tc>
          <w:tcPr>
            <w:tcW w:w="7350" w:type="dxa"/>
            <w:tcBorders>
              <w:top w:val="single" w:color="000000" w:sz="4" w:space="0"/>
              <w:left w:val="nil"/>
              <w:bottom w:val="single" w:color="auto" w:sz="4" w:space="0"/>
              <w:right w:val="single" w:color="000000" w:sz="4" w:space="0"/>
            </w:tcBorders>
            <w:noWrap/>
            <w:vAlign w:val="center"/>
          </w:tcPr>
          <w:p w14:paraId="71E79A51">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评审标准</w:t>
            </w:r>
          </w:p>
        </w:tc>
      </w:tr>
      <w:tr w14:paraId="16D4C1C1">
        <w:tblPrEx>
          <w:tblCellMar>
            <w:top w:w="0" w:type="dxa"/>
            <w:left w:w="108" w:type="dxa"/>
            <w:bottom w:w="0" w:type="dxa"/>
            <w:right w:w="108" w:type="dxa"/>
          </w:tblCellMar>
        </w:tblPrEx>
        <w:trPr>
          <w:trHeight w:val="699" w:hRule="atLeast"/>
          <w:jc w:val="center"/>
        </w:trPr>
        <w:tc>
          <w:tcPr>
            <w:tcW w:w="441" w:type="dxa"/>
            <w:tcBorders>
              <w:top w:val="single" w:color="auto" w:sz="4" w:space="0"/>
              <w:left w:val="single" w:color="auto" w:sz="4" w:space="0"/>
              <w:bottom w:val="single" w:color="auto" w:sz="4" w:space="0"/>
              <w:right w:val="single" w:color="000000" w:sz="4" w:space="0"/>
            </w:tcBorders>
            <w:noWrap/>
            <w:vAlign w:val="center"/>
          </w:tcPr>
          <w:p w14:paraId="54B42D76">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1</w:t>
            </w:r>
          </w:p>
        </w:tc>
        <w:tc>
          <w:tcPr>
            <w:tcW w:w="1417" w:type="dxa"/>
            <w:tcBorders>
              <w:top w:val="single" w:color="auto" w:sz="4" w:space="0"/>
              <w:left w:val="nil"/>
              <w:bottom w:val="single" w:color="000000" w:sz="4" w:space="0"/>
              <w:right w:val="single" w:color="000000" w:sz="4" w:space="0"/>
            </w:tcBorders>
            <w:noWrap/>
            <w:vAlign w:val="center"/>
          </w:tcPr>
          <w:p w14:paraId="0CF134A2">
            <w:pPr>
              <w:widowControl/>
              <w:jc w:val="left"/>
              <w:textAlignment w:val="center"/>
              <w:rPr>
                <w:rFonts w:ascii="宋体" w:hAnsi="宋体" w:cs="宋体"/>
                <w:kern w:val="0"/>
                <w:szCs w:val="21"/>
              </w:rPr>
            </w:pPr>
            <w:r>
              <w:rPr>
                <w:rFonts w:hint="eastAsia" w:ascii="宋体" w:hAnsi="宋体" w:cs="宋体"/>
                <w:kern w:val="0"/>
                <w:szCs w:val="21"/>
              </w:rPr>
              <w:t>项目实施方案</w:t>
            </w:r>
          </w:p>
          <w:p w14:paraId="66BFA255">
            <w:pPr>
              <w:widowControl/>
              <w:jc w:val="left"/>
              <w:textAlignment w:val="center"/>
              <w:rPr>
                <w:rFonts w:ascii="宋体" w:hAnsi="宋体" w:cs="宋体"/>
                <w:kern w:val="0"/>
                <w:szCs w:val="21"/>
              </w:rPr>
            </w:pPr>
          </w:p>
        </w:tc>
        <w:tc>
          <w:tcPr>
            <w:tcW w:w="851" w:type="dxa"/>
            <w:tcBorders>
              <w:top w:val="single" w:color="auto" w:sz="4" w:space="0"/>
              <w:left w:val="nil"/>
              <w:bottom w:val="single" w:color="000000" w:sz="4" w:space="0"/>
              <w:right w:val="single" w:color="000000" w:sz="4" w:space="0"/>
            </w:tcBorders>
            <w:noWrap/>
            <w:vAlign w:val="center"/>
          </w:tcPr>
          <w:p w14:paraId="7A7A2372">
            <w:pPr>
              <w:widowControl/>
              <w:jc w:val="center"/>
              <w:textAlignment w:val="center"/>
              <w:rPr>
                <w:rFonts w:ascii="宋体" w:hAnsi="宋体" w:cs="宋体"/>
                <w:kern w:val="0"/>
                <w:szCs w:val="21"/>
              </w:rPr>
            </w:pPr>
            <w:r>
              <w:rPr>
                <w:rFonts w:hint="eastAsia" w:ascii="宋体" w:hAnsi="宋体" w:cs="宋体"/>
                <w:kern w:val="0"/>
                <w:szCs w:val="21"/>
              </w:rPr>
              <w:t>15</w:t>
            </w:r>
          </w:p>
        </w:tc>
        <w:tc>
          <w:tcPr>
            <w:tcW w:w="7350" w:type="dxa"/>
            <w:tcBorders>
              <w:top w:val="single" w:color="auto" w:sz="4" w:space="0"/>
              <w:left w:val="nil"/>
              <w:bottom w:val="single" w:color="000000" w:sz="4" w:space="0"/>
              <w:right w:val="single" w:color="000000" w:sz="4" w:space="0"/>
            </w:tcBorders>
            <w:noWrap/>
            <w:vAlign w:val="center"/>
          </w:tcPr>
          <w:p w14:paraId="63B9DB0D">
            <w:pPr>
              <w:widowControl/>
              <w:jc w:val="left"/>
              <w:textAlignment w:val="center"/>
              <w:rPr>
                <w:rFonts w:ascii="宋体" w:hAnsi="宋体" w:cs="宋体"/>
                <w:kern w:val="0"/>
                <w:szCs w:val="21"/>
              </w:rPr>
            </w:pPr>
            <w:r>
              <w:rPr>
                <w:rFonts w:hint="eastAsia" w:ascii="宋体" w:hAnsi="宋体" w:cs="宋体"/>
                <w:kern w:val="0"/>
                <w:szCs w:val="21"/>
              </w:rPr>
              <w:t>根据实施方案（包含组织方案、服务方案及措施、工期与供货总体 进度安排、培训等）进行综合评分。</w:t>
            </w:r>
          </w:p>
          <w:p w14:paraId="2E52EBCE">
            <w:pPr>
              <w:widowControl/>
              <w:jc w:val="left"/>
              <w:textAlignment w:val="center"/>
              <w:rPr>
                <w:rFonts w:ascii="宋体" w:hAnsi="宋体" w:cs="宋体"/>
                <w:kern w:val="0"/>
                <w:szCs w:val="21"/>
              </w:rPr>
            </w:pPr>
            <w:r>
              <w:rPr>
                <w:rFonts w:hint="eastAsia" w:ascii="宋体" w:hAnsi="宋体" w:cs="宋体"/>
                <w:kern w:val="0"/>
                <w:szCs w:val="21"/>
              </w:rPr>
              <w:t>实施方案完整详细、流程规范、严谨合理、阐述全面得 11-15 分；</w:t>
            </w:r>
          </w:p>
          <w:p w14:paraId="61A61E1C">
            <w:pPr>
              <w:widowControl/>
              <w:jc w:val="left"/>
              <w:textAlignment w:val="center"/>
              <w:rPr>
                <w:rFonts w:ascii="宋体" w:hAnsi="宋体" w:cs="宋体"/>
                <w:kern w:val="0"/>
                <w:szCs w:val="21"/>
              </w:rPr>
            </w:pPr>
            <w:r>
              <w:rPr>
                <w:rFonts w:hint="eastAsia" w:ascii="宋体" w:hAnsi="宋体" w:cs="宋体"/>
                <w:kern w:val="0"/>
                <w:szCs w:val="21"/>
              </w:rPr>
              <w:t>实施方案比较完整详细、流程比较规范、比较严谨合理、阐述无明 显缺陷得 6-10分；</w:t>
            </w:r>
          </w:p>
          <w:p w14:paraId="59C9451A">
            <w:pPr>
              <w:widowControl/>
              <w:jc w:val="left"/>
              <w:textAlignment w:val="center"/>
              <w:rPr>
                <w:rFonts w:ascii="宋体" w:hAnsi="宋体" w:cs="宋体"/>
                <w:kern w:val="0"/>
                <w:szCs w:val="21"/>
              </w:rPr>
            </w:pPr>
            <w:r>
              <w:rPr>
                <w:rFonts w:hint="eastAsia" w:ascii="宋体" w:hAnsi="宋体" w:cs="宋体"/>
                <w:kern w:val="0"/>
                <w:szCs w:val="21"/>
              </w:rPr>
              <w:t>实施方案内容空泛，阐述存在明显缺陷得 1-5 分；</w:t>
            </w:r>
          </w:p>
          <w:p w14:paraId="62416A7B">
            <w:pPr>
              <w:widowControl/>
              <w:jc w:val="left"/>
              <w:textAlignment w:val="center"/>
              <w:rPr>
                <w:rFonts w:ascii="宋体" w:hAnsi="宋体" w:cs="宋体"/>
                <w:kern w:val="0"/>
                <w:szCs w:val="21"/>
              </w:rPr>
            </w:pPr>
            <w:r>
              <w:rPr>
                <w:rFonts w:hint="eastAsia" w:ascii="宋体" w:hAnsi="宋体" w:cs="宋体"/>
                <w:kern w:val="0"/>
                <w:szCs w:val="21"/>
              </w:rPr>
              <w:t>未提供实施方案不得分。</w:t>
            </w:r>
          </w:p>
        </w:tc>
      </w:tr>
      <w:tr w14:paraId="6FCB2C8B">
        <w:tblPrEx>
          <w:tblCellMar>
            <w:top w:w="0" w:type="dxa"/>
            <w:left w:w="108" w:type="dxa"/>
            <w:bottom w:w="0" w:type="dxa"/>
            <w:right w:w="108" w:type="dxa"/>
          </w:tblCellMar>
        </w:tblPrEx>
        <w:trPr>
          <w:trHeight w:val="1180" w:hRule="atLeast"/>
          <w:jc w:val="center"/>
        </w:trPr>
        <w:tc>
          <w:tcPr>
            <w:tcW w:w="441" w:type="dxa"/>
            <w:tcBorders>
              <w:top w:val="single" w:color="000000" w:sz="4" w:space="0"/>
              <w:left w:val="single" w:color="000000" w:sz="4" w:space="0"/>
              <w:right w:val="single" w:color="000000" w:sz="4" w:space="0"/>
            </w:tcBorders>
            <w:noWrap/>
            <w:vAlign w:val="center"/>
          </w:tcPr>
          <w:p w14:paraId="47638F3C">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2</w:t>
            </w:r>
          </w:p>
        </w:tc>
        <w:tc>
          <w:tcPr>
            <w:tcW w:w="1417" w:type="dxa"/>
            <w:tcBorders>
              <w:top w:val="single" w:color="000000" w:sz="4" w:space="0"/>
              <w:left w:val="nil"/>
              <w:right w:val="single" w:color="000000" w:sz="4" w:space="0"/>
            </w:tcBorders>
            <w:noWrap/>
            <w:vAlign w:val="center"/>
          </w:tcPr>
          <w:p w14:paraId="7C454CAA">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售后服务</w:t>
            </w:r>
          </w:p>
          <w:p w14:paraId="7ADA6CFF">
            <w:pPr>
              <w:pStyle w:val="18"/>
              <w:spacing w:line="480" w:lineRule="exact"/>
              <w:jc w:val="left"/>
              <w:rPr>
                <w:rFonts w:ascii="宋体" w:hAnsi="宋体" w:eastAsia="宋体" w:cs="宋体"/>
                <w:kern w:val="0"/>
                <w:sz w:val="21"/>
                <w:szCs w:val="21"/>
              </w:rPr>
            </w:pPr>
          </w:p>
        </w:tc>
        <w:tc>
          <w:tcPr>
            <w:tcW w:w="851" w:type="dxa"/>
            <w:tcBorders>
              <w:top w:val="single" w:color="000000" w:sz="4" w:space="0"/>
              <w:left w:val="nil"/>
              <w:right w:val="single" w:color="000000" w:sz="4" w:space="0"/>
            </w:tcBorders>
            <w:noWrap/>
            <w:vAlign w:val="center"/>
          </w:tcPr>
          <w:p w14:paraId="7F14BBBE">
            <w:pPr>
              <w:pStyle w:val="18"/>
              <w:spacing w:line="480" w:lineRule="exact"/>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7350" w:type="dxa"/>
            <w:tcBorders>
              <w:top w:val="single" w:color="000000" w:sz="4" w:space="0"/>
              <w:left w:val="nil"/>
              <w:bottom w:val="single" w:color="000000" w:sz="4" w:space="0"/>
              <w:right w:val="single" w:color="000000" w:sz="4" w:space="0"/>
            </w:tcBorders>
            <w:noWrap/>
            <w:vAlign w:val="center"/>
          </w:tcPr>
          <w:p w14:paraId="62B8CBBA">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根据售后保障方案（包含质保期内售后措施、服务响应时间、人员 安排、售后服务承诺、故障处理措施等）进行综合评分。</w:t>
            </w:r>
          </w:p>
          <w:p w14:paraId="4920AA00">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售后保障方案完整详细、流程规范、严谨合理，有相应的服务承诺， 有专门的技术服务团队的得 11-15 分；</w:t>
            </w:r>
          </w:p>
          <w:p w14:paraId="475C7BC4">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售后维护方案内容完整，具有售后服务体系，服务内容较为全面， 有相应的服务承诺、技术服务团队的得 6-10 分；</w:t>
            </w:r>
          </w:p>
          <w:p w14:paraId="5B8261A6">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售后维护方案内容空泛，缺乏售后服务体系，服务内容略为完整， 有服务承诺、技术服务团队的得 1-5 分；</w:t>
            </w:r>
          </w:p>
          <w:p w14:paraId="7A0764F9">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未提供售后保障方案不得分。</w:t>
            </w:r>
          </w:p>
        </w:tc>
      </w:tr>
      <w:tr w14:paraId="17DD4774">
        <w:tblPrEx>
          <w:tblCellMar>
            <w:top w:w="0" w:type="dxa"/>
            <w:left w:w="108" w:type="dxa"/>
            <w:bottom w:w="0" w:type="dxa"/>
            <w:right w:w="108" w:type="dxa"/>
          </w:tblCellMar>
        </w:tblPrEx>
        <w:trPr>
          <w:trHeight w:val="327" w:hRule="atLeast"/>
          <w:jc w:val="center"/>
        </w:trPr>
        <w:tc>
          <w:tcPr>
            <w:tcW w:w="441" w:type="dxa"/>
            <w:tcBorders>
              <w:top w:val="single" w:color="000000" w:sz="4" w:space="0"/>
              <w:left w:val="single" w:color="000000" w:sz="4" w:space="0"/>
              <w:bottom w:val="single" w:color="000000" w:sz="4" w:space="0"/>
              <w:right w:val="single" w:color="000000" w:sz="4" w:space="0"/>
            </w:tcBorders>
            <w:noWrap/>
            <w:vAlign w:val="center"/>
          </w:tcPr>
          <w:p w14:paraId="3F458002">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3</w:t>
            </w:r>
          </w:p>
        </w:tc>
        <w:tc>
          <w:tcPr>
            <w:tcW w:w="1417" w:type="dxa"/>
            <w:tcBorders>
              <w:top w:val="single" w:color="000000" w:sz="4" w:space="0"/>
              <w:left w:val="nil"/>
              <w:bottom w:val="single" w:color="000000" w:sz="4" w:space="0"/>
              <w:right w:val="single" w:color="000000" w:sz="4" w:space="0"/>
            </w:tcBorders>
            <w:noWrap/>
            <w:vAlign w:val="center"/>
          </w:tcPr>
          <w:p w14:paraId="5D91EF57">
            <w:pPr>
              <w:widowControl/>
              <w:jc w:val="left"/>
              <w:textAlignment w:val="center"/>
              <w:rPr>
                <w:rFonts w:ascii="宋体" w:hAnsi="宋体" w:cs="宋体"/>
                <w:kern w:val="0"/>
                <w:szCs w:val="21"/>
              </w:rPr>
            </w:pPr>
            <w:r>
              <w:rPr>
                <w:rFonts w:hint="eastAsia" w:ascii="宋体" w:hAnsi="宋体" w:cs="宋体"/>
                <w:kern w:val="0"/>
                <w:szCs w:val="21"/>
              </w:rPr>
              <w:t>业绩</w:t>
            </w:r>
          </w:p>
        </w:tc>
        <w:tc>
          <w:tcPr>
            <w:tcW w:w="851" w:type="dxa"/>
            <w:tcBorders>
              <w:top w:val="single" w:color="000000" w:sz="4" w:space="0"/>
              <w:left w:val="nil"/>
              <w:bottom w:val="single" w:color="000000" w:sz="4" w:space="0"/>
              <w:right w:val="single" w:color="000000" w:sz="4" w:space="0"/>
            </w:tcBorders>
            <w:noWrap/>
            <w:vAlign w:val="center"/>
          </w:tcPr>
          <w:p w14:paraId="78405601">
            <w:pPr>
              <w:widowControl/>
              <w:jc w:val="center"/>
              <w:textAlignment w:val="center"/>
              <w:rPr>
                <w:rFonts w:ascii="宋体" w:hAnsi="宋体" w:cs="宋体"/>
                <w:kern w:val="0"/>
                <w:szCs w:val="21"/>
              </w:rPr>
            </w:pPr>
            <w:r>
              <w:rPr>
                <w:rFonts w:hint="eastAsia" w:ascii="宋体" w:hAnsi="宋体" w:cs="宋体"/>
                <w:kern w:val="0"/>
                <w:szCs w:val="21"/>
              </w:rPr>
              <w:t>10</w:t>
            </w:r>
          </w:p>
        </w:tc>
        <w:tc>
          <w:tcPr>
            <w:tcW w:w="7350" w:type="dxa"/>
            <w:tcBorders>
              <w:top w:val="single" w:color="000000" w:sz="4" w:space="0"/>
              <w:left w:val="nil"/>
              <w:bottom w:val="single" w:color="000000" w:sz="4" w:space="0"/>
              <w:right w:val="single" w:color="000000" w:sz="4" w:space="0"/>
            </w:tcBorders>
            <w:noWrap/>
            <w:vAlign w:val="center"/>
          </w:tcPr>
          <w:p w14:paraId="2E951BD4">
            <w:pPr>
              <w:widowControl/>
              <w:jc w:val="left"/>
              <w:textAlignment w:val="center"/>
              <w:rPr>
                <w:rFonts w:ascii="宋体" w:hAnsi="宋体" w:cs="宋体"/>
                <w:kern w:val="0"/>
                <w:szCs w:val="21"/>
              </w:rPr>
            </w:pPr>
            <w:r>
              <w:rPr>
                <w:rFonts w:hint="eastAsia" w:ascii="宋体" w:hAnsi="宋体" w:cs="宋体"/>
                <w:kern w:val="0"/>
                <w:szCs w:val="21"/>
              </w:rPr>
              <w:t>投标人提供 2022 年 1 月 1  日至本项目招标公告发布日期为止（以 合同签订时间为准）的类似项目业绩，每提供一个得 2 分，最多得 10分，未提供或不符合要求的不得分。</w:t>
            </w:r>
          </w:p>
          <w:p w14:paraId="0684E8BE">
            <w:pPr>
              <w:widowControl/>
              <w:jc w:val="left"/>
              <w:textAlignment w:val="center"/>
              <w:rPr>
                <w:rFonts w:ascii="宋体" w:hAnsi="宋体" w:cs="宋体"/>
                <w:kern w:val="0"/>
                <w:szCs w:val="21"/>
              </w:rPr>
            </w:pPr>
            <w:r>
              <w:rPr>
                <w:rFonts w:hint="eastAsia" w:ascii="宋体" w:hAnsi="宋体" w:cs="宋体"/>
                <w:kern w:val="0"/>
                <w:szCs w:val="21"/>
              </w:rPr>
              <w:t>注：提供投标人与用户签订的合同，否则不得分。</w:t>
            </w:r>
          </w:p>
        </w:tc>
      </w:tr>
    </w:tbl>
    <w:p w14:paraId="05CCB826">
      <w:pPr>
        <w:widowControl/>
        <w:adjustRightInd w:val="0"/>
        <w:snapToGrid w:val="0"/>
        <w:spacing w:line="400" w:lineRule="exact"/>
        <w:rPr>
          <w:rFonts w:ascii="宋体" w:hAnsi="宋体" w:cs="宋体"/>
          <w:bCs/>
          <w:sz w:val="22"/>
          <w:szCs w:val="21"/>
        </w:rPr>
      </w:pPr>
      <w:r>
        <w:rPr>
          <w:rFonts w:hint="eastAsia" w:ascii="宋体" w:hAnsi="宋体" w:cs="宋体"/>
          <w:bCs/>
          <w:sz w:val="22"/>
          <w:szCs w:val="21"/>
        </w:rPr>
        <w:t>（2）价格标评审标准（分值60分）</w:t>
      </w:r>
    </w:p>
    <w:p w14:paraId="0F4A783C">
      <w:pPr>
        <w:widowControl/>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本次项目最高限价为</w:t>
      </w:r>
      <w:r>
        <w:rPr>
          <w:rFonts w:hint="eastAsia" w:ascii="宋体" w:hAnsi="宋体" w:cs="宋体"/>
          <w:bCs/>
          <w:szCs w:val="21"/>
          <w:highlight w:val="yellow"/>
        </w:rPr>
        <w:t>人民币陆万元</w:t>
      </w:r>
      <w:r>
        <w:rPr>
          <w:rFonts w:hint="eastAsia" w:ascii="宋体" w:hAnsi="宋体" w:cs="宋体"/>
          <w:bCs/>
          <w:szCs w:val="21"/>
        </w:rPr>
        <w:t>，超过限价作废标处理。</w:t>
      </w:r>
    </w:p>
    <w:p w14:paraId="37F63052">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综合评分法中的价格分统一采用低价优先法计算，即满足磋商文件要求且最低的供应商的价格为磋商基准价，其价格分为满分。其他供应商的价格分统一按照下列公式计算：</w:t>
      </w:r>
    </w:p>
    <w:p w14:paraId="6DC68201">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磋商报价）×价格权值×</w:t>
      </w:r>
      <w:r>
        <w:rPr>
          <w:rFonts w:ascii="宋体" w:hAnsi="宋体" w:cs="宋体"/>
          <w:szCs w:val="21"/>
        </w:rPr>
        <w:t>100</w:t>
      </w:r>
    </w:p>
    <w:p w14:paraId="2B0D32D6">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项目评审过程中，不得去掉最后报价中的最高报价和最低报价。</w:t>
      </w:r>
    </w:p>
    <w:p w14:paraId="59E43852">
      <w:pPr>
        <w:widowControl/>
        <w:spacing w:line="400" w:lineRule="exact"/>
        <w:ind w:firstLine="422" w:firstLineChars="200"/>
        <w:jc w:val="left"/>
        <w:rPr>
          <w:rFonts w:ascii="宋体" w:hAnsi="宋体" w:cs="宋体"/>
          <w:bCs/>
          <w:szCs w:val="21"/>
        </w:rPr>
      </w:pPr>
      <w:r>
        <w:rPr>
          <w:rFonts w:hint="eastAsia" w:ascii="宋体" w:hAnsi="宋体" w:cs="宋体"/>
          <w:b/>
          <w:bCs/>
          <w:szCs w:val="21"/>
        </w:rPr>
        <w:t>五、</w:t>
      </w:r>
      <w:r>
        <w:rPr>
          <w:rFonts w:ascii="宋体" w:hAnsi="宋体" w:cs="宋体"/>
          <w:b/>
          <w:bCs/>
          <w:szCs w:val="21"/>
        </w:rPr>
        <w:t>磋商小组应当根据综合评分情况</w:t>
      </w:r>
      <w:r>
        <w:rPr>
          <w:rFonts w:ascii="宋体" w:hAnsi="宋体" w:cs="宋体"/>
          <w:bCs/>
          <w:szCs w:val="21"/>
        </w:rPr>
        <w:t>，按照评审得分</w:t>
      </w:r>
      <w:r>
        <w:rPr>
          <w:rFonts w:hint="eastAsia" w:ascii="宋体" w:hAnsi="宋体" w:cs="宋体"/>
          <w:bCs/>
          <w:szCs w:val="21"/>
        </w:rPr>
        <w:t>（技术商务标+价格标）</w:t>
      </w:r>
      <w:r>
        <w:rPr>
          <w:rFonts w:ascii="宋体" w:hAnsi="宋体" w:cs="宋体"/>
          <w:bCs/>
          <w:szCs w:val="21"/>
        </w:rPr>
        <w:t>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w:t>
      </w:r>
      <w:r>
        <w:rPr>
          <w:rFonts w:hint="eastAsia" w:ascii="宋体" w:hAnsi="宋体" w:cs="宋体"/>
          <w:bCs/>
          <w:szCs w:val="21"/>
        </w:rPr>
        <w:t>商务</w:t>
      </w:r>
      <w:r>
        <w:rPr>
          <w:rFonts w:ascii="宋体" w:hAnsi="宋体" w:cs="宋体"/>
          <w:bCs/>
          <w:szCs w:val="21"/>
        </w:rPr>
        <w:t>指标优劣顺序推荐。</w:t>
      </w:r>
    </w:p>
    <w:p w14:paraId="2D41E80B">
      <w:pPr>
        <w:pStyle w:val="43"/>
        <w:widowControl w:val="0"/>
        <w:adjustRightInd w:val="0"/>
        <w:snapToGrid w:val="0"/>
        <w:spacing w:before="0" w:beforeAutospacing="0" w:after="0" w:afterAutospacing="0" w:line="400" w:lineRule="exact"/>
        <w:ind w:firstLine="422" w:firstLineChars="200"/>
        <w:jc w:val="both"/>
        <w:textAlignment w:val="baseline"/>
        <w:rPr>
          <w:b/>
          <w:kern w:val="2"/>
          <w:sz w:val="21"/>
          <w:szCs w:val="21"/>
        </w:rPr>
      </w:pPr>
      <w:r>
        <w:rPr>
          <w:rFonts w:hint="eastAsia"/>
          <w:b/>
          <w:kern w:val="2"/>
          <w:sz w:val="21"/>
          <w:szCs w:val="21"/>
        </w:rPr>
        <w:t>六、政府采购政策功能落实</w:t>
      </w:r>
    </w:p>
    <w:p w14:paraId="30CEDFAE">
      <w:pPr>
        <w:snapToGrid w:val="0"/>
        <w:spacing w:line="400" w:lineRule="exact"/>
        <w:ind w:firstLine="420" w:firstLineChars="200"/>
        <w:rPr>
          <w:rFonts w:ascii="宋体" w:hAnsi="宋体" w:cs="宋体"/>
          <w:szCs w:val="21"/>
        </w:rPr>
      </w:pPr>
      <w:r>
        <w:rPr>
          <w:rFonts w:hint="eastAsia" w:ascii="宋体" w:hAnsi="宋体" w:cs="宋体"/>
          <w:szCs w:val="21"/>
        </w:rPr>
        <w:t>（1）小微型企业价格扣除</w:t>
      </w:r>
    </w:p>
    <w:p w14:paraId="7A3D068F">
      <w:pPr>
        <w:snapToGrid w:val="0"/>
        <w:spacing w:line="400" w:lineRule="exact"/>
        <w:ind w:firstLine="420" w:firstLineChars="200"/>
        <w:rPr>
          <w:rFonts w:ascii="宋体" w:hAnsi="宋体" w:cs="宋体"/>
          <w:szCs w:val="21"/>
        </w:rPr>
      </w:pPr>
      <w:r>
        <w:rPr>
          <w:rFonts w:hint="eastAsia" w:ascii="宋体" w:hAnsi="宋体" w:cs="宋体"/>
          <w:szCs w:val="21"/>
        </w:rPr>
        <w:t>①本项目对小型和微型企业产品给予10%的扣除价格，用扣除后的价格参与评审。</w:t>
      </w:r>
    </w:p>
    <w:p w14:paraId="2FC6C2E9">
      <w:pPr>
        <w:snapToGrid w:val="0"/>
        <w:spacing w:line="400" w:lineRule="exact"/>
        <w:ind w:firstLine="420" w:firstLineChars="200"/>
        <w:rPr>
          <w:rFonts w:ascii="宋体" w:hAnsi="宋体" w:cs="宋体"/>
          <w:szCs w:val="21"/>
        </w:rPr>
      </w:pPr>
      <w:r>
        <w:rPr>
          <w:rFonts w:hint="eastAsia" w:ascii="宋体" w:hAnsi="宋体" w:cs="宋体"/>
          <w:szCs w:val="21"/>
        </w:rPr>
        <w:t>②供应商需按照采购文件的要求提供相应的《中小企业声明函》。</w:t>
      </w:r>
    </w:p>
    <w:p w14:paraId="05312515">
      <w:pPr>
        <w:snapToGrid w:val="0"/>
        <w:spacing w:line="400" w:lineRule="exact"/>
        <w:ind w:firstLine="420" w:firstLineChars="200"/>
        <w:rPr>
          <w:rFonts w:ascii="宋体" w:hAnsi="宋体" w:cs="宋体"/>
          <w:szCs w:val="21"/>
        </w:rPr>
      </w:pPr>
      <w:r>
        <w:rPr>
          <w:rFonts w:hint="eastAsia" w:ascii="宋体" w:hAnsi="宋体" w:cs="宋体"/>
          <w:szCs w:val="21"/>
        </w:rPr>
        <w:t>③企业标准请参照《关于印发中小企业划型标准规定的通知》（工信部联企业[2011]300号）文件规定自行填写。</w:t>
      </w:r>
    </w:p>
    <w:p w14:paraId="165C77E1">
      <w:pPr>
        <w:snapToGrid w:val="0"/>
        <w:spacing w:line="400" w:lineRule="exact"/>
        <w:ind w:firstLine="420" w:firstLineChars="200"/>
        <w:rPr>
          <w:rFonts w:ascii="宋体" w:hAnsi="宋体" w:cs="宋体"/>
          <w:szCs w:val="21"/>
        </w:rPr>
      </w:pPr>
      <w:r>
        <w:rPr>
          <w:rFonts w:hint="eastAsia" w:ascii="宋体" w:hAnsi="宋体" w:cs="宋体"/>
          <w:szCs w:val="21"/>
        </w:rPr>
        <w:t>（2）残疾人福利单位价格扣除</w:t>
      </w:r>
    </w:p>
    <w:p w14:paraId="74C26EC3">
      <w:pPr>
        <w:snapToGrid w:val="0"/>
        <w:spacing w:line="400" w:lineRule="exact"/>
        <w:ind w:firstLine="420" w:firstLineChars="200"/>
        <w:rPr>
          <w:rFonts w:ascii="宋体" w:hAnsi="宋体" w:cs="宋体"/>
          <w:szCs w:val="21"/>
        </w:rPr>
      </w:pPr>
      <w:r>
        <w:rPr>
          <w:rFonts w:hint="eastAsia" w:ascii="宋体" w:hAnsi="宋体" w:cs="宋体"/>
          <w:szCs w:val="21"/>
        </w:rPr>
        <w:t>①本项目对残疾人福利性单位视同小型、微型企业，给予10%的价格扣除，用扣除后的价格参与评审。</w:t>
      </w:r>
    </w:p>
    <w:p w14:paraId="1001FE36">
      <w:pPr>
        <w:snapToGrid w:val="0"/>
        <w:spacing w:line="400" w:lineRule="exact"/>
        <w:ind w:firstLine="420" w:firstLineChars="200"/>
        <w:rPr>
          <w:rFonts w:ascii="宋体" w:hAnsi="宋体" w:cs="宋体"/>
          <w:szCs w:val="21"/>
        </w:rPr>
      </w:pPr>
      <w:r>
        <w:rPr>
          <w:rFonts w:hint="eastAsia" w:ascii="宋体" w:hAnsi="宋体" w:cs="宋体"/>
          <w:szCs w:val="21"/>
        </w:rPr>
        <w:t>②残疾人福利单位需按照采购文件的要求提供《残疾人福利性单位声明函》。</w:t>
      </w:r>
    </w:p>
    <w:p w14:paraId="2F780D9A">
      <w:pPr>
        <w:snapToGrid w:val="0"/>
        <w:spacing w:line="400" w:lineRule="exact"/>
        <w:ind w:firstLine="420" w:firstLineChars="200"/>
        <w:rPr>
          <w:rFonts w:ascii="宋体" w:hAnsi="宋体" w:cs="宋体"/>
          <w:szCs w:val="21"/>
        </w:rPr>
      </w:pPr>
      <w:r>
        <w:rPr>
          <w:rFonts w:hint="eastAsia" w:ascii="宋体" w:hAnsi="宋体" w:cs="宋体"/>
          <w:szCs w:val="21"/>
        </w:rPr>
        <w:t>③残疾人福利单位标准请参照《关于促进残疾人就业政府采购政策的通知》（财库〔2017〕141号）。</w:t>
      </w:r>
    </w:p>
    <w:p w14:paraId="1B7F468C">
      <w:pPr>
        <w:snapToGrid w:val="0"/>
        <w:spacing w:line="400" w:lineRule="exact"/>
        <w:ind w:firstLine="420" w:firstLineChars="200"/>
        <w:rPr>
          <w:rFonts w:ascii="宋体" w:hAnsi="宋体" w:cs="宋体"/>
          <w:szCs w:val="21"/>
        </w:rPr>
      </w:pPr>
      <w:r>
        <w:rPr>
          <w:rFonts w:hint="eastAsia" w:ascii="宋体" w:hAnsi="宋体" w:cs="宋体"/>
          <w:szCs w:val="21"/>
        </w:rPr>
        <w:t>（3）监狱和戒毒企业价格扣除</w:t>
      </w:r>
    </w:p>
    <w:p w14:paraId="00BD5E82">
      <w:pPr>
        <w:snapToGrid w:val="0"/>
        <w:spacing w:line="400" w:lineRule="exact"/>
        <w:ind w:firstLine="420" w:firstLineChars="200"/>
        <w:rPr>
          <w:rFonts w:ascii="宋体" w:hAnsi="宋体" w:cs="宋体"/>
          <w:szCs w:val="21"/>
        </w:rPr>
      </w:pPr>
      <w:r>
        <w:rPr>
          <w:rFonts w:hint="eastAsia" w:ascii="宋体" w:hAnsi="宋体" w:cs="宋体"/>
          <w:szCs w:val="21"/>
        </w:rPr>
        <w:t>①本项目对监狱和戒毒企业（简称监狱企业）视同小型、微型企业，给予10%的价格扣除，用扣除后的价格参与评审。</w:t>
      </w:r>
    </w:p>
    <w:p w14:paraId="16BBAD90">
      <w:pPr>
        <w:snapToGrid w:val="0"/>
        <w:spacing w:line="400" w:lineRule="exact"/>
        <w:ind w:firstLine="420" w:firstLineChars="200"/>
        <w:rPr>
          <w:rFonts w:ascii="宋体" w:hAnsi="宋体" w:cs="宋体"/>
          <w:szCs w:val="21"/>
        </w:rPr>
      </w:pPr>
      <w:r>
        <w:rPr>
          <w:rFonts w:hint="eastAsia" w:ascii="宋体" w:hAnsi="宋体" w:cs="宋体"/>
          <w:szCs w:val="21"/>
        </w:rPr>
        <w:t>②监狱企业参加政府采购活动时，需提供由省级以上监狱管理局、戒毒管理局(含新疆生产建设兵团)出具的属于监狱企业的证明文件。供应商如不提供上述证明文件，价格将不做相应扣除。</w:t>
      </w:r>
    </w:p>
    <w:p w14:paraId="0CE6CE93">
      <w:pPr>
        <w:snapToGrid w:val="0"/>
        <w:spacing w:line="400" w:lineRule="exact"/>
        <w:ind w:firstLine="420" w:firstLineChars="200"/>
        <w:rPr>
          <w:rFonts w:ascii="宋体" w:hAnsi="宋体" w:cs="宋体"/>
          <w:szCs w:val="21"/>
        </w:rPr>
      </w:pPr>
      <w:r>
        <w:rPr>
          <w:rFonts w:hint="eastAsia" w:ascii="宋体" w:hAnsi="宋体" w:cs="宋体"/>
          <w:szCs w:val="21"/>
        </w:rPr>
        <w:t>③监狱企业标准请参照《关于政府采购支持监狱企业发展有关问题的通知》（财库[2014]68号）。</w:t>
      </w:r>
    </w:p>
    <w:p w14:paraId="31364DD2">
      <w:pPr>
        <w:snapToGrid w:val="0"/>
        <w:spacing w:line="400" w:lineRule="exact"/>
        <w:ind w:firstLine="420" w:firstLineChars="200"/>
        <w:rPr>
          <w:rFonts w:ascii="宋体" w:hAnsi="宋体" w:cs="宋体"/>
          <w:szCs w:val="21"/>
        </w:rPr>
      </w:pPr>
      <w:r>
        <w:rPr>
          <w:rFonts w:hint="eastAsia" w:ascii="宋体" w:hAnsi="宋体" w:cs="宋体"/>
          <w:szCs w:val="21"/>
        </w:rPr>
        <w:t>（4）残疾人福利单位、监狱企业属于小型、微型企业的，不重复享受政策。</w:t>
      </w:r>
    </w:p>
    <w:p w14:paraId="2658DA2D">
      <w:pPr>
        <w:snapToGrid w:val="0"/>
        <w:spacing w:line="400" w:lineRule="exact"/>
        <w:ind w:firstLine="420" w:firstLineChars="200"/>
        <w:rPr>
          <w:rFonts w:ascii="宋体" w:hAnsi="宋体" w:cs="宋体"/>
          <w:szCs w:val="21"/>
        </w:rPr>
      </w:pPr>
      <w:r>
        <w:rPr>
          <w:rFonts w:hint="eastAsia" w:ascii="宋体" w:hAnsi="宋体" w:cs="宋体"/>
          <w:szCs w:val="21"/>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4BA9E17E">
      <w:pPr>
        <w:snapToGrid w:val="0"/>
        <w:spacing w:line="400" w:lineRule="exact"/>
        <w:ind w:firstLine="420" w:firstLineChars="200"/>
        <w:rPr>
          <w:rFonts w:ascii="宋体" w:hAnsi="宋体" w:cs="宋体"/>
          <w:szCs w:val="21"/>
        </w:rPr>
      </w:pPr>
      <w:r>
        <w:rPr>
          <w:rFonts w:hint="eastAsia" w:ascii="宋体" w:hAnsi="宋体" w:cs="宋体"/>
          <w:szCs w:val="21"/>
        </w:rPr>
        <w:t>（6）联合体各方均为小型、微型企业（残疾人福利单位、监狱企业）的，联合体享受10%价格扣除，用扣除后的价格参与评审。</w:t>
      </w:r>
    </w:p>
    <w:p w14:paraId="00B5CE1C">
      <w:pPr>
        <w:snapToGrid w:val="0"/>
        <w:spacing w:line="400" w:lineRule="exact"/>
        <w:ind w:firstLine="420" w:firstLineChars="200"/>
        <w:rPr>
          <w:rFonts w:ascii="宋体" w:hAnsi="宋体" w:cs="宋体"/>
          <w:szCs w:val="21"/>
        </w:rPr>
      </w:pPr>
      <w:r>
        <w:rPr>
          <w:rFonts w:hint="eastAsia" w:ascii="宋体" w:hAnsi="宋体" w:cs="宋体"/>
          <w:szCs w:val="21"/>
        </w:rPr>
        <w:t>（7）根据《江苏省政府采购供应商监督管理暂行办法》的规定，诚信记录分每减10分，给予报价的2%增加评审价格，增加最多不超过6%。</w:t>
      </w:r>
    </w:p>
    <w:p w14:paraId="1151749A">
      <w:pPr>
        <w:snapToGrid w:val="0"/>
        <w:spacing w:line="400" w:lineRule="exact"/>
        <w:ind w:firstLine="420" w:firstLineChars="200"/>
        <w:rPr>
          <w:rFonts w:ascii="宋体" w:hAnsi="宋体" w:cs="宋体"/>
          <w:szCs w:val="21"/>
        </w:rPr>
      </w:pPr>
      <w:r>
        <w:rPr>
          <w:rFonts w:hint="eastAsia" w:ascii="宋体" w:hAnsi="宋体" w:cs="宋体"/>
          <w:szCs w:val="21"/>
        </w:rPr>
        <w:t>（8）根据《江苏省政府采购信用管理暂行办法》的规定，供应商信用评价结果为三星的给予1%的价格加成，评价结果为二星的给予2%的价格加成，评价结果为一星的给予3%的价格加成。</w:t>
      </w:r>
    </w:p>
    <w:p w14:paraId="7CBE449A">
      <w:pPr>
        <w:snapToGrid w:val="0"/>
        <w:spacing w:line="400" w:lineRule="exact"/>
        <w:ind w:firstLine="422" w:firstLineChars="200"/>
        <w:rPr>
          <w:rFonts w:ascii="宋体" w:hAnsi="宋体" w:cs="宋体"/>
          <w:b/>
          <w:szCs w:val="21"/>
        </w:rPr>
      </w:pPr>
      <w:r>
        <w:rPr>
          <w:rFonts w:hint="eastAsia" w:ascii="宋体" w:hAnsi="宋体" w:cs="宋体"/>
          <w:b/>
          <w:szCs w:val="21"/>
        </w:rPr>
        <w:t>七、变更为其他方式采购的情形</w:t>
      </w:r>
    </w:p>
    <w:p w14:paraId="5821BD71">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提交响应文件截止时间时参加磋商的供应商不足3家的，及磋商中出现符合专业条件的供应商或对磋商文件作实质响应的供应商不足3家（规定可以2家的情形除外），除采购任务取消外，磋商人报告上级主管部门，视情采取其他方式采购。磋商文件中对供应商资质、技术等要求，将作为其他方式采购的基本要求和依据。原已经参加磋商并符合要求的供应商，根据自愿原则，参加其他方式采购。</w:t>
      </w:r>
    </w:p>
    <w:p w14:paraId="1495E50A">
      <w:pPr>
        <w:pStyle w:val="43"/>
        <w:widowControl w:val="0"/>
        <w:snapToGrid w:val="0"/>
        <w:spacing w:before="0" w:beforeAutospacing="0" w:after="0" w:afterAutospacing="0" w:line="400" w:lineRule="exact"/>
        <w:ind w:firstLine="422" w:firstLineChars="200"/>
        <w:contextualSpacing/>
        <w:jc w:val="both"/>
        <w:rPr>
          <w:sz w:val="21"/>
          <w:szCs w:val="21"/>
        </w:rPr>
      </w:pPr>
      <w:r>
        <w:rPr>
          <w:rFonts w:hint="eastAsia"/>
          <w:b/>
          <w:sz w:val="21"/>
          <w:szCs w:val="21"/>
        </w:rPr>
        <w:t>八、</w:t>
      </w:r>
      <w:r>
        <w:rPr>
          <w:rFonts w:hint="eastAsia"/>
          <w:sz w:val="21"/>
          <w:szCs w:val="21"/>
        </w:rPr>
        <w:t>出现下列情形之一的，竞争性磋商采购活动终止，发布项目终止公告并说明原因，重新开展采购活动：</w:t>
      </w:r>
    </w:p>
    <w:p w14:paraId="2243B273">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（一）因情况变化，不再符合规定的竞争性磋商采购方式适用情形的；</w:t>
      </w:r>
    </w:p>
    <w:p w14:paraId="249451C0">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（二）出现影响采购公正的违法、违规行为的；</w:t>
      </w:r>
    </w:p>
    <w:p w14:paraId="55918F47">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（三）在采购过程中符合要求的供应商或者报价未超过采购预算的供应商不足3家的（市场竞争不充分的科研项目，以及需要扶持的科技成果转化项目除外）。</w:t>
      </w:r>
    </w:p>
    <w:p w14:paraId="58B37FDB">
      <w:pPr>
        <w:autoSpaceDE w:val="0"/>
        <w:autoSpaceDN w:val="0"/>
        <w:adjustRightInd w:val="0"/>
        <w:snapToGrid w:val="0"/>
        <w:spacing w:line="400" w:lineRule="exact"/>
        <w:ind w:firstLine="422" w:firstLineChars="200"/>
        <w:rPr>
          <w:rFonts w:ascii="宋体" w:hAnsi="宋体" w:cs="宋体"/>
          <w:b/>
          <w:szCs w:val="21"/>
        </w:rPr>
      </w:pPr>
      <w:r>
        <w:rPr>
          <w:rFonts w:hint="eastAsia" w:ascii="宋体" w:hAnsi="宋体" w:cs="宋体"/>
          <w:b/>
          <w:szCs w:val="21"/>
        </w:rPr>
        <w:t>九、成交通知</w:t>
      </w:r>
    </w:p>
    <w:p w14:paraId="4B44916E">
      <w:pPr>
        <w:snapToGrid w:val="0"/>
        <w:spacing w:line="400" w:lineRule="exact"/>
        <w:ind w:firstLine="420" w:firstLineChars="200"/>
        <w:rPr>
          <w:rFonts w:ascii="宋体" w:hAnsi="宋体" w:cs="宋体"/>
          <w:szCs w:val="21"/>
        </w:rPr>
      </w:pPr>
      <w:r>
        <w:rPr>
          <w:rFonts w:hint="eastAsia" w:ascii="宋体" w:hAnsi="宋体" w:cs="宋体"/>
          <w:szCs w:val="21"/>
        </w:rPr>
        <w:t>成交结果在“通州区烈士陵园”www.tzlsly.cn网公告，公告期限为1个工作日。《成交通知书》一经发出，采购人改变成交结果，或者成交供应商放弃成交的，各自承担相应的法律责任。《成交通知书》是采购合同的组成部分。</w:t>
      </w:r>
      <w:bookmarkStart w:id="171" w:name="_Toc8590"/>
    </w:p>
    <w:p w14:paraId="42CAB117">
      <w:pPr>
        <w:snapToGrid w:val="0"/>
        <w:spacing w:line="400" w:lineRule="exact"/>
        <w:ind w:firstLine="420" w:firstLineChars="200"/>
        <w:rPr>
          <w:rFonts w:ascii="宋体" w:hAnsi="宋体" w:cs="宋体"/>
          <w:szCs w:val="21"/>
        </w:rPr>
      </w:pPr>
    </w:p>
    <w:p w14:paraId="59D1C242">
      <w:pPr>
        <w:snapToGrid w:val="0"/>
        <w:spacing w:line="400" w:lineRule="exact"/>
        <w:ind w:firstLine="420" w:firstLineChars="200"/>
        <w:rPr>
          <w:rFonts w:ascii="宋体" w:hAnsi="宋体" w:cs="宋体"/>
          <w:szCs w:val="21"/>
        </w:rPr>
      </w:pPr>
    </w:p>
    <w:p w14:paraId="16AFC44A">
      <w:pPr>
        <w:snapToGrid w:val="0"/>
        <w:spacing w:line="400" w:lineRule="exact"/>
        <w:ind w:firstLine="420" w:firstLineChars="200"/>
        <w:rPr>
          <w:rFonts w:ascii="宋体" w:hAnsi="宋体" w:cs="宋体"/>
          <w:szCs w:val="21"/>
        </w:rPr>
      </w:pPr>
    </w:p>
    <w:p w14:paraId="22362AB1">
      <w:pPr>
        <w:snapToGrid w:val="0"/>
        <w:spacing w:line="400" w:lineRule="exact"/>
        <w:ind w:firstLine="420" w:firstLineChars="200"/>
        <w:rPr>
          <w:rFonts w:ascii="宋体" w:hAnsi="宋体" w:cs="宋体"/>
          <w:szCs w:val="21"/>
        </w:rPr>
      </w:pPr>
    </w:p>
    <w:p w14:paraId="0ACC2D19">
      <w:pPr>
        <w:snapToGrid w:val="0"/>
        <w:spacing w:line="400" w:lineRule="exact"/>
        <w:ind w:firstLine="420" w:firstLineChars="200"/>
        <w:rPr>
          <w:rFonts w:ascii="宋体" w:hAnsi="宋体" w:cs="宋体"/>
          <w:szCs w:val="21"/>
        </w:rPr>
      </w:pPr>
    </w:p>
    <w:p w14:paraId="7C71BA18">
      <w:pPr>
        <w:snapToGrid w:val="0"/>
        <w:spacing w:line="400" w:lineRule="exact"/>
        <w:ind w:firstLine="420" w:firstLineChars="200"/>
        <w:rPr>
          <w:rFonts w:ascii="宋体" w:hAnsi="宋体" w:cs="宋体"/>
          <w:szCs w:val="21"/>
        </w:rPr>
      </w:pPr>
    </w:p>
    <w:p w14:paraId="5AA6DEAA">
      <w:pPr>
        <w:snapToGrid w:val="0"/>
        <w:spacing w:line="400" w:lineRule="exact"/>
        <w:ind w:firstLine="420" w:firstLineChars="200"/>
        <w:rPr>
          <w:rFonts w:ascii="宋体" w:hAnsi="宋体" w:cs="宋体"/>
          <w:szCs w:val="21"/>
        </w:rPr>
      </w:pPr>
    </w:p>
    <w:p w14:paraId="387C8902">
      <w:pPr>
        <w:pStyle w:val="3"/>
        <w:rPr>
          <w:rFonts w:ascii="宋体" w:hAnsi="宋体"/>
          <w:sz w:val="36"/>
          <w:szCs w:val="36"/>
        </w:rPr>
      </w:pPr>
      <w:r>
        <w:rPr>
          <w:rFonts w:hint="eastAsia" w:ascii="黑体" w:eastAsia="黑体" w:cs="Arial"/>
          <w:bCs/>
          <w:sz w:val="36"/>
          <w:szCs w:val="36"/>
        </w:rPr>
        <w:t>第六章  响应文件的组成和格式</w:t>
      </w:r>
      <w:bookmarkEnd w:id="171"/>
    </w:p>
    <w:bookmarkEnd w:id="167"/>
    <w:bookmarkEnd w:id="168"/>
    <w:bookmarkEnd w:id="169"/>
    <w:p w14:paraId="32C5B518">
      <w:pPr>
        <w:autoSpaceDE w:val="0"/>
        <w:autoSpaceDN w:val="0"/>
        <w:adjustRightInd w:val="0"/>
        <w:snapToGrid w:val="0"/>
        <w:spacing w:line="520" w:lineRule="exact"/>
        <w:ind w:right="210"/>
        <w:jc w:val="center"/>
        <w:outlineLvl w:val="0"/>
        <w:rPr>
          <w:rFonts w:ascii="宋体" w:hAnsi="宋体"/>
          <w:b/>
          <w:bCs/>
          <w:sz w:val="30"/>
          <w:szCs w:val="30"/>
          <w:lang w:val="zh-CN"/>
        </w:rPr>
      </w:pPr>
      <w:bookmarkStart w:id="172" w:name="_Toc14011"/>
      <w:r>
        <w:rPr>
          <w:rFonts w:hint="eastAsia" w:ascii="宋体" w:hAnsi="宋体"/>
          <w:b/>
          <w:bCs/>
          <w:sz w:val="30"/>
          <w:szCs w:val="30"/>
          <w:lang w:val="zh-CN"/>
        </w:rPr>
        <w:t>响应文件组成</w:t>
      </w:r>
      <w:bookmarkEnd w:id="172"/>
    </w:p>
    <w:p w14:paraId="41D86283">
      <w:pPr>
        <w:spacing w:line="520" w:lineRule="exact"/>
        <w:outlineLvl w:val="0"/>
        <w:rPr>
          <w:rFonts w:ascii="宋体" w:hAnsi="宋体"/>
          <w:bCs/>
          <w:szCs w:val="21"/>
        </w:rPr>
      </w:pPr>
      <w:bookmarkStart w:id="173" w:name="_Toc3748"/>
      <w:r>
        <w:rPr>
          <w:rFonts w:hint="eastAsia" w:ascii="宋体" w:hAnsi="宋体"/>
          <w:bCs/>
          <w:szCs w:val="21"/>
        </w:rPr>
        <w:t>一、资格审查文件</w:t>
      </w:r>
      <w:bookmarkEnd w:id="173"/>
    </w:p>
    <w:p w14:paraId="628631B7">
      <w:pPr>
        <w:spacing w:line="520" w:lineRule="exact"/>
        <w:rPr>
          <w:rFonts w:ascii="宋体" w:hAnsi="宋体"/>
          <w:bCs/>
          <w:szCs w:val="21"/>
        </w:rPr>
      </w:pPr>
      <w:r>
        <w:rPr>
          <w:rFonts w:hint="eastAsia" w:ascii="宋体" w:hAnsi="宋体"/>
          <w:bCs/>
          <w:szCs w:val="21"/>
        </w:rPr>
        <w:t>1.1供应商</w:t>
      </w:r>
      <w:r>
        <w:rPr>
          <w:rFonts w:hint="eastAsia" w:ascii="宋体" w:hAnsi="宋体" w:cs="宋体"/>
          <w:szCs w:val="21"/>
        </w:rPr>
        <w:t>声明函；</w:t>
      </w:r>
    </w:p>
    <w:p w14:paraId="0BB61756">
      <w:pPr>
        <w:spacing w:line="520" w:lineRule="exact"/>
        <w:rPr>
          <w:rFonts w:ascii="宋体" w:hAnsi="宋体" w:cs="宋体"/>
          <w:szCs w:val="21"/>
        </w:rPr>
      </w:pPr>
      <w:r>
        <w:rPr>
          <w:rFonts w:hint="eastAsia" w:ascii="宋体" w:hAnsi="宋体" w:cs="宋体"/>
          <w:szCs w:val="21"/>
        </w:rPr>
        <w:t>1.2法定代表人身份证明书（详见格式）；</w:t>
      </w:r>
    </w:p>
    <w:p w14:paraId="2E6553FE">
      <w:pPr>
        <w:spacing w:line="520" w:lineRule="exact"/>
        <w:rPr>
          <w:rFonts w:ascii="宋体" w:hAnsi="宋体" w:cs="宋体"/>
          <w:szCs w:val="21"/>
        </w:rPr>
      </w:pPr>
      <w:r>
        <w:rPr>
          <w:rFonts w:hint="eastAsia" w:ascii="宋体" w:hAnsi="宋体" w:cs="宋体"/>
          <w:szCs w:val="21"/>
        </w:rPr>
        <w:t>1.3法定代表人授权委托书（如有授权）（详见格式）；</w:t>
      </w:r>
    </w:p>
    <w:p w14:paraId="5A095D7D">
      <w:pPr>
        <w:spacing w:line="520" w:lineRule="exact"/>
        <w:rPr>
          <w:rFonts w:ascii="宋体" w:hAnsi="宋体" w:cs="宋体"/>
          <w:szCs w:val="21"/>
        </w:rPr>
      </w:pPr>
      <w:r>
        <w:rPr>
          <w:rFonts w:hint="eastAsia" w:ascii="宋体" w:hAnsi="宋体" w:cs="宋体"/>
          <w:szCs w:val="21"/>
        </w:rPr>
        <w:t>1.4投标人企业法人营业执照；</w:t>
      </w:r>
    </w:p>
    <w:p w14:paraId="3396B886">
      <w:pPr>
        <w:spacing w:line="520" w:lineRule="exact"/>
        <w:rPr>
          <w:rFonts w:ascii="宋体" w:hAnsi="宋体" w:cs="宋体"/>
          <w:szCs w:val="21"/>
        </w:rPr>
      </w:pPr>
      <w:r>
        <w:rPr>
          <w:rFonts w:hint="eastAsia" w:ascii="宋体" w:hAnsi="宋体" w:cs="宋体"/>
          <w:szCs w:val="21"/>
        </w:rPr>
        <w:t>1.5投标人提供投标企业所在地社保机构出具的由企业为委托代理人缴纳的2025年5月-2025年7月的社会保险缴费证明；</w:t>
      </w:r>
    </w:p>
    <w:p w14:paraId="3BD53629">
      <w:pPr>
        <w:spacing w:line="520" w:lineRule="exact"/>
        <w:rPr>
          <w:rFonts w:ascii="宋体" w:hAnsi="宋体" w:cs="宋体"/>
          <w:szCs w:val="21"/>
        </w:rPr>
      </w:pPr>
      <w:r>
        <w:rPr>
          <w:rFonts w:hint="eastAsia" w:ascii="宋体" w:hAnsi="宋体" w:cs="宋体"/>
          <w:szCs w:val="21"/>
        </w:rPr>
        <w:t>1.6磋商响应函；</w:t>
      </w:r>
    </w:p>
    <w:p w14:paraId="135DB4DA">
      <w:pPr>
        <w:spacing w:line="520" w:lineRule="exact"/>
        <w:rPr>
          <w:rFonts w:ascii="宋体" w:hAnsi="宋体"/>
          <w:b/>
          <w:bCs/>
          <w:szCs w:val="21"/>
          <w:u w:val="single"/>
        </w:rPr>
      </w:pPr>
      <w:r>
        <w:rPr>
          <w:rFonts w:hint="eastAsia" w:ascii="宋体" w:hAnsi="宋体"/>
          <w:b/>
          <w:bCs/>
          <w:szCs w:val="21"/>
          <w:u w:val="single"/>
        </w:rPr>
        <w:t>以上资格审查文件均需加盖单位公章；上述材料需真实有效，否则资格审查将不予通过，不能进入技术商务标、价格标的磋商。</w:t>
      </w:r>
    </w:p>
    <w:p w14:paraId="5E454F62">
      <w:pPr>
        <w:spacing w:line="520" w:lineRule="exact"/>
        <w:outlineLvl w:val="0"/>
        <w:rPr>
          <w:rFonts w:ascii="宋体" w:hAnsi="宋体" w:cs="宋体"/>
          <w:szCs w:val="21"/>
        </w:rPr>
      </w:pPr>
      <w:bookmarkStart w:id="174" w:name="_Toc4812"/>
      <w:r>
        <w:rPr>
          <w:rFonts w:hint="eastAsia" w:ascii="宋体" w:hAnsi="宋体" w:cs="宋体"/>
          <w:szCs w:val="21"/>
        </w:rPr>
        <w:t>二、技术商务标文件</w:t>
      </w:r>
      <w:r>
        <w:rPr>
          <w:rFonts w:hint="eastAsia" w:ascii="宋体" w:hAnsi="宋体" w:cs="宋体"/>
          <w:b/>
          <w:szCs w:val="21"/>
        </w:rPr>
        <w:t>（具体内容及要求详见第五章）</w:t>
      </w:r>
    </w:p>
    <w:p w14:paraId="6EDB4CC6">
      <w:pPr>
        <w:spacing w:line="520" w:lineRule="exact"/>
        <w:outlineLvl w:val="0"/>
        <w:rPr>
          <w:rFonts w:ascii="宋体" w:hAnsi="宋体" w:cs="宋体"/>
          <w:szCs w:val="21"/>
        </w:rPr>
      </w:pPr>
      <w:r>
        <w:rPr>
          <w:rFonts w:hint="eastAsia" w:ascii="宋体" w:hAnsi="宋体" w:cs="宋体"/>
          <w:szCs w:val="21"/>
        </w:rPr>
        <w:t>三、价格标文件</w:t>
      </w:r>
      <w:bookmarkEnd w:id="174"/>
    </w:p>
    <w:p w14:paraId="086266AD">
      <w:pPr>
        <w:spacing w:line="520" w:lineRule="exact"/>
        <w:rPr>
          <w:rFonts w:ascii="宋体" w:hAnsi="宋体" w:cs="宋体"/>
          <w:szCs w:val="21"/>
        </w:rPr>
      </w:pPr>
      <w:r>
        <w:rPr>
          <w:rFonts w:hint="eastAsia" w:ascii="宋体" w:hAnsi="宋体" w:cs="宋体"/>
          <w:szCs w:val="21"/>
        </w:rPr>
        <w:t>3.1.报价函；</w:t>
      </w:r>
    </w:p>
    <w:p w14:paraId="3C12E6EF">
      <w:pPr>
        <w:spacing w:line="520" w:lineRule="exact"/>
        <w:rPr>
          <w:rFonts w:ascii="宋体" w:hAnsi="宋体"/>
          <w:bCs/>
          <w:szCs w:val="21"/>
        </w:rPr>
      </w:pPr>
      <w:r>
        <w:rPr>
          <w:rFonts w:hint="eastAsia" w:ascii="宋体" w:hAnsi="宋体"/>
          <w:bCs/>
          <w:szCs w:val="21"/>
        </w:rPr>
        <w:t>3.2..其他证明材料</w:t>
      </w:r>
    </w:p>
    <w:p w14:paraId="4173B559">
      <w:pPr>
        <w:spacing w:line="520" w:lineRule="exact"/>
        <w:rPr>
          <w:rFonts w:ascii="宋体" w:hAnsi="宋体"/>
          <w:bCs/>
          <w:szCs w:val="21"/>
        </w:rPr>
      </w:pPr>
      <w:r>
        <w:rPr>
          <w:rFonts w:hint="eastAsia" w:ascii="宋体" w:hAnsi="宋体"/>
          <w:bCs/>
          <w:szCs w:val="21"/>
        </w:rPr>
        <w:t>（1）中小企业声明函（如符合小型和微型企业的需提供）；</w:t>
      </w:r>
    </w:p>
    <w:p w14:paraId="2FDE8D37">
      <w:pPr>
        <w:spacing w:line="520" w:lineRule="exact"/>
        <w:rPr>
          <w:rFonts w:ascii="宋体" w:hAnsi="宋体"/>
          <w:bCs/>
          <w:szCs w:val="21"/>
        </w:rPr>
      </w:pPr>
      <w:r>
        <w:rPr>
          <w:rFonts w:hint="eastAsia" w:ascii="宋体" w:hAnsi="宋体"/>
          <w:bCs/>
          <w:szCs w:val="21"/>
        </w:rPr>
        <w:t>（2）监狱企业证明函（如符合监狱企业的需提供）；</w:t>
      </w:r>
    </w:p>
    <w:p w14:paraId="27C7553F">
      <w:pPr>
        <w:spacing w:line="520" w:lineRule="exact"/>
        <w:rPr>
          <w:rFonts w:ascii="宋体" w:hAnsi="宋体"/>
          <w:bCs/>
          <w:szCs w:val="21"/>
        </w:rPr>
      </w:pPr>
      <w:r>
        <w:rPr>
          <w:rFonts w:hint="eastAsia" w:ascii="宋体" w:hAnsi="宋体"/>
          <w:bCs/>
          <w:szCs w:val="21"/>
        </w:rPr>
        <w:t>（3）残疾人福利性单位声明函（如符合残疾人福利性单位的需提供）。</w:t>
      </w:r>
    </w:p>
    <w:p w14:paraId="3A184C36">
      <w:pPr>
        <w:spacing w:line="520" w:lineRule="exact"/>
        <w:rPr>
          <w:rFonts w:ascii="宋体" w:hAnsi="宋体"/>
          <w:b/>
          <w:sz w:val="72"/>
          <w:szCs w:val="21"/>
        </w:rPr>
      </w:pPr>
      <w:r>
        <w:rPr>
          <w:rFonts w:hint="eastAsia" w:ascii="宋体" w:hAnsi="宋体"/>
          <w:bCs/>
          <w:szCs w:val="21"/>
        </w:rPr>
        <w:t xml:space="preserve"> 注：（1）-（3）如未提供则不能享受小型和微型企业和残疾人福利性单位及监狱企业产品的价格给予扣除；用扣除后的价格作为有效报价参与评审的优惠政策。</w:t>
      </w:r>
    </w:p>
    <w:p w14:paraId="44B47D5B">
      <w:pPr>
        <w:pStyle w:val="3"/>
        <w:rPr>
          <w:rFonts w:ascii="宋体" w:hAnsi="宋体" w:eastAsia="宋体" w:cs="宋体"/>
          <w:sz w:val="36"/>
          <w:szCs w:val="36"/>
        </w:rPr>
      </w:pPr>
    </w:p>
    <w:p w14:paraId="6B69163E">
      <w:pPr>
        <w:pStyle w:val="3"/>
        <w:rPr>
          <w:rFonts w:ascii="宋体" w:hAnsi="宋体" w:eastAsia="宋体" w:cs="宋体"/>
          <w:sz w:val="36"/>
          <w:szCs w:val="36"/>
        </w:rPr>
      </w:pPr>
      <w:r>
        <w:rPr>
          <w:rFonts w:hint="eastAsia" w:ascii="宋体" w:hAnsi="宋体" w:eastAsia="宋体" w:cs="宋体"/>
          <w:sz w:val="36"/>
          <w:szCs w:val="36"/>
        </w:rPr>
        <w:t>南通市通州区烈士陵园展柜采购项目</w:t>
      </w:r>
    </w:p>
    <w:p w14:paraId="1449114E">
      <w:pPr>
        <w:rPr>
          <w:rFonts w:ascii="宋体" w:hAnsi="宋体"/>
          <w:b/>
          <w:sz w:val="72"/>
          <w:szCs w:val="21"/>
        </w:rPr>
      </w:pPr>
    </w:p>
    <w:p w14:paraId="4A808D9A">
      <w:pPr>
        <w:pStyle w:val="18"/>
      </w:pPr>
    </w:p>
    <w:p w14:paraId="45D0819E">
      <w:pPr>
        <w:pStyle w:val="3"/>
        <w:rPr>
          <w:rFonts w:ascii="黑体" w:hAnsi="黑体" w:eastAsia="黑体"/>
          <w:bCs/>
          <w:sz w:val="32"/>
        </w:rPr>
      </w:pPr>
      <w:r>
        <w:rPr>
          <w:rFonts w:hint="eastAsia" w:ascii="宋体" w:hAnsi="宋体"/>
          <w:sz w:val="72"/>
          <w:szCs w:val="21"/>
        </w:rPr>
        <w:t>磋商响应文件</w:t>
      </w:r>
    </w:p>
    <w:p w14:paraId="6EA5A022">
      <w:pPr>
        <w:pStyle w:val="110"/>
        <w:ind w:firstLine="0"/>
        <w:jc w:val="center"/>
        <w:rPr>
          <w:rFonts w:ascii="黑体" w:hAnsi="黑体" w:eastAsia="黑体"/>
          <w:b/>
          <w:bCs/>
          <w:sz w:val="32"/>
        </w:rPr>
      </w:pPr>
    </w:p>
    <w:p w14:paraId="1E9DA6ED">
      <w:pPr>
        <w:jc w:val="center"/>
        <w:rPr>
          <w:rFonts w:ascii="黑体" w:hAnsi="黑体" w:eastAsia="黑体"/>
          <w:b/>
          <w:sz w:val="36"/>
          <w:szCs w:val="21"/>
        </w:rPr>
      </w:pPr>
      <w:r>
        <w:rPr>
          <w:rFonts w:hint="eastAsia" w:ascii="黑体" w:hAnsi="黑体" w:eastAsia="黑体"/>
          <w:b/>
          <w:sz w:val="36"/>
          <w:szCs w:val="21"/>
        </w:rPr>
        <w:t>（</w:t>
      </w:r>
      <w:r>
        <w:rPr>
          <w:rFonts w:hint="eastAsia" w:ascii="宋体" w:hAnsi="宋体"/>
          <w:b/>
          <w:color w:val="000000"/>
          <w:kern w:val="0"/>
          <w:sz w:val="44"/>
          <w:szCs w:val="44"/>
        </w:rPr>
        <w:t>资格审查文件/技术商务标文件/价格标文件</w:t>
      </w:r>
      <w:r>
        <w:rPr>
          <w:rFonts w:hint="eastAsia" w:ascii="黑体" w:hAnsi="黑体" w:eastAsia="黑体"/>
          <w:b/>
          <w:sz w:val="36"/>
          <w:szCs w:val="21"/>
        </w:rPr>
        <w:t>）</w:t>
      </w:r>
    </w:p>
    <w:p w14:paraId="7248A665">
      <w:pPr>
        <w:ind w:firstLine="1084" w:firstLineChars="300"/>
        <w:rPr>
          <w:rFonts w:ascii="黑体" w:hAnsi="黑体" w:eastAsia="黑体"/>
          <w:b/>
          <w:sz w:val="36"/>
          <w:szCs w:val="21"/>
        </w:rPr>
      </w:pPr>
    </w:p>
    <w:p w14:paraId="1A4A57D8">
      <w:pPr>
        <w:ind w:firstLine="1084" w:firstLineChars="300"/>
        <w:rPr>
          <w:rFonts w:ascii="黑体" w:hAnsi="黑体" w:eastAsia="黑体"/>
          <w:b/>
          <w:sz w:val="36"/>
          <w:szCs w:val="21"/>
        </w:rPr>
      </w:pPr>
    </w:p>
    <w:p w14:paraId="3B361C66">
      <w:pPr>
        <w:ind w:firstLine="1084" w:firstLineChars="300"/>
        <w:rPr>
          <w:rFonts w:ascii="黑体" w:hAnsi="黑体" w:eastAsia="黑体"/>
          <w:b/>
          <w:sz w:val="36"/>
          <w:szCs w:val="21"/>
        </w:rPr>
      </w:pPr>
    </w:p>
    <w:p w14:paraId="50068D9E">
      <w:pPr>
        <w:ind w:firstLine="1084" w:firstLineChars="300"/>
        <w:rPr>
          <w:rFonts w:ascii="黑体" w:hAnsi="黑体" w:eastAsia="黑体"/>
          <w:b/>
          <w:sz w:val="36"/>
          <w:szCs w:val="21"/>
        </w:rPr>
      </w:pPr>
    </w:p>
    <w:p w14:paraId="7B85B0F9">
      <w:pPr>
        <w:ind w:firstLine="1084" w:firstLineChars="300"/>
        <w:rPr>
          <w:rFonts w:ascii="黑体" w:hAnsi="黑体" w:eastAsia="黑体"/>
          <w:b/>
          <w:sz w:val="36"/>
          <w:szCs w:val="21"/>
        </w:rPr>
      </w:pPr>
    </w:p>
    <w:p w14:paraId="59264A3C">
      <w:pPr>
        <w:ind w:firstLine="1084" w:firstLineChars="300"/>
        <w:rPr>
          <w:rFonts w:ascii="黑体" w:hAnsi="黑体" w:eastAsia="黑体"/>
          <w:b/>
          <w:sz w:val="36"/>
          <w:szCs w:val="21"/>
        </w:rPr>
      </w:pPr>
    </w:p>
    <w:p w14:paraId="1D14044A">
      <w:pPr>
        <w:ind w:firstLine="1084" w:firstLineChars="300"/>
        <w:rPr>
          <w:rFonts w:ascii="黑体" w:hAnsi="黑体" w:eastAsia="黑体"/>
          <w:b/>
          <w:sz w:val="36"/>
          <w:szCs w:val="21"/>
        </w:rPr>
      </w:pPr>
    </w:p>
    <w:p w14:paraId="77026DE7">
      <w:pPr>
        <w:ind w:firstLine="964" w:firstLineChars="300"/>
        <w:rPr>
          <w:rFonts w:ascii="黑体" w:hAnsi="黑体" w:eastAsia="黑体"/>
          <w:b/>
          <w:sz w:val="32"/>
          <w:szCs w:val="32"/>
        </w:rPr>
      </w:pPr>
      <w:r>
        <w:rPr>
          <w:rFonts w:hint="eastAsia" w:ascii="黑体" w:hAnsi="黑体" w:eastAsia="黑体"/>
          <w:b/>
          <w:sz w:val="32"/>
          <w:szCs w:val="32"/>
        </w:rPr>
        <w:t>项 目 名 称：</w:t>
      </w:r>
    </w:p>
    <w:p w14:paraId="622DFE18">
      <w:pPr>
        <w:ind w:firstLine="964" w:firstLineChars="300"/>
        <w:rPr>
          <w:rFonts w:ascii="黑体" w:hAnsi="黑体" w:eastAsia="黑体"/>
          <w:b/>
          <w:sz w:val="32"/>
          <w:szCs w:val="32"/>
          <w:u w:val="single"/>
        </w:rPr>
      </w:pPr>
      <w:r>
        <w:rPr>
          <w:rFonts w:hint="eastAsia" w:ascii="黑体" w:hAnsi="黑体" w:eastAsia="黑体"/>
          <w:b/>
          <w:sz w:val="32"/>
          <w:szCs w:val="32"/>
        </w:rPr>
        <w:t>项 目 编 号：</w:t>
      </w:r>
    </w:p>
    <w:p w14:paraId="66B4DE75">
      <w:pPr>
        <w:ind w:firstLine="964" w:firstLineChars="300"/>
        <w:rPr>
          <w:rFonts w:ascii="黑体" w:hAnsi="黑体" w:eastAsia="黑体"/>
          <w:b/>
          <w:sz w:val="32"/>
          <w:szCs w:val="32"/>
        </w:rPr>
      </w:pPr>
      <w:r>
        <w:rPr>
          <w:rFonts w:hint="eastAsia" w:ascii="黑体" w:hAnsi="黑体" w:eastAsia="黑体"/>
          <w:b/>
          <w:sz w:val="32"/>
          <w:szCs w:val="32"/>
        </w:rPr>
        <w:t xml:space="preserve">磋商供应商名称：               </w:t>
      </w:r>
    </w:p>
    <w:p w14:paraId="02E71CC7">
      <w:pPr>
        <w:rPr>
          <w:rFonts w:ascii="黑体" w:hAnsi="黑体" w:eastAsia="黑体"/>
          <w:b/>
          <w:sz w:val="32"/>
          <w:szCs w:val="32"/>
        </w:rPr>
      </w:pPr>
      <w:r>
        <w:rPr>
          <w:rFonts w:hint="eastAsia" w:ascii="黑体" w:hAnsi="黑体" w:eastAsia="黑体"/>
          <w:b/>
          <w:sz w:val="32"/>
          <w:szCs w:val="32"/>
        </w:rPr>
        <w:t xml:space="preserve">      日       期：</w:t>
      </w:r>
    </w:p>
    <w:p w14:paraId="530A2610">
      <w:pPr>
        <w:adjustRightInd w:val="0"/>
        <w:snapToGrid w:val="0"/>
        <w:spacing w:line="360" w:lineRule="auto"/>
        <w:jc w:val="center"/>
        <w:rPr>
          <w:rFonts w:ascii="宋体"/>
          <w:sz w:val="28"/>
          <w:szCs w:val="28"/>
        </w:rPr>
      </w:pPr>
      <w:r>
        <w:rPr>
          <w:rFonts w:hint="eastAsia" w:ascii="宋体" w:hAnsi="宋体"/>
          <w:sz w:val="24"/>
        </w:rPr>
        <w:br w:type="page"/>
      </w:r>
      <w:r>
        <w:rPr>
          <w:rFonts w:hint="eastAsia" w:ascii="宋体" w:hAnsi="宋体"/>
          <w:sz w:val="28"/>
          <w:szCs w:val="28"/>
        </w:rPr>
        <w:t>磋商</w:t>
      </w:r>
      <w:r>
        <w:rPr>
          <w:rFonts w:hint="eastAsia" w:ascii="宋体" w:hAnsi="宋体" w:cs="宋体"/>
          <w:sz w:val="28"/>
          <w:szCs w:val="28"/>
        </w:rPr>
        <w:t>声明函</w:t>
      </w:r>
    </w:p>
    <w:p w14:paraId="3ADA168B">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致：</w:t>
      </w:r>
      <w:r>
        <w:rPr>
          <w:rFonts w:hint="eastAsia" w:ascii="宋体" w:hAnsi="宋体" w:cs="宋体"/>
          <w:kern w:val="0"/>
          <w:szCs w:val="21"/>
          <w:u w:val="single"/>
          <w:shd w:val="clear" w:color="auto" w:fill="FFFFFF"/>
        </w:rPr>
        <w:t xml:space="preserve">     （采购人）      </w:t>
      </w:r>
      <w:r>
        <w:rPr>
          <w:rFonts w:hint="eastAsia" w:ascii="宋体" w:hAnsi="宋体" w:cs="宋体"/>
          <w:b/>
          <w:bCs/>
          <w:szCs w:val="21"/>
        </w:rPr>
        <w:t xml:space="preserve">：   </w:t>
      </w:r>
    </w:p>
    <w:p w14:paraId="11281B8B">
      <w:pPr>
        <w:tabs>
          <w:tab w:val="left" w:pos="420"/>
          <w:tab w:val="left" w:pos="562"/>
          <w:tab w:val="left" w:pos="945"/>
          <w:tab w:val="left" w:pos="5382"/>
          <w:tab w:val="left" w:pos="7560"/>
        </w:tabs>
        <w:adjustRightInd w:val="0"/>
        <w:snapToGrid w:val="0"/>
        <w:spacing w:line="360" w:lineRule="auto"/>
        <w:ind w:firstLine="630" w:firstLineChars="300"/>
        <w:rPr>
          <w:rFonts w:ascii="宋体"/>
          <w:szCs w:val="21"/>
        </w:rPr>
      </w:pPr>
      <w:bookmarkStart w:id="175" w:name="_Toc396833717"/>
      <w:r>
        <w:rPr>
          <w:rFonts w:hint="eastAsia" w:ascii="宋体" w:hAnsi="宋体" w:cs="宋体"/>
          <w:szCs w:val="21"/>
        </w:rPr>
        <w:t>1、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12978944">
      <w:pPr>
        <w:tabs>
          <w:tab w:val="left" w:pos="420"/>
          <w:tab w:val="left" w:pos="562"/>
          <w:tab w:val="left" w:pos="945"/>
          <w:tab w:val="left" w:pos="5382"/>
          <w:tab w:val="left" w:pos="7560"/>
        </w:tabs>
        <w:adjustRightInd w:val="0"/>
        <w:snapToGrid w:val="0"/>
        <w:spacing w:line="360" w:lineRule="auto"/>
        <w:ind w:firstLine="525" w:firstLineChars="250"/>
        <w:rPr>
          <w:rFonts w:ascii="宋体"/>
          <w:szCs w:val="21"/>
        </w:rPr>
      </w:pPr>
      <w:r>
        <w:rPr>
          <w:rFonts w:hint="eastAsia" w:ascii="宋体" w:hAnsi="宋体" w:cs="宋体"/>
          <w:szCs w:val="21"/>
        </w:rPr>
        <w:t>2、我方承诺信用记录中未被“信用中国”网站(</w:t>
      </w:r>
      <w:r>
        <w:fldChar w:fldCharType="begin"/>
      </w:r>
      <w:r>
        <w:instrText xml:space="preserve"> HYPERLINK "http://www.creditchina.gov.cn" </w:instrText>
      </w:r>
      <w:r>
        <w:fldChar w:fldCharType="separate"/>
      </w:r>
      <w:r>
        <w:rPr>
          <w:rStyle w:val="59"/>
          <w:rFonts w:hint="eastAsia" w:ascii="宋体" w:hAnsi="宋体" w:cs="宋体"/>
          <w:color w:val="auto"/>
          <w:szCs w:val="21"/>
        </w:rPr>
        <w:t>www.creditchina.gov.cn</w:t>
      </w:r>
      <w:r>
        <w:rPr>
          <w:rStyle w:val="59"/>
          <w:rFonts w:hint="eastAsia" w:ascii="宋体" w:hAnsi="宋体" w:cs="宋体"/>
          <w:color w:val="auto"/>
          <w:szCs w:val="21"/>
        </w:rPr>
        <w:fldChar w:fldCharType="end"/>
      </w:r>
      <w:r>
        <w:rPr>
          <w:rFonts w:hint="eastAsia" w:ascii="宋体" w:hAnsi="宋体" w:cs="宋体"/>
          <w:szCs w:val="21"/>
        </w:rPr>
        <w:t>)、中华人民共和国最高人民法院网站（</w:t>
      </w:r>
      <w:r>
        <w:fldChar w:fldCharType="begin"/>
      </w:r>
      <w:r>
        <w:instrText xml:space="preserve"> HYPERLINK "http://www.court.gov.cn/" </w:instrText>
      </w:r>
      <w:r>
        <w:fldChar w:fldCharType="separate"/>
      </w:r>
      <w:r>
        <w:rPr>
          <w:rStyle w:val="59"/>
          <w:rFonts w:hint="eastAsia" w:ascii="宋体" w:hAnsi="宋体" w:cs="宋体"/>
          <w:color w:val="auto"/>
          <w:szCs w:val="21"/>
        </w:rPr>
        <w:t>http://www.court.gov.cn</w:t>
      </w:r>
      <w:r>
        <w:rPr>
          <w:rStyle w:val="59"/>
          <w:rFonts w:hint="eastAsia" w:ascii="宋体" w:hAnsi="宋体" w:cs="宋体"/>
          <w:color w:val="auto"/>
          <w:szCs w:val="21"/>
        </w:rPr>
        <w:fldChar w:fldCharType="end"/>
      </w:r>
      <w:r>
        <w:rPr>
          <w:rFonts w:hint="eastAsia" w:ascii="宋体" w:hAnsi="宋体" w:cs="宋体"/>
          <w:szCs w:val="21"/>
        </w:rPr>
        <w:t>）等渠道列入信用记录失信被执行人，未被中国政府采购网(</w:t>
      </w:r>
      <w:r>
        <w:fldChar w:fldCharType="begin"/>
      </w:r>
      <w:r>
        <w:instrText xml:space="preserve"> HYPERLINK "http://www.ccgp.gov.cn" </w:instrText>
      </w:r>
      <w:r>
        <w:fldChar w:fldCharType="separate"/>
      </w:r>
      <w:r>
        <w:rPr>
          <w:rStyle w:val="59"/>
          <w:rFonts w:hint="eastAsia" w:ascii="宋体" w:hAnsi="宋体" w:cs="宋体"/>
          <w:color w:val="auto"/>
          <w:szCs w:val="21"/>
        </w:rPr>
        <w:t>www.ccgp.gov.cn</w:t>
      </w:r>
      <w:r>
        <w:rPr>
          <w:rStyle w:val="59"/>
          <w:rFonts w:hint="eastAsia" w:ascii="宋体" w:hAnsi="宋体" w:cs="宋体"/>
          <w:color w:val="auto"/>
          <w:szCs w:val="21"/>
        </w:rPr>
        <w:fldChar w:fldCharType="end"/>
      </w:r>
      <w:r>
        <w:rPr>
          <w:rFonts w:hint="eastAsia" w:ascii="宋体" w:hAnsi="宋体" w:cs="宋体"/>
          <w:szCs w:val="21"/>
        </w:rPr>
        <w:t>)等渠道列入政府采购严重违法失信行为记录名单，未被中华人民共和国应急管理部网站（</w:t>
      </w:r>
      <w:r>
        <w:fldChar w:fldCharType="begin"/>
      </w:r>
      <w:r>
        <w:instrText xml:space="preserve"> HYPERLINK "http://www.chinasafety.gov.cn/" </w:instrText>
      </w:r>
      <w:r>
        <w:fldChar w:fldCharType="separate"/>
      </w:r>
      <w:r>
        <w:rPr>
          <w:rStyle w:val="59"/>
          <w:rFonts w:hint="eastAsia" w:ascii="宋体" w:hAnsi="宋体" w:cs="宋体"/>
          <w:color w:val="auto"/>
          <w:szCs w:val="21"/>
        </w:rPr>
        <w:t>http://www.chinasafety.gov.cn</w:t>
      </w:r>
      <w:r>
        <w:rPr>
          <w:rStyle w:val="59"/>
          <w:rFonts w:hint="eastAsia" w:ascii="宋体" w:hAnsi="宋体" w:cs="宋体"/>
          <w:color w:val="auto"/>
          <w:szCs w:val="21"/>
        </w:rPr>
        <w:fldChar w:fldCharType="end"/>
      </w:r>
      <w:r>
        <w:rPr>
          <w:rFonts w:hint="eastAsia" w:ascii="宋体" w:hAnsi="宋体" w:cs="宋体"/>
          <w:szCs w:val="21"/>
        </w:rPr>
        <w:t>）等渠道列入安全生产失信联合惩戒“黑名单”， 未被国家税务总局网站（</w:t>
      </w:r>
      <w:r>
        <w:fldChar w:fldCharType="begin"/>
      </w:r>
      <w:r>
        <w:instrText xml:space="preserve"> HYPERLINK "http://hd.chinatax.gov.cn/xxk/" </w:instrText>
      </w:r>
      <w:r>
        <w:fldChar w:fldCharType="separate"/>
      </w:r>
      <w:r>
        <w:rPr>
          <w:rStyle w:val="59"/>
          <w:rFonts w:hint="eastAsia" w:ascii="宋体" w:hAnsi="宋体" w:cs="宋体"/>
          <w:color w:val="auto"/>
          <w:szCs w:val="21"/>
        </w:rPr>
        <w:t>http://hd.chinatax.gov.cn/xxk</w:t>
      </w:r>
      <w:r>
        <w:rPr>
          <w:rStyle w:val="59"/>
          <w:rFonts w:hint="eastAsia" w:ascii="宋体" w:hAnsi="宋体" w:cs="宋体"/>
          <w:color w:val="auto"/>
          <w:szCs w:val="21"/>
        </w:rPr>
        <w:fldChar w:fldCharType="end"/>
      </w:r>
      <w:r>
        <w:rPr>
          <w:rFonts w:hint="eastAsia" w:ascii="宋体" w:hAnsi="宋体" w:cs="宋体"/>
          <w:szCs w:val="21"/>
        </w:rPr>
        <w:t>）等渠道列入重大税收违法案件当事人名单，未被国家企业信用信息公示系统（</w:t>
      </w:r>
      <w:r>
        <w:fldChar w:fldCharType="begin"/>
      </w:r>
      <w:r>
        <w:instrText xml:space="preserve"> HYPERLINK "http://www.gsxt.gov.cn" </w:instrText>
      </w:r>
      <w:r>
        <w:fldChar w:fldCharType="separate"/>
      </w:r>
      <w:r>
        <w:rPr>
          <w:rStyle w:val="59"/>
          <w:rFonts w:hint="eastAsia" w:ascii="宋体" w:hAnsi="宋体" w:cs="宋体"/>
          <w:color w:val="auto"/>
          <w:szCs w:val="21"/>
        </w:rPr>
        <w:t>http://www.gsxt.gov.cn</w:t>
      </w:r>
      <w:r>
        <w:rPr>
          <w:rStyle w:val="59"/>
          <w:rFonts w:hint="eastAsia" w:ascii="宋体" w:hAnsi="宋体" w:cs="宋体"/>
          <w:color w:val="auto"/>
          <w:szCs w:val="21"/>
        </w:rPr>
        <w:fldChar w:fldCharType="end"/>
      </w:r>
      <w:r>
        <w:rPr>
          <w:rFonts w:hint="eastAsia" w:ascii="宋体" w:hAnsi="宋体" w:cs="宋体"/>
          <w:szCs w:val="21"/>
        </w:rPr>
        <w:t>）等渠道列入经营异常名录、严重违法失信企业名单，未被全国公共资源交易平台（</w:t>
      </w:r>
      <w:r>
        <w:fldChar w:fldCharType="begin"/>
      </w:r>
      <w:r>
        <w:instrText xml:space="preserve"> HYPERLINK "http://www.ggzy.gov.cn" </w:instrText>
      </w:r>
      <w:r>
        <w:fldChar w:fldCharType="separate"/>
      </w:r>
      <w:r>
        <w:rPr>
          <w:rStyle w:val="59"/>
          <w:rFonts w:hint="eastAsia" w:ascii="宋体" w:hAnsi="宋体" w:cs="宋体"/>
          <w:color w:val="auto"/>
          <w:szCs w:val="21"/>
        </w:rPr>
        <w:t>http://www.ggzy.gov.cn</w:t>
      </w:r>
      <w:r>
        <w:rPr>
          <w:rStyle w:val="59"/>
          <w:rFonts w:hint="eastAsia" w:ascii="宋体" w:hAnsi="宋体" w:cs="宋体"/>
          <w:color w:val="auto"/>
          <w:szCs w:val="21"/>
        </w:rPr>
        <w:fldChar w:fldCharType="end"/>
      </w:r>
      <w:r>
        <w:rPr>
          <w:rFonts w:hint="eastAsia" w:ascii="宋体" w:hAnsi="宋体" w:cs="宋体"/>
          <w:szCs w:val="21"/>
        </w:rPr>
        <w:t>）等渠道列入黑名单，否则，可将我方的响应文件按照无效文件处理。</w:t>
      </w:r>
    </w:p>
    <w:p w14:paraId="264F1D02">
      <w:pPr>
        <w:tabs>
          <w:tab w:val="left" w:pos="420"/>
          <w:tab w:val="left" w:pos="562"/>
          <w:tab w:val="left" w:pos="945"/>
          <w:tab w:val="left" w:pos="5382"/>
          <w:tab w:val="left" w:pos="7560"/>
        </w:tabs>
        <w:adjustRightInd w:val="0"/>
        <w:snapToGrid w:val="0"/>
        <w:spacing w:line="360" w:lineRule="auto"/>
        <w:ind w:firstLine="525" w:firstLineChars="250"/>
        <w:rPr>
          <w:rFonts w:ascii="宋体"/>
          <w:kern w:val="0"/>
          <w:szCs w:val="21"/>
        </w:rPr>
      </w:pPr>
      <w:r>
        <w:rPr>
          <w:rFonts w:hint="eastAsia" w:ascii="宋体" w:hAnsi="宋体" w:cs="宋体"/>
          <w:kern w:val="0"/>
          <w:szCs w:val="21"/>
        </w:rPr>
        <w:t>3、我方承诺参加本次采购活动前三年内，在经营活动中没有重大违法记录，否则，可将我方的响应文件按照无效文件处理。</w:t>
      </w:r>
    </w:p>
    <w:p w14:paraId="1DE88379">
      <w:pPr>
        <w:tabs>
          <w:tab w:val="left" w:pos="420"/>
          <w:tab w:val="left" w:pos="562"/>
          <w:tab w:val="left" w:pos="945"/>
          <w:tab w:val="left" w:pos="5382"/>
          <w:tab w:val="left" w:pos="7560"/>
        </w:tabs>
        <w:adjustRightInd w:val="0"/>
        <w:snapToGrid w:val="0"/>
        <w:spacing w:line="360" w:lineRule="auto"/>
        <w:ind w:firstLine="525" w:firstLineChars="250"/>
        <w:rPr>
          <w:rFonts w:ascii="宋体"/>
          <w:szCs w:val="21"/>
        </w:rPr>
      </w:pPr>
      <w:r>
        <w:rPr>
          <w:rFonts w:hint="eastAsia" w:ascii="宋体" w:hAnsi="宋体" w:cs="宋体"/>
          <w:szCs w:val="21"/>
        </w:rPr>
        <w:t>4、我方承诺按照本项目磋商文件和相关技术标准的条件，提供货物及相关服务，并承担因货物质量或服务等引起的一切责任。</w:t>
      </w:r>
    </w:p>
    <w:p w14:paraId="76238F4C">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5、我方对本项目磋商文件（包括修改文件及有关附件）完全理解，并承诺在发生争议时，不会以对磋商文件存在误解、不明为由，向你方行使任何法律上的抗辩权。</w:t>
      </w:r>
    </w:p>
    <w:p w14:paraId="1ACFE1A4">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6、我方响应文件有效期为自递交响应文件日起</w:t>
      </w:r>
      <w:r>
        <w:rPr>
          <w:rFonts w:hint="eastAsia" w:ascii="宋体" w:hAnsi="宋体" w:cs="宋体"/>
          <w:szCs w:val="21"/>
          <w:u w:val="single"/>
        </w:rPr>
        <w:t>60</w:t>
      </w:r>
      <w:r>
        <w:rPr>
          <w:rFonts w:hint="eastAsia" w:ascii="宋体" w:hAnsi="宋体" w:cs="宋体"/>
          <w:szCs w:val="21"/>
        </w:rPr>
        <w:t>天，若成交，则有效期自动延续至合同履行完毕。</w:t>
      </w:r>
    </w:p>
    <w:p w14:paraId="6A9325AF">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7、我方承诺接受磋商文件规定的付款方式。</w:t>
      </w:r>
    </w:p>
    <w:p w14:paraId="14C8E605">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8、我方响应文件和你方的成交通知书、磋商文件将成为约束双方的合同文件组成部分，若磋商文件存在要求，而本响应文件没有拒绝亦没有涉及的情形下，我方接受磋商文件的有关约束，并同意将磋商文件对供应商的要求作为响应人合同义务的组成部分。</w:t>
      </w:r>
    </w:p>
    <w:p w14:paraId="266EEEE3">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9、我方承诺响应文件中所有的资料及所作各项承诺均真实准确，所提交的营业执照已依法向登记管理机关报送相应的年度报告并予以公示（或所提交的《社会团体法人登记证书》/《民办非企业单位登记证书》已通过登记管理机关的年度检查），不存在任何虚假之处，否则，可将我方的响应文件按照无效文件处理，即使我方成交，成交结果无效，对于因此给其他供应商及你方造成的全部损失，我方同意无条件予以赔偿。</w:t>
      </w:r>
    </w:p>
    <w:p w14:paraId="1A7B74A9">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10、我方委托授权(姓名：身份证号:_________，联系电话：________)作为我方的代理人参加本项目磋商，负责提交响应文件以及其它相关资料，参加磋商，接受质询并予以澄清，签署、接受磋商过程中的各种法律文件，办理投标过程中的其他相关事务。</w:t>
      </w:r>
    </w:p>
    <w:p w14:paraId="013A7059">
      <w:pPr>
        <w:tabs>
          <w:tab w:val="left" w:pos="525"/>
          <w:tab w:val="left" w:pos="562"/>
          <w:tab w:val="left" w:pos="945"/>
          <w:tab w:val="left" w:pos="5382"/>
        </w:tabs>
        <w:adjustRightInd w:val="0"/>
        <w:snapToGrid w:val="0"/>
        <w:spacing w:line="360" w:lineRule="auto"/>
        <w:ind w:left="420"/>
        <w:rPr>
          <w:rFonts w:ascii="宋体"/>
          <w:szCs w:val="21"/>
        </w:rPr>
      </w:pPr>
      <w:r>
        <w:rPr>
          <w:rFonts w:hint="eastAsia" w:ascii="宋体" w:hAnsi="宋体" w:cs="宋体"/>
          <w:szCs w:val="21"/>
        </w:rPr>
        <w:t>11、我方承诺将严格遵守相关法律法规，若存在违法违规行为，将承担相应的法律后果。</w:t>
      </w:r>
    </w:p>
    <w:p w14:paraId="48A758AF">
      <w:pPr>
        <w:tabs>
          <w:tab w:val="left" w:pos="945"/>
        </w:tabs>
        <w:adjustRightInd w:val="0"/>
        <w:snapToGrid w:val="0"/>
        <w:spacing w:line="360" w:lineRule="auto"/>
        <w:ind w:left="420" w:firstLine="3780" w:firstLineChars="1800"/>
        <w:rPr>
          <w:rFonts w:ascii="宋体"/>
          <w:szCs w:val="21"/>
        </w:rPr>
      </w:pPr>
      <w:r>
        <w:rPr>
          <w:rFonts w:hint="eastAsia" w:ascii="宋体" w:hAnsi="宋体" w:cs="宋体"/>
          <w:szCs w:val="21"/>
        </w:rPr>
        <w:t>单位负责人签字或盖章：</w:t>
      </w:r>
    </w:p>
    <w:p w14:paraId="355F6031">
      <w:pPr>
        <w:tabs>
          <w:tab w:val="left" w:pos="945"/>
        </w:tabs>
        <w:adjustRightInd w:val="0"/>
        <w:snapToGrid w:val="0"/>
        <w:spacing w:line="360" w:lineRule="auto"/>
        <w:ind w:left="420" w:firstLine="3780" w:firstLineChars="1800"/>
        <w:rPr>
          <w:rFonts w:ascii="宋体"/>
          <w:szCs w:val="21"/>
        </w:rPr>
      </w:pPr>
      <w:r>
        <w:rPr>
          <w:rFonts w:hint="eastAsia" w:ascii="宋体" w:hAnsi="宋体" w:cs="宋体"/>
          <w:szCs w:val="21"/>
        </w:rPr>
        <w:t>投标人公章：</w:t>
      </w:r>
    </w:p>
    <w:p w14:paraId="4C6C9642">
      <w:pPr>
        <w:adjustRightInd w:val="0"/>
        <w:snapToGrid w:val="0"/>
        <w:spacing w:line="360" w:lineRule="auto"/>
        <w:ind w:right="840" w:firstLine="4179" w:firstLineChars="1990"/>
        <w:rPr>
          <w:rFonts w:ascii="宋体"/>
          <w:szCs w:val="21"/>
        </w:rPr>
      </w:pPr>
      <w:r>
        <w:rPr>
          <w:rFonts w:hint="eastAsia" w:ascii="宋体" w:hAnsi="宋体" w:cs="宋体"/>
          <w:szCs w:val="21"/>
        </w:rPr>
        <w:t>日期：</w:t>
      </w:r>
      <w:bookmarkEnd w:id="175"/>
    </w:p>
    <w:p w14:paraId="75A68628">
      <w:pPr>
        <w:adjustRightInd w:val="0"/>
        <w:snapToGrid w:val="0"/>
        <w:spacing w:line="360" w:lineRule="auto"/>
        <w:jc w:val="center"/>
        <w:rPr>
          <w:rFonts w:ascii="宋体" w:hAnsi="宋体" w:cs="宋体"/>
          <w:b/>
          <w:bCs/>
          <w:kern w:val="0"/>
          <w:sz w:val="24"/>
        </w:rPr>
        <w:sectPr>
          <w:footerReference r:id="rId10" w:type="default"/>
          <w:pgSz w:w="11907" w:h="16840"/>
          <w:pgMar w:top="1440" w:right="1559" w:bottom="1440" w:left="1560" w:header="851" w:footer="851" w:gutter="0"/>
          <w:cols w:space="720" w:num="1"/>
          <w:docGrid w:linePitch="312" w:charSpace="0"/>
        </w:sectPr>
      </w:pPr>
    </w:p>
    <w:p w14:paraId="7A997D7F">
      <w:pPr>
        <w:adjustRightInd w:val="0"/>
        <w:snapToGrid w:val="0"/>
        <w:spacing w:line="360" w:lineRule="auto"/>
        <w:jc w:val="center"/>
        <w:rPr>
          <w:rFonts w:ascii="宋体" w:hAnsi="宋体" w:cs="宋体"/>
          <w:b/>
          <w:bCs/>
          <w:kern w:val="0"/>
          <w:sz w:val="30"/>
          <w:szCs w:val="30"/>
        </w:rPr>
      </w:pPr>
      <w:r>
        <w:rPr>
          <w:rFonts w:hint="eastAsia" w:ascii="宋体" w:hAnsi="宋体" w:cs="宋体"/>
          <w:b/>
          <w:bCs/>
          <w:kern w:val="0"/>
          <w:sz w:val="30"/>
          <w:szCs w:val="30"/>
        </w:rPr>
        <w:t>法定代表人身份证明书</w:t>
      </w:r>
    </w:p>
    <w:p w14:paraId="5BF378DB">
      <w:pPr>
        <w:adjustRightInd w:val="0"/>
        <w:snapToGrid w:val="0"/>
        <w:spacing w:line="360" w:lineRule="auto"/>
        <w:rPr>
          <w:rFonts w:ascii="宋体" w:hAnsi="宋体" w:cs="宋体"/>
          <w:szCs w:val="21"/>
        </w:rPr>
      </w:pPr>
      <w:r>
        <w:rPr>
          <w:rFonts w:hint="eastAsia" w:ascii="宋体" w:hAnsi="宋体" w:cs="宋体"/>
          <w:szCs w:val="21"/>
        </w:rPr>
        <w:t>单位名称：_______________________________________________________</w:t>
      </w:r>
    </w:p>
    <w:p w14:paraId="229FD97C">
      <w:pPr>
        <w:adjustRightInd w:val="0"/>
        <w:snapToGrid w:val="0"/>
        <w:spacing w:line="360" w:lineRule="auto"/>
        <w:rPr>
          <w:rFonts w:ascii="宋体" w:hAnsi="宋体" w:cs="宋体"/>
          <w:szCs w:val="21"/>
        </w:rPr>
      </w:pPr>
      <w:r>
        <w:rPr>
          <w:rFonts w:hint="eastAsia" w:ascii="宋体" w:hAnsi="宋体" w:cs="宋体"/>
          <w:szCs w:val="21"/>
        </w:rPr>
        <w:t>单位性质：_______________________________________________________</w:t>
      </w:r>
    </w:p>
    <w:p w14:paraId="749BAE0C">
      <w:pPr>
        <w:adjustRightInd w:val="0"/>
        <w:snapToGrid w:val="0"/>
        <w:spacing w:line="360" w:lineRule="auto"/>
        <w:rPr>
          <w:rFonts w:ascii="宋体" w:hAnsi="宋体" w:cs="宋体"/>
          <w:szCs w:val="21"/>
        </w:rPr>
      </w:pPr>
      <w:r>
        <w:rPr>
          <w:rFonts w:hint="eastAsia" w:ascii="宋体" w:hAnsi="宋体" w:cs="宋体"/>
          <w:szCs w:val="21"/>
        </w:rPr>
        <w:t>地址：_______________________________________________________</w:t>
      </w:r>
    </w:p>
    <w:p w14:paraId="474248B3">
      <w:pPr>
        <w:adjustRightInd w:val="0"/>
        <w:snapToGrid w:val="0"/>
        <w:spacing w:line="360" w:lineRule="auto"/>
        <w:rPr>
          <w:rFonts w:ascii="宋体" w:hAnsi="宋体" w:cs="宋体"/>
          <w:szCs w:val="21"/>
        </w:rPr>
      </w:pPr>
      <w:r>
        <w:rPr>
          <w:rFonts w:hint="eastAsia" w:ascii="宋体" w:hAnsi="宋体" w:cs="宋体"/>
          <w:szCs w:val="21"/>
        </w:rPr>
        <w:t>成立时间：____________年_______月_______日</w:t>
      </w:r>
    </w:p>
    <w:p w14:paraId="1399B310">
      <w:pPr>
        <w:adjustRightInd w:val="0"/>
        <w:snapToGrid w:val="0"/>
        <w:spacing w:line="360" w:lineRule="auto"/>
        <w:rPr>
          <w:rFonts w:ascii="宋体" w:hAnsi="宋体" w:cs="宋体"/>
          <w:szCs w:val="21"/>
        </w:rPr>
      </w:pPr>
      <w:r>
        <w:rPr>
          <w:rFonts w:hint="eastAsia" w:ascii="宋体" w:hAnsi="宋体" w:cs="宋体"/>
          <w:szCs w:val="21"/>
        </w:rPr>
        <w:t>经营期限：________________________________________________________</w:t>
      </w:r>
    </w:p>
    <w:p w14:paraId="507BC348">
      <w:pPr>
        <w:adjustRightInd w:val="0"/>
        <w:snapToGrid w:val="0"/>
        <w:spacing w:line="360" w:lineRule="auto"/>
        <w:rPr>
          <w:rFonts w:ascii="宋体" w:hAnsi="宋体" w:cs="宋体"/>
          <w:szCs w:val="21"/>
        </w:rPr>
      </w:pPr>
      <w:r>
        <w:rPr>
          <w:rFonts w:hint="eastAsia" w:ascii="宋体" w:hAnsi="宋体" w:cs="宋体"/>
          <w:szCs w:val="21"/>
        </w:rPr>
        <w:t xml:space="preserve">姓名：__________ 身份证号码：______________联系电话（手机）：___  </w:t>
      </w:r>
    </w:p>
    <w:p w14:paraId="429D7DE9">
      <w:pPr>
        <w:adjustRightInd w:val="0"/>
        <w:snapToGrid w:val="0"/>
        <w:spacing w:line="360" w:lineRule="auto"/>
        <w:rPr>
          <w:rFonts w:ascii="宋体" w:hAnsi="宋体" w:cs="宋体"/>
          <w:szCs w:val="21"/>
        </w:rPr>
      </w:pPr>
      <w:r>
        <w:rPr>
          <w:rFonts w:hint="eastAsia" w:ascii="宋体" w:hAnsi="宋体" w:cs="宋体"/>
          <w:szCs w:val="21"/>
        </w:rPr>
        <w:t>性别：________  年龄：________ 职务：________系</w:t>
      </w:r>
      <w:r>
        <w:rPr>
          <w:rFonts w:hint="eastAsia" w:ascii="宋体" w:hAnsi="宋体" w:cs="宋体"/>
          <w:szCs w:val="21"/>
          <w:u w:val="single"/>
        </w:rPr>
        <w:t>（供应商单位名称）</w:t>
      </w:r>
      <w:r>
        <w:rPr>
          <w:rFonts w:hint="eastAsia" w:ascii="宋体" w:hAnsi="宋体" w:cs="宋体"/>
          <w:szCs w:val="21"/>
        </w:rPr>
        <w:t>的法定代表人</w:t>
      </w:r>
      <w:r>
        <w:rPr>
          <w:rFonts w:hint="eastAsia" w:ascii="宋体" w:hAnsi="宋体"/>
          <w:color w:val="000000"/>
          <w:szCs w:val="21"/>
        </w:rPr>
        <w:t>（或企业负责人）</w:t>
      </w:r>
      <w:r>
        <w:rPr>
          <w:rFonts w:hint="eastAsia" w:ascii="宋体" w:hAnsi="宋体" w:cs="宋体"/>
          <w:szCs w:val="21"/>
        </w:rPr>
        <w:t>。</w:t>
      </w:r>
    </w:p>
    <w:p w14:paraId="6B11CF75">
      <w:pPr>
        <w:adjustRightInd w:val="0"/>
        <w:snapToGrid w:val="0"/>
        <w:spacing w:line="360" w:lineRule="auto"/>
        <w:rPr>
          <w:rFonts w:ascii="宋体" w:hAnsi="宋体" w:cs="宋体"/>
          <w:szCs w:val="21"/>
        </w:rPr>
      </w:pPr>
      <w:r>
        <w:rPr>
          <w:rFonts w:hint="eastAsia" w:ascii="宋体" w:hAnsi="宋体" w:cs="宋体"/>
          <w:szCs w:val="21"/>
        </w:rPr>
        <w:t>特此证明。</w:t>
      </w:r>
    </w:p>
    <w:p w14:paraId="35716DF4">
      <w:pPr>
        <w:adjustRightInd w:val="0"/>
        <w:snapToGrid w:val="0"/>
        <w:spacing w:line="360" w:lineRule="auto"/>
        <w:rPr>
          <w:rFonts w:ascii="宋体" w:hAnsi="宋体" w:cs="宋体"/>
          <w:szCs w:val="21"/>
        </w:rPr>
      </w:pPr>
      <w:r>
        <w:rPr>
          <w:rFonts w:hint="eastAsia" w:ascii="宋体" w:hAnsi="宋体" w:cs="宋体"/>
          <w:szCs w:val="21"/>
        </w:rPr>
        <w:t>供应商：____________________（盖章）</w:t>
      </w:r>
    </w:p>
    <w:p w14:paraId="6B7D4CB3">
      <w:pPr>
        <w:adjustRightInd w:val="0"/>
        <w:snapToGrid w:val="0"/>
        <w:spacing w:line="360" w:lineRule="auto"/>
        <w:rPr>
          <w:rFonts w:ascii="宋体" w:hAnsi="宋体" w:cs="宋体"/>
          <w:szCs w:val="21"/>
        </w:rPr>
      </w:pPr>
      <w:r>
        <w:rPr>
          <w:rFonts w:hint="eastAsia" w:ascii="宋体" w:hAnsi="宋体" w:cs="宋体"/>
          <w:szCs w:val="21"/>
        </w:rPr>
        <w:t>日期：__________年______月_____日</w:t>
      </w:r>
    </w:p>
    <w:p w14:paraId="2F77F9A2">
      <w:pPr>
        <w:adjustRightInd w:val="0"/>
        <w:snapToGrid w:val="0"/>
        <w:spacing w:line="360" w:lineRule="auto"/>
        <w:jc w:val="center"/>
        <w:rPr>
          <w:rFonts w:ascii="宋体" w:hAnsi="宋体" w:cs="宋体"/>
          <w:b/>
          <w:sz w:val="24"/>
        </w:rPr>
      </w:pPr>
      <w:r>
        <w:rPr>
          <w:rFonts w:hint="eastAsia" w:ascii="宋体" w:hAnsi="宋体" w:cs="宋体"/>
          <w:b/>
          <w:bCs/>
          <w:szCs w:val="21"/>
        </w:rPr>
        <w:t>附法定代表人</w:t>
      </w:r>
      <w:r>
        <w:rPr>
          <w:rFonts w:hint="eastAsia" w:ascii="宋体" w:hAnsi="宋体"/>
          <w:color w:val="000000"/>
          <w:szCs w:val="21"/>
        </w:rPr>
        <w:t>（或企业负责人）</w:t>
      </w:r>
      <w:r>
        <w:rPr>
          <w:rFonts w:hint="eastAsia" w:ascii="宋体" w:hAnsi="宋体" w:cs="宋体"/>
          <w:b/>
          <w:bCs/>
          <w:szCs w:val="21"/>
        </w:rPr>
        <w:t>身份证复印件</w:t>
      </w:r>
      <w:bookmarkStart w:id="176" w:name="_Toc140557477"/>
      <w:bookmarkEnd w:id="176"/>
      <w:r>
        <w:rPr>
          <w:rFonts w:hint="eastAsia" w:ascii="宋体" w:hAnsi="宋体" w:cs="黑体"/>
          <w:sz w:val="24"/>
          <w:lang w:val="en-GB"/>
        </w:rPr>
        <w:br w:type="page"/>
      </w:r>
      <w:r>
        <w:rPr>
          <w:rFonts w:hint="eastAsia" w:ascii="宋体" w:hAnsi="宋体" w:cs="宋体"/>
          <w:b/>
          <w:sz w:val="30"/>
          <w:szCs w:val="30"/>
        </w:rPr>
        <w:t>授权委托书</w:t>
      </w:r>
    </w:p>
    <w:p w14:paraId="3BA3845A">
      <w:pPr>
        <w:pStyle w:val="121"/>
        <w:widowControl/>
        <w:spacing w:line="520" w:lineRule="exact"/>
        <w:rPr>
          <w:rFonts w:ascii="宋体" w:hAnsi="宋体" w:cs="方正大标宋简体"/>
          <w:sz w:val="24"/>
        </w:rPr>
      </w:pPr>
    </w:p>
    <w:p w14:paraId="1E6909D0">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本授权书声明：____________（供应商名称）授权________________（被授权人的姓名）为我方就（项目编号）项目采购活动的合法代理人，以本公司名义全权处理一切与该项目采购有关的事务。</w:t>
      </w:r>
    </w:p>
    <w:p w14:paraId="7AFD565C">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本授权书于______年____月____日起生效，特此声明。</w:t>
      </w:r>
    </w:p>
    <w:p w14:paraId="255FFDF6">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代理人（被授权人）：_______________________</w:t>
      </w:r>
    </w:p>
    <w:p w14:paraId="7DFF5FB1">
      <w:pPr>
        <w:pStyle w:val="100"/>
        <w:widowControl/>
        <w:spacing w:line="520" w:lineRule="exact"/>
        <w:ind w:firstLine="480"/>
        <w:rPr>
          <w:rFonts w:ascii="宋体" w:hAnsi="宋体" w:cs="宋体"/>
          <w:color w:val="auto"/>
          <w:sz w:val="21"/>
          <w:szCs w:val="21"/>
        </w:rPr>
      </w:pPr>
    </w:p>
    <w:p w14:paraId="56A06835">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单位名称：_____________________________________</w:t>
      </w:r>
    </w:p>
    <w:p w14:paraId="496A674A">
      <w:pPr>
        <w:pStyle w:val="100"/>
        <w:widowControl/>
        <w:spacing w:line="520" w:lineRule="exact"/>
        <w:ind w:firstLine="480"/>
        <w:rPr>
          <w:rFonts w:ascii="宋体" w:hAnsi="宋体" w:cs="宋体"/>
          <w:color w:val="auto"/>
          <w:sz w:val="21"/>
          <w:szCs w:val="21"/>
        </w:rPr>
      </w:pPr>
    </w:p>
    <w:p w14:paraId="40726293">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授权单位盖章：_________________________________</w:t>
      </w:r>
    </w:p>
    <w:p w14:paraId="2D68E655">
      <w:pPr>
        <w:pStyle w:val="100"/>
        <w:widowControl/>
        <w:spacing w:line="520" w:lineRule="exact"/>
        <w:ind w:firstLine="480"/>
        <w:rPr>
          <w:rFonts w:ascii="宋体" w:hAnsi="宋体" w:cs="宋体"/>
          <w:color w:val="auto"/>
          <w:sz w:val="21"/>
          <w:szCs w:val="21"/>
        </w:rPr>
      </w:pPr>
    </w:p>
    <w:p w14:paraId="49B4736A">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单位名称：_____________________________________</w:t>
      </w:r>
    </w:p>
    <w:p w14:paraId="37A46491">
      <w:pPr>
        <w:pStyle w:val="100"/>
        <w:widowControl/>
        <w:spacing w:line="520" w:lineRule="exact"/>
        <w:ind w:firstLine="480"/>
        <w:rPr>
          <w:rFonts w:ascii="宋体" w:hAnsi="宋体" w:cs="宋体"/>
          <w:color w:val="auto"/>
          <w:sz w:val="21"/>
          <w:szCs w:val="21"/>
        </w:rPr>
      </w:pPr>
    </w:p>
    <w:p w14:paraId="69C06598">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地址：_____________________________________</w:t>
      </w:r>
    </w:p>
    <w:p w14:paraId="2D292E6A">
      <w:pPr>
        <w:pStyle w:val="100"/>
        <w:widowControl/>
        <w:spacing w:line="520" w:lineRule="exact"/>
        <w:rPr>
          <w:rFonts w:ascii="宋体" w:hAnsi="宋体" w:cs="宋体"/>
          <w:color w:val="auto"/>
          <w:sz w:val="21"/>
          <w:szCs w:val="21"/>
        </w:rPr>
      </w:pPr>
    </w:p>
    <w:p w14:paraId="5EAA37A3">
      <w:pPr>
        <w:pStyle w:val="100"/>
        <w:widowControl/>
        <w:spacing w:line="520" w:lineRule="exact"/>
        <w:ind w:firstLine="480"/>
        <w:rPr>
          <w:rFonts w:ascii="宋体" w:hAnsi="宋体" w:cs="宋体"/>
          <w:color w:val="auto"/>
          <w:sz w:val="21"/>
          <w:szCs w:val="21"/>
          <w:u w:val="single"/>
        </w:rPr>
      </w:pPr>
      <w:r>
        <w:rPr>
          <w:rFonts w:hint="eastAsia" w:ascii="宋体" w:hAnsi="宋体" w:cs="宋体"/>
          <w:color w:val="auto"/>
          <w:sz w:val="21"/>
          <w:szCs w:val="21"/>
        </w:rPr>
        <w:t>日期：</w:t>
      </w:r>
    </w:p>
    <w:p w14:paraId="7CD5F805">
      <w:pPr>
        <w:spacing w:line="360" w:lineRule="auto"/>
        <w:jc w:val="center"/>
        <w:rPr>
          <w:rFonts w:ascii="宋体" w:hAnsi="宋体"/>
          <w:sz w:val="24"/>
        </w:rPr>
      </w:pPr>
    </w:p>
    <w:p w14:paraId="50294538">
      <w:pPr>
        <w:spacing w:line="460" w:lineRule="exact"/>
        <w:rPr>
          <w:rFonts w:ascii="宋体" w:hAnsi="宋体"/>
          <w:bCs/>
          <w:szCs w:val="21"/>
        </w:rPr>
      </w:pPr>
      <w:r>
        <w:rPr>
          <w:rFonts w:hint="eastAsia" w:ascii="宋体" w:hAnsi="宋体"/>
          <w:sz w:val="24"/>
        </w:rPr>
        <w:br w:type="page"/>
      </w:r>
    </w:p>
    <w:p w14:paraId="18BF228F">
      <w:pPr>
        <w:pStyle w:val="4"/>
        <w:rPr>
          <w:rFonts w:ascii="黑体" w:hAnsi="宋体" w:eastAsia="黑体"/>
          <w:b w:val="0"/>
          <w:bCs/>
          <w:sz w:val="30"/>
          <w:szCs w:val="30"/>
        </w:rPr>
        <w:sectPr>
          <w:pgSz w:w="11907" w:h="16840"/>
          <w:pgMar w:top="1440" w:right="1559" w:bottom="1440" w:left="1560" w:header="851" w:footer="851" w:gutter="0"/>
          <w:cols w:space="720" w:num="1"/>
          <w:docGrid w:linePitch="312" w:charSpace="0"/>
        </w:sectPr>
      </w:pPr>
    </w:p>
    <w:p w14:paraId="706338F7">
      <w:pPr>
        <w:jc w:val="center"/>
        <w:outlineLvl w:val="0"/>
        <w:rPr>
          <w:rFonts w:ascii="宋体" w:hAnsi="宋体"/>
          <w:b/>
          <w:sz w:val="30"/>
          <w:szCs w:val="30"/>
        </w:rPr>
      </w:pPr>
      <w:bookmarkStart w:id="177" w:name="_Toc21141"/>
      <w:r>
        <w:rPr>
          <w:rFonts w:hint="eastAsia" w:ascii="宋体" w:hAnsi="宋体"/>
          <w:b/>
          <w:sz w:val="30"/>
          <w:szCs w:val="30"/>
        </w:rPr>
        <w:t>磋商响应函</w:t>
      </w:r>
      <w:bookmarkEnd w:id="177"/>
    </w:p>
    <w:p w14:paraId="74DA3164">
      <w:pPr>
        <w:pStyle w:val="100"/>
        <w:spacing w:line="520" w:lineRule="exact"/>
        <w:ind w:firstLine="420" w:firstLineChars="200"/>
        <w:rPr>
          <w:color w:val="auto"/>
          <w:sz w:val="21"/>
          <w:szCs w:val="21"/>
          <w:u w:val="single"/>
        </w:rPr>
      </w:pPr>
      <w:r>
        <w:rPr>
          <w:rFonts w:hint="eastAsia"/>
          <w:color w:val="auto"/>
          <w:sz w:val="21"/>
          <w:szCs w:val="21"/>
        </w:rPr>
        <w:t>致：</w:t>
      </w:r>
      <w:r>
        <w:rPr>
          <w:rFonts w:hint="eastAsia"/>
          <w:color w:val="auto"/>
          <w:sz w:val="21"/>
          <w:szCs w:val="21"/>
          <w:u w:val="single"/>
        </w:rPr>
        <w:t>（采购人）</w:t>
      </w:r>
    </w:p>
    <w:p w14:paraId="0A560D1E">
      <w:pPr>
        <w:pStyle w:val="100"/>
        <w:spacing w:line="520" w:lineRule="exact"/>
        <w:ind w:firstLine="420" w:firstLineChars="200"/>
        <w:rPr>
          <w:color w:val="auto"/>
          <w:sz w:val="21"/>
          <w:szCs w:val="21"/>
        </w:rPr>
      </w:pPr>
      <w:r>
        <w:rPr>
          <w:rFonts w:hint="eastAsia"/>
          <w:color w:val="auto"/>
          <w:sz w:val="21"/>
          <w:szCs w:val="21"/>
        </w:rPr>
        <w:t>根据贵方的磋商文件，正式授权下述签字人_________ (姓名和职务)代表我方______________（供应商的名称），全权处理本次项目磋商采购的有关事宜。</w:t>
      </w:r>
    </w:p>
    <w:p w14:paraId="5FD84D21">
      <w:pPr>
        <w:pStyle w:val="100"/>
        <w:spacing w:line="520" w:lineRule="exact"/>
        <w:ind w:firstLine="420" w:firstLineChars="200"/>
        <w:rPr>
          <w:color w:val="auto"/>
          <w:sz w:val="21"/>
          <w:szCs w:val="21"/>
        </w:rPr>
      </w:pPr>
      <w:r>
        <w:rPr>
          <w:rFonts w:hint="eastAsia"/>
          <w:color w:val="auto"/>
          <w:sz w:val="21"/>
          <w:szCs w:val="21"/>
        </w:rPr>
        <w:t>据此函，__________（签字人）兹宣布同意如下：</w:t>
      </w:r>
    </w:p>
    <w:p w14:paraId="5080276D">
      <w:pPr>
        <w:pStyle w:val="100"/>
        <w:spacing w:line="520" w:lineRule="exact"/>
        <w:ind w:firstLine="420" w:firstLineChars="200"/>
        <w:rPr>
          <w:color w:val="auto"/>
          <w:sz w:val="21"/>
          <w:szCs w:val="21"/>
        </w:rPr>
      </w:pPr>
      <w:r>
        <w:rPr>
          <w:rFonts w:hint="eastAsia"/>
          <w:color w:val="auto"/>
          <w:sz w:val="21"/>
          <w:szCs w:val="21"/>
        </w:rPr>
        <w:t>1.按磋商文件规定的各项要求，承接该项目。</w:t>
      </w:r>
    </w:p>
    <w:p w14:paraId="145301D0">
      <w:pPr>
        <w:pStyle w:val="100"/>
        <w:spacing w:line="520" w:lineRule="exact"/>
        <w:ind w:firstLine="420" w:firstLineChars="200"/>
        <w:rPr>
          <w:color w:val="auto"/>
          <w:sz w:val="21"/>
          <w:szCs w:val="21"/>
        </w:rPr>
      </w:pPr>
      <w:r>
        <w:rPr>
          <w:rFonts w:hint="eastAsia"/>
          <w:color w:val="auto"/>
          <w:sz w:val="21"/>
          <w:szCs w:val="21"/>
        </w:rPr>
        <w:t>2.我们已详细审核全部磋商文件及其有效补充文件，我们知道必须放弃提出含糊不清或误解问题的权利。</w:t>
      </w:r>
    </w:p>
    <w:p w14:paraId="156FDFC1">
      <w:pPr>
        <w:pStyle w:val="100"/>
        <w:spacing w:line="520" w:lineRule="exact"/>
        <w:ind w:firstLine="420" w:firstLineChars="200"/>
        <w:rPr>
          <w:color w:val="auto"/>
          <w:sz w:val="21"/>
          <w:szCs w:val="21"/>
        </w:rPr>
      </w:pPr>
      <w:r>
        <w:rPr>
          <w:rFonts w:hint="eastAsia"/>
          <w:color w:val="auto"/>
          <w:sz w:val="21"/>
          <w:szCs w:val="21"/>
        </w:rPr>
        <w:t>3.我们同意从规定的</w:t>
      </w:r>
      <w:r>
        <w:rPr>
          <w:rFonts w:hint="eastAsia" w:ascii="宋体" w:hAnsi="宋体"/>
          <w:color w:val="auto"/>
          <w:sz w:val="21"/>
          <w:szCs w:val="21"/>
        </w:rPr>
        <w:t>响应文件接收截止时间</w:t>
      </w:r>
      <w:r>
        <w:rPr>
          <w:rFonts w:hint="eastAsia"/>
          <w:color w:val="auto"/>
          <w:sz w:val="21"/>
          <w:szCs w:val="21"/>
        </w:rPr>
        <w:t>起遵循本响应文件，并在规定的磋商有效期期满之前均具有约束力。</w:t>
      </w:r>
    </w:p>
    <w:p w14:paraId="41F1020B">
      <w:pPr>
        <w:pStyle w:val="100"/>
        <w:spacing w:line="520" w:lineRule="exact"/>
        <w:ind w:firstLine="420" w:firstLineChars="200"/>
        <w:rPr>
          <w:color w:val="auto"/>
          <w:sz w:val="21"/>
          <w:szCs w:val="21"/>
        </w:rPr>
      </w:pPr>
      <w:r>
        <w:rPr>
          <w:rFonts w:hint="eastAsia"/>
          <w:color w:val="auto"/>
          <w:sz w:val="21"/>
          <w:szCs w:val="21"/>
        </w:rPr>
        <w:t>4.如果在</w:t>
      </w:r>
      <w:r>
        <w:rPr>
          <w:rFonts w:hint="eastAsia" w:ascii="宋体" w:hAnsi="宋体"/>
          <w:color w:val="auto"/>
          <w:sz w:val="21"/>
          <w:szCs w:val="21"/>
        </w:rPr>
        <w:t>响应文件接收截止时间</w:t>
      </w:r>
      <w:r>
        <w:rPr>
          <w:rFonts w:hint="eastAsia"/>
          <w:color w:val="auto"/>
          <w:sz w:val="21"/>
          <w:szCs w:val="21"/>
        </w:rPr>
        <w:t>后规定的磋商有效期内撤回响应文件或成交后拒绝签订合同，我们的磋商保证金可被贵方没收。</w:t>
      </w:r>
    </w:p>
    <w:p w14:paraId="631330FE">
      <w:pPr>
        <w:pStyle w:val="100"/>
        <w:spacing w:line="520" w:lineRule="exact"/>
        <w:ind w:firstLine="420" w:firstLineChars="200"/>
        <w:rPr>
          <w:color w:val="auto"/>
          <w:sz w:val="21"/>
          <w:szCs w:val="21"/>
        </w:rPr>
      </w:pPr>
      <w:r>
        <w:rPr>
          <w:rFonts w:hint="eastAsia"/>
          <w:color w:val="auto"/>
          <w:sz w:val="21"/>
          <w:szCs w:val="21"/>
        </w:rPr>
        <w:t>5.同意向贵方提供贵方可能另外要求的与磋商采购有关的任何证据或资料，并保证我方已提供和将要提供的文件是真实的、准确的。</w:t>
      </w:r>
    </w:p>
    <w:p w14:paraId="4DE53CC9">
      <w:pPr>
        <w:pStyle w:val="100"/>
        <w:spacing w:line="520" w:lineRule="exact"/>
        <w:ind w:firstLine="420" w:firstLineChars="200"/>
        <w:rPr>
          <w:color w:val="auto"/>
          <w:sz w:val="21"/>
          <w:szCs w:val="21"/>
        </w:rPr>
      </w:pPr>
      <w:r>
        <w:rPr>
          <w:rFonts w:hint="eastAsia"/>
          <w:color w:val="auto"/>
          <w:sz w:val="21"/>
          <w:szCs w:val="21"/>
        </w:rPr>
        <w:t>6.一旦我方成交，我方将根据磋商文件的规定，严格履行合同的责任和义务，并保证在磋商文件规定的时间完成项目，交付买方验收、使用。</w:t>
      </w:r>
    </w:p>
    <w:p w14:paraId="139429C5">
      <w:pPr>
        <w:pStyle w:val="100"/>
        <w:spacing w:line="520" w:lineRule="exact"/>
        <w:ind w:firstLine="420" w:firstLineChars="200"/>
        <w:rPr>
          <w:color w:val="auto"/>
          <w:sz w:val="21"/>
          <w:szCs w:val="21"/>
        </w:rPr>
      </w:pPr>
      <w:r>
        <w:rPr>
          <w:rFonts w:hint="eastAsia"/>
          <w:color w:val="auto"/>
          <w:sz w:val="21"/>
          <w:szCs w:val="21"/>
        </w:rPr>
        <w:t>7.遵守磋商文件中要求的收费项目和标准。</w:t>
      </w:r>
    </w:p>
    <w:p w14:paraId="42844F68">
      <w:pPr>
        <w:pStyle w:val="100"/>
        <w:spacing w:line="520" w:lineRule="exact"/>
        <w:ind w:firstLine="420" w:firstLineChars="200"/>
        <w:rPr>
          <w:color w:val="auto"/>
          <w:sz w:val="21"/>
          <w:szCs w:val="21"/>
        </w:rPr>
      </w:pPr>
      <w:r>
        <w:rPr>
          <w:rFonts w:hint="eastAsia"/>
          <w:color w:val="auto"/>
          <w:sz w:val="21"/>
          <w:szCs w:val="21"/>
        </w:rPr>
        <w:t>8.与本磋商采购有关的正式通讯地址为：</w:t>
      </w:r>
    </w:p>
    <w:p w14:paraId="3622D589">
      <w:pPr>
        <w:pStyle w:val="100"/>
        <w:spacing w:line="520" w:lineRule="exact"/>
        <w:ind w:firstLine="420" w:firstLineChars="200"/>
        <w:rPr>
          <w:color w:val="auto"/>
          <w:sz w:val="21"/>
          <w:szCs w:val="21"/>
        </w:rPr>
      </w:pPr>
      <w:r>
        <w:rPr>
          <w:rFonts w:hint="eastAsia"/>
          <w:color w:val="auto"/>
          <w:sz w:val="21"/>
          <w:szCs w:val="21"/>
        </w:rPr>
        <w:t>地 址：                         邮 编：</w:t>
      </w:r>
    </w:p>
    <w:p w14:paraId="6A8620AE">
      <w:pPr>
        <w:pStyle w:val="100"/>
        <w:spacing w:line="520" w:lineRule="exact"/>
        <w:ind w:firstLine="420" w:firstLineChars="200"/>
        <w:rPr>
          <w:color w:val="auto"/>
          <w:sz w:val="21"/>
          <w:szCs w:val="21"/>
        </w:rPr>
      </w:pPr>
      <w:r>
        <w:rPr>
          <w:rFonts w:hint="eastAsia"/>
          <w:color w:val="auto"/>
          <w:sz w:val="21"/>
          <w:szCs w:val="21"/>
        </w:rPr>
        <w:t>电 话：                         传 真：</w:t>
      </w:r>
    </w:p>
    <w:p w14:paraId="1D8FCE19">
      <w:pPr>
        <w:pStyle w:val="100"/>
        <w:spacing w:line="520" w:lineRule="exact"/>
        <w:ind w:firstLine="420" w:firstLineChars="200"/>
        <w:rPr>
          <w:color w:val="auto"/>
          <w:sz w:val="21"/>
          <w:szCs w:val="21"/>
        </w:rPr>
      </w:pPr>
      <w:r>
        <w:rPr>
          <w:rFonts w:hint="eastAsia"/>
          <w:color w:val="auto"/>
          <w:sz w:val="21"/>
          <w:szCs w:val="21"/>
        </w:rPr>
        <w:t xml:space="preserve">供应商开户行：                  账 户： </w:t>
      </w:r>
    </w:p>
    <w:p w14:paraId="5AA55BAC">
      <w:pPr>
        <w:pStyle w:val="100"/>
        <w:spacing w:line="520" w:lineRule="exact"/>
        <w:ind w:firstLine="420" w:firstLineChars="200"/>
        <w:rPr>
          <w:color w:val="auto"/>
          <w:sz w:val="21"/>
          <w:szCs w:val="21"/>
        </w:rPr>
      </w:pPr>
      <w:r>
        <w:rPr>
          <w:rFonts w:hint="eastAsia"/>
          <w:color w:val="auto"/>
          <w:sz w:val="21"/>
          <w:szCs w:val="21"/>
        </w:rPr>
        <w:t xml:space="preserve">供应商名称（公章）：            </w:t>
      </w:r>
    </w:p>
    <w:p w14:paraId="29EB2BCA">
      <w:pPr>
        <w:pStyle w:val="100"/>
        <w:spacing w:line="520" w:lineRule="exact"/>
        <w:ind w:firstLine="420" w:firstLineChars="200"/>
        <w:rPr>
          <w:color w:val="auto"/>
          <w:sz w:val="21"/>
          <w:szCs w:val="21"/>
        </w:rPr>
      </w:pPr>
      <w:r>
        <w:rPr>
          <w:rFonts w:hint="eastAsia"/>
          <w:color w:val="auto"/>
          <w:sz w:val="21"/>
          <w:szCs w:val="21"/>
        </w:rPr>
        <w:t>日 期：________年____月____日</w:t>
      </w:r>
    </w:p>
    <w:p w14:paraId="2423DE86">
      <w:pPr>
        <w:spacing w:line="20" w:lineRule="exact"/>
        <w:rPr>
          <w:rFonts w:eastAsia="黑体"/>
          <w:szCs w:val="21"/>
        </w:rPr>
      </w:pPr>
      <w:r>
        <w:rPr>
          <w:rFonts w:hint="eastAsia"/>
        </w:rPr>
        <w:br w:type="page"/>
      </w:r>
    </w:p>
    <w:p w14:paraId="23604FAE">
      <w:pPr>
        <w:spacing w:beforeLines="50" w:afterLines="50" w:line="440" w:lineRule="exact"/>
        <w:rPr>
          <w:b/>
          <w:sz w:val="28"/>
          <w:szCs w:val="28"/>
        </w:rPr>
        <w:sectPr>
          <w:pgSz w:w="11907" w:h="16840"/>
          <w:pgMar w:top="1440" w:right="1559" w:bottom="1440" w:left="1560" w:header="851" w:footer="851" w:gutter="0"/>
          <w:cols w:space="720" w:num="1"/>
          <w:docGrid w:linePitch="312" w:charSpace="0"/>
        </w:sectPr>
      </w:pPr>
    </w:p>
    <w:p w14:paraId="1D21A3BF">
      <w:pPr>
        <w:keepNext/>
        <w:keepLines/>
        <w:spacing w:before="100" w:line="400" w:lineRule="exact"/>
        <w:jc w:val="center"/>
        <w:outlineLvl w:val="1"/>
        <w:rPr>
          <w:b/>
          <w:sz w:val="24"/>
        </w:rPr>
      </w:pPr>
      <w:r>
        <w:rPr>
          <w:rFonts w:hint="eastAsia" w:eastAsia="黑体" w:cs="宋体"/>
          <w:sz w:val="28"/>
          <w:szCs w:val="20"/>
        </w:rPr>
        <w:t>报价</w:t>
      </w:r>
      <w:r>
        <w:rPr>
          <w:rFonts w:eastAsia="黑体" w:cs="宋体"/>
          <w:sz w:val="28"/>
          <w:szCs w:val="20"/>
        </w:rPr>
        <w:t>函</w:t>
      </w:r>
    </w:p>
    <w:p w14:paraId="6A9C3167">
      <w:pPr>
        <w:pStyle w:val="122"/>
        <w:jc w:val="center"/>
      </w:pPr>
    </w:p>
    <w:p w14:paraId="41CE92AC">
      <w:pPr>
        <w:numPr>
          <w:ilvl w:val="0"/>
          <w:numId w:val="4"/>
        </w:numPr>
        <w:spacing w:line="360" w:lineRule="auto"/>
        <w:ind w:firstLine="424" w:firstLineChars="202"/>
        <w:rPr>
          <w:rFonts w:ascii="宋体" w:hAnsi="宋体" w:cs="宋体"/>
          <w:kern w:val="0"/>
          <w:szCs w:val="21"/>
        </w:rPr>
      </w:pPr>
      <w:r>
        <w:rPr>
          <w:rFonts w:hint="eastAsia" w:ascii="宋体" w:hAnsi="宋体" w:cs="宋体"/>
          <w:szCs w:val="21"/>
        </w:rPr>
        <w:t>根据你方的</w:t>
      </w:r>
      <w:r>
        <w:rPr>
          <w:rFonts w:hint="eastAsia" w:ascii="宋体" w:hAnsi="宋体" w:cs="宋体"/>
          <w:szCs w:val="21"/>
          <w:u w:val="single"/>
        </w:rPr>
        <w:t xml:space="preserve">  （工程名称）  </w:t>
      </w:r>
      <w:r>
        <w:rPr>
          <w:rFonts w:hint="eastAsia" w:ascii="宋体" w:hAnsi="宋体" w:cs="宋体"/>
          <w:szCs w:val="21"/>
        </w:rPr>
        <w:t xml:space="preserve">工程磋商文件，遵照《中华人民共和国采购法》等有关规定，经踏勘项目现场和研究上述磋商文件的投标须知、合同条款及其他有关文件后，我方愿以总价：人民币（大写）元/年（RMB￥元/年）的报价并按磋商文件的条件要求承包该项目。如果我方成交，我方将按照规定提交履约担保合同价的 </w:t>
      </w:r>
      <w:r>
        <w:rPr>
          <w:rFonts w:hint="eastAsia" w:ascii="宋体" w:hAnsi="宋体" w:cs="宋体"/>
          <w:szCs w:val="21"/>
          <w:u w:val="single"/>
        </w:rPr>
        <w:t>10</w:t>
      </w:r>
      <w:r>
        <w:rPr>
          <w:rFonts w:hint="eastAsia" w:ascii="宋体" w:hAnsi="宋体" w:cs="宋体"/>
          <w:szCs w:val="21"/>
        </w:rPr>
        <w:t>%。</w:t>
      </w:r>
    </w:p>
    <w:p w14:paraId="3195B730">
      <w:pPr>
        <w:spacing w:line="360" w:lineRule="auto"/>
        <w:ind w:firstLine="420" w:firstLineChars="200"/>
        <w:rPr>
          <w:rFonts w:ascii="宋体" w:hAnsi="宋体" w:cs="宋体"/>
          <w:szCs w:val="21"/>
        </w:rPr>
      </w:pPr>
      <w:r>
        <w:rPr>
          <w:rFonts w:hint="eastAsia" w:ascii="宋体" w:hAnsi="宋体" w:cs="宋体"/>
          <w:szCs w:val="21"/>
        </w:rPr>
        <w:t>2、贵单位的磋商文件、成交通知书和本响应文件将构成约束我们双方的合同。</w:t>
      </w:r>
    </w:p>
    <w:p w14:paraId="72E0CB16">
      <w:pPr>
        <w:spacing w:line="360" w:lineRule="auto"/>
        <w:ind w:firstLine="420" w:firstLineChars="200"/>
        <w:rPr>
          <w:rFonts w:ascii="宋体" w:hAnsi="宋体" w:cs="宋体"/>
          <w:szCs w:val="21"/>
        </w:rPr>
      </w:pPr>
      <w:r>
        <w:rPr>
          <w:rFonts w:hint="eastAsia" w:ascii="宋体" w:hAnsi="宋体" w:cs="宋体"/>
          <w:szCs w:val="21"/>
        </w:rPr>
        <w:t>3、我方承诺，如果我方中标，我方保证做到：不违法分包、转包的相关要求。</w:t>
      </w:r>
    </w:p>
    <w:p w14:paraId="0CEAEE2A">
      <w:pPr>
        <w:spacing w:line="360" w:lineRule="auto"/>
        <w:ind w:firstLine="424" w:firstLineChars="202"/>
        <w:rPr>
          <w:rFonts w:ascii="宋体" w:hAnsi="宋体" w:cs="宋体"/>
          <w:szCs w:val="21"/>
        </w:rPr>
      </w:pPr>
      <w:r>
        <w:rPr>
          <w:rFonts w:hint="eastAsia" w:ascii="宋体" w:hAnsi="宋体" w:cs="宋体"/>
          <w:szCs w:val="21"/>
        </w:rPr>
        <w:t>4、我方承诺在本次磋商过程中无弄虚作假和串通投标等违法、违规行为，并愿意承担因弄虚作假和串通投标所引起的一切法律责任。</w:t>
      </w:r>
    </w:p>
    <w:p w14:paraId="68D61395">
      <w:pPr>
        <w:spacing w:line="360" w:lineRule="auto"/>
        <w:ind w:firstLine="424" w:firstLineChars="202"/>
        <w:rPr>
          <w:rFonts w:ascii="宋体" w:hAnsi="宋体" w:cs="宋体"/>
          <w:szCs w:val="21"/>
        </w:rPr>
      </w:pPr>
      <w:r>
        <w:rPr>
          <w:rFonts w:hint="eastAsia" w:ascii="宋体" w:hAnsi="宋体" w:cs="宋体"/>
          <w:szCs w:val="21"/>
        </w:rPr>
        <w:t>5、我方承诺在磋商有效期内不修改、撤销响应文件。</w:t>
      </w:r>
    </w:p>
    <w:p w14:paraId="5B6AE390">
      <w:pPr>
        <w:spacing w:line="360" w:lineRule="auto"/>
        <w:ind w:firstLine="424" w:firstLineChars="202"/>
        <w:rPr>
          <w:rFonts w:ascii="宋体" w:hAnsi="宋体" w:cs="宋体"/>
          <w:szCs w:val="21"/>
        </w:rPr>
      </w:pPr>
      <w:r>
        <w:rPr>
          <w:rFonts w:hint="eastAsia" w:ascii="宋体" w:hAnsi="宋体" w:cs="宋体"/>
          <w:szCs w:val="21"/>
        </w:rPr>
        <w:t>6、如我方成交：</w:t>
      </w:r>
    </w:p>
    <w:p w14:paraId="7AA7BB8D">
      <w:pPr>
        <w:spacing w:line="360" w:lineRule="auto"/>
        <w:ind w:firstLine="424" w:firstLineChars="202"/>
        <w:rPr>
          <w:rFonts w:ascii="宋体" w:hAnsi="宋体" w:cs="宋体"/>
          <w:szCs w:val="21"/>
        </w:rPr>
      </w:pPr>
      <w:r>
        <w:rPr>
          <w:rFonts w:hint="eastAsia" w:ascii="宋体" w:hAnsi="宋体" w:cs="宋体"/>
          <w:szCs w:val="21"/>
        </w:rPr>
        <w:t>（1）我方承诺在收到成交通知书后，在成交通知书规定的期限内与你方签订合同。</w:t>
      </w:r>
    </w:p>
    <w:p w14:paraId="5BC5622C">
      <w:pPr>
        <w:spacing w:line="360" w:lineRule="auto"/>
        <w:ind w:firstLine="424" w:firstLineChars="202"/>
        <w:rPr>
          <w:rFonts w:ascii="宋体" w:hAnsi="宋体" w:cs="宋体"/>
          <w:szCs w:val="21"/>
        </w:rPr>
      </w:pPr>
      <w:r>
        <w:rPr>
          <w:rFonts w:hint="eastAsia" w:ascii="宋体" w:hAnsi="宋体" w:cs="宋体"/>
          <w:szCs w:val="21"/>
        </w:rPr>
        <w:t>（2）我方承诺按照磋商文件规定向你方递交履约担保。</w:t>
      </w:r>
    </w:p>
    <w:p w14:paraId="355E6088">
      <w:pPr>
        <w:spacing w:line="360" w:lineRule="auto"/>
        <w:ind w:firstLine="424" w:firstLineChars="202"/>
        <w:rPr>
          <w:rFonts w:ascii="宋体" w:hAnsi="宋体" w:cs="宋体"/>
          <w:szCs w:val="21"/>
        </w:rPr>
      </w:pPr>
      <w:r>
        <w:rPr>
          <w:rFonts w:hint="eastAsia" w:ascii="宋体" w:hAnsi="宋体" w:cs="宋体"/>
          <w:szCs w:val="21"/>
        </w:rPr>
        <w:t>（3）我方承诺在合同约定的期限内完成并移交全部合同工程。</w:t>
      </w:r>
    </w:p>
    <w:p w14:paraId="54C73A7E">
      <w:pPr>
        <w:tabs>
          <w:tab w:val="left" w:pos="7560"/>
        </w:tabs>
        <w:spacing w:line="360" w:lineRule="auto"/>
        <w:ind w:firstLine="424" w:firstLineChars="202"/>
      </w:pPr>
    </w:p>
    <w:p w14:paraId="117D99B6">
      <w:pPr>
        <w:spacing w:line="360" w:lineRule="auto"/>
        <w:ind w:firstLine="424" w:firstLineChars="202"/>
      </w:pPr>
    </w:p>
    <w:p w14:paraId="26E222C4">
      <w:pPr>
        <w:spacing w:line="360" w:lineRule="auto"/>
        <w:ind w:firstLine="424" w:firstLineChars="202"/>
      </w:pPr>
    </w:p>
    <w:p w14:paraId="79FD8BAC">
      <w:pPr>
        <w:spacing w:line="360" w:lineRule="auto"/>
        <w:ind w:firstLine="424" w:firstLineChars="202"/>
      </w:pPr>
    </w:p>
    <w:p w14:paraId="45C94247">
      <w:pPr>
        <w:spacing w:line="360" w:lineRule="auto"/>
        <w:ind w:left="1000" w:leftChars="476" w:firstLine="424" w:firstLineChars="202"/>
        <w:rPr>
          <w:u w:val="single"/>
        </w:rPr>
      </w:pPr>
      <w:r>
        <w:t>投 标 人：</w:t>
      </w:r>
      <w:r>
        <w:rPr>
          <w:u w:val="single"/>
        </w:rPr>
        <w:t>（盖</w:t>
      </w:r>
      <w:r>
        <w:rPr>
          <w:rFonts w:hint="eastAsia"/>
          <w:u w:val="single"/>
        </w:rPr>
        <w:t>单位公</w:t>
      </w:r>
      <w:r>
        <w:rPr>
          <w:u w:val="single"/>
        </w:rPr>
        <w:t>章）</w:t>
      </w:r>
    </w:p>
    <w:p w14:paraId="425CFD29">
      <w:pPr>
        <w:spacing w:line="360" w:lineRule="auto"/>
        <w:ind w:firstLine="424" w:firstLineChars="202"/>
        <w:rPr>
          <w:u w:val="single"/>
        </w:rPr>
      </w:pPr>
      <w:r>
        <w:t xml:space="preserve">         单位地址：</w:t>
      </w:r>
    </w:p>
    <w:p w14:paraId="7EF81E83">
      <w:pPr>
        <w:spacing w:line="360" w:lineRule="auto"/>
        <w:ind w:firstLine="424" w:firstLineChars="202"/>
        <w:rPr>
          <w:u w:val="single"/>
        </w:rPr>
      </w:pPr>
      <w:r>
        <w:t xml:space="preserve">         法定代表人或其委托代理人：</w:t>
      </w:r>
      <w:r>
        <w:rPr>
          <w:u w:val="single"/>
        </w:rPr>
        <w:t xml:space="preserve">      （签字或盖章）</w:t>
      </w:r>
    </w:p>
    <w:p w14:paraId="37ED93E0">
      <w:pPr>
        <w:spacing w:line="360" w:lineRule="auto"/>
        <w:ind w:left="1000" w:leftChars="476" w:firstLine="424" w:firstLineChars="202"/>
        <w:rPr>
          <w:u w:val="single"/>
        </w:rPr>
      </w:pPr>
      <w:r>
        <w:t>邮政编码：</w:t>
      </w:r>
    </w:p>
    <w:p w14:paraId="79EED190">
      <w:pPr>
        <w:spacing w:line="360" w:lineRule="auto"/>
        <w:ind w:left="1000" w:leftChars="476" w:firstLine="424" w:firstLineChars="202"/>
        <w:rPr>
          <w:u w:val="single"/>
        </w:rPr>
      </w:pPr>
      <w:r>
        <w:t>电话：</w:t>
      </w:r>
    </w:p>
    <w:p w14:paraId="4F5711E7">
      <w:pPr>
        <w:spacing w:line="360" w:lineRule="auto"/>
        <w:ind w:left="1000" w:leftChars="476" w:firstLine="424" w:firstLineChars="202"/>
      </w:pPr>
      <w:r>
        <w:t>传真：</w:t>
      </w:r>
    </w:p>
    <w:p w14:paraId="3E8010EA">
      <w:pPr>
        <w:spacing w:line="360" w:lineRule="auto"/>
        <w:ind w:firstLine="424" w:firstLineChars="202"/>
      </w:pPr>
    </w:p>
    <w:p w14:paraId="2CBC055E">
      <w:pPr>
        <w:spacing w:line="360" w:lineRule="auto"/>
        <w:ind w:right="420" w:firstLine="424" w:firstLineChars="202"/>
        <w:jc w:val="right"/>
      </w:pPr>
      <w:r>
        <w:t>日期：</w:t>
      </w:r>
      <w:r>
        <w:rPr>
          <w:szCs w:val="21"/>
        </w:rPr>
        <w:t>年月日</w:t>
      </w:r>
    </w:p>
    <w:p w14:paraId="734EEEA6">
      <w:pPr>
        <w:spacing w:line="560" w:lineRule="exact"/>
        <w:ind w:firstLine="240" w:firstLineChars="100"/>
        <w:jc w:val="center"/>
        <w:rPr>
          <w:rFonts w:ascii="宋体" w:hAnsi="宋体"/>
          <w:b/>
          <w:sz w:val="32"/>
          <w:szCs w:val="32"/>
        </w:rPr>
      </w:pPr>
      <w:r>
        <w:rPr>
          <w:rFonts w:hint="eastAsia" w:ascii="宋体" w:hAnsi="宋体"/>
          <w:sz w:val="24"/>
        </w:rPr>
        <w:br w:type="page"/>
      </w:r>
      <w:bookmarkStart w:id="178" w:name="_Toc1452"/>
      <w:r>
        <w:rPr>
          <w:rFonts w:hint="eastAsia" w:ascii="宋体" w:hAnsi="宋体"/>
          <w:b/>
          <w:sz w:val="32"/>
          <w:szCs w:val="32"/>
        </w:rPr>
        <w:t>中小企业声明函</w:t>
      </w:r>
    </w:p>
    <w:p w14:paraId="40DE67E4">
      <w:pPr>
        <w:autoSpaceDE w:val="0"/>
        <w:autoSpaceDN w:val="0"/>
        <w:spacing w:line="302" w:lineRule="auto"/>
        <w:ind w:left="220" w:right="415" w:firstLine="640"/>
        <w:rPr>
          <w:rFonts w:ascii="宋体" w:hAnsi="宋体" w:cs="仿宋"/>
          <w:kern w:val="0"/>
          <w:szCs w:val="21"/>
          <w:lang w:val="zh-CN" w:bidi="zh-CN"/>
        </w:rPr>
      </w:pPr>
      <w:r>
        <w:rPr>
          <w:rFonts w:ascii="宋体" w:hAnsi="宋体" w:cs="仿宋"/>
          <w:spacing w:val="-2"/>
          <w:kern w:val="0"/>
          <w:szCs w:val="21"/>
          <w:lang w:val="zh-CN" w:bidi="zh-CN"/>
        </w:rPr>
        <w:t>本公司郑重声明，根据《政府采购促进中小</w:t>
      </w:r>
      <w:r>
        <w:rPr>
          <w:rFonts w:ascii="宋体" w:hAnsi="宋体" w:cs="仿宋"/>
          <w:spacing w:val="-18"/>
          <w:kern w:val="0"/>
          <w:szCs w:val="21"/>
          <w:lang w:val="zh-CN" w:bidi="zh-CN"/>
        </w:rPr>
        <w:t>企业发展管理办法》</w:t>
      </w:r>
      <w:r>
        <w:rPr>
          <w:rFonts w:ascii="宋体" w:hAnsi="宋体" w:cs="仿宋"/>
          <w:kern w:val="0"/>
          <w:szCs w:val="21"/>
          <w:lang w:val="zh-CN" w:bidi="zh-CN"/>
        </w:rPr>
        <w:t>（</w:t>
      </w:r>
      <w:r>
        <w:rPr>
          <w:rFonts w:ascii="宋体" w:hAnsi="宋体" w:cs="仿宋"/>
          <w:spacing w:val="5"/>
          <w:kern w:val="0"/>
          <w:szCs w:val="21"/>
          <w:lang w:val="zh-CN" w:bidi="zh-CN"/>
        </w:rPr>
        <w:t>财库</w:t>
      </w:r>
      <w:r>
        <w:rPr>
          <w:rFonts w:hint="eastAsia" w:ascii="宋体" w:hAnsi="宋体" w:cs="仿宋"/>
          <w:kern w:val="0"/>
          <w:szCs w:val="21"/>
          <w:lang w:val="zh-CN" w:bidi="zh-CN"/>
        </w:rPr>
        <w:t>﹝</w:t>
      </w:r>
      <w:r>
        <w:rPr>
          <w:rFonts w:ascii="宋体" w:hAnsi="宋体" w:cs="仿宋"/>
          <w:kern w:val="0"/>
          <w:szCs w:val="21"/>
          <w:lang w:val="zh-CN" w:bidi="zh-CN"/>
        </w:rPr>
        <w:t>2020</w:t>
      </w:r>
      <w:r>
        <w:rPr>
          <w:rFonts w:hint="eastAsia" w:ascii="宋体" w:hAnsi="宋体" w:cs="仿宋"/>
          <w:kern w:val="0"/>
          <w:szCs w:val="21"/>
          <w:lang w:val="zh-CN" w:bidi="zh-CN"/>
        </w:rPr>
        <w:t>﹞</w:t>
      </w:r>
      <w:r>
        <w:rPr>
          <w:rFonts w:ascii="宋体" w:hAnsi="宋体" w:cs="仿宋"/>
          <w:kern w:val="0"/>
          <w:szCs w:val="21"/>
          <w:lang w:val="zh-CN" w:bidi="zh-CN"/>
        </w:rPr>
        <w:t>46</w:t>
      </w:r>
      <w:r>
        <w:rPr>
          <w:rFonts w:ascii="宋体" w:hAnsi="宋体" w:cs="仿宋"/>
          <w:spacing w:val="-38"/>
          <w:kern w:val="0"/>
          <w:szCs w:val="21"/>
          <w:lang w:val="zh-CN" w:bidi="zh-CN"/>
        </w:rPr>
        <w:t xml:space="preserve"> 号</w:t>
      </w:r>
      <w:r>
        <w:rPr>
          <w:rFonts w:ascii="宋体" w:hAnsi="宋体" w:cs="仿宋"/>
          <w:spacing w:val="5"/>
          <w:kern w:val="0"/>
          <w:szCs w:val="21"/>
          <w:lang w:val="zh-CN" w:bidi="zh-CN"/>
        </w:rPr>
        <w:t>）</w:t>
      </w:r>
      <w:r>
        <w:rPr>
          <w:rFonts w:ascii="宋体" w:hAnsi="宋体" w:cs="仿宋"/>
          <w:kern w:val="0"/>
          <w:szCs w:val="21"/>
          <w:lang w:val="zh-CN" w:bidi="zh-CN"/>
        </w:rPr>
        <w:t>的规定，本公司</w:t>
      </w:r>
      <w:r>
        <w:rPr>
          <w:rFonts w:ascii="宋体" w:hAnsi="宋体" w:cs="仿宋"/>
          <w:spacing w:val="-8"/>
          <w:kern w:val="0"/>
          <w:szCs w:val="21"/>
          <w:lang w:val="zh-CN" w:bidi="zh-CN"/>
        </w:rPr>
        <w:t>参加</w:t>
      </w:r>
      <w:r>
        <w:rPr>
          <w:rFonts w:ascii="宋体" w:hAnsi="宋体" w:cs="仿宋"/>
          <w:spacing w:val="-1"/>
          <w:kern w:val="0"/>
          <w:szCs w:val="21"/>
          <w:u w:val="single" w:color="000000"/>
          <w:lang w:val="zh-CN" w:bidi="zh-CN"/>
        </w:rPr>
        <w:t>（单位名称）</w:t>
      </w:r>
      <w:r>
        <w:rPr>
          <w:rFonts w:ascii="宋体" w:hAnsi="宋体" w:cs="仿宋"/>
          <w:spacing w:val="-15"/>
          <w:kern w:val="0"/>
          <w:szCs w:val="21"/>
          <w:lang w:val="zh-CN" w:bidi="zh-CN"/>
        </w:rPr>
        <w:t>的</w:t>
      </w:r>
      <w:r>
        <w:rPr>
          <w:rFonts w:ascii="宋体" w:hAnsi="宋体" w:cs="仿宋"/>
          <w:spacing w:val="-1"/>
          <w:kern w:val="0"/>
          <w:szCs w:val="21"/>
          <w:u w:val="single" w:color="000000"/>
          <w:lang w:val="zh-CN" w:bidi="zh-CN"/>
        </w:rPr>
        <w:t>（项目名称）</w:t>
      </w:r>
      <w:r>
        <w:rPr>
          <w:rFonts w:ascii="宋体" w:hAnsi="宋体" w:cs="仿宋"/>
          <w:spacing w:val="-1"/>
          <w:kern w:val="0"/>
          <w:szCs w:val="21"/>
          <w:lang w:val="zh-CN" w:bidi="zh-CN"/>
        </w:rPr>
        <w:t>采购活动，工</w:t>
      </w:r>
      <w:r>
        <w:rPr>
          <w:rFonts w:ascii="宋体" w:hAnsi="宋体" w:cs="仿宋"/>
          <w:spacing w:val="-2"/>
          <w:kern w:val="0"/>
          <w:szCs w:val="21"/>
          <w:lang w:val="zh-CN" w:bidi="zh-CN"/>
        </w:rPr>
        <w:t>程的施工单</w:t>
      </w:r>
      <w:r>
        <w:rPr>
          <w:rFonts w:ascii="宋体" w:hAnsi="宋体" w:cs="仿宋"/>
          <w:kern w:val="0"/>
          <w:szCs w:val="21"/>
          <w:lang w:val="zh-CN" w:bidi="zh-CN"/>
        </w:rPr>
        <w:t>位全部为符合政策要求的中小企业</w:t>
      </w:r>
      <w:r>
        <w:rPr>
          <w:rFonts w:hint="eastAsia" w:ascii="宋体" w:hAnsi="宋体" w:cs="仿宋"/>
          <w:kern w:val="0"/>
          <w:szCs w:val="21"/>
          <w:lang w:val="zh-CN" w:bidi="zh-CN"/>
        </w:rPr>
        <w:t>。</w:t>
      </w:r>
      <w:r>
        <w:rPr>
          <w:rFonts w:ascii="宋体" w:hAnsi="宋体" w:cs="仿宋"/>
          <w:kern w:val="0"/>
          <w:szCs w:val="21"/>
          <w:lang w:val="zh-CN" w:bidi="zh-CN"/>
        </w:rPr>
        <w:t>相关企业的具体情况如下：</w:t>
      </w:r>
    </w:p>
    <w:p w14:paraId="32D3B2A8">
      <w:pPr>
        <w:autoSpaceDE w:val="0"/>
        <w:autoSpaceDN w:val="0"/>
        <w:spacing w:line="302" w:lineRule="auto"/>
        <w:ind w:left="220" w:right="415" w:firstLine="315" w:firstLineChars="150"/>
        <w:rPr>
          <w:rFonts w:ascii="宋体" w:hAnsi="宋体" w:cs="仿宋"/>
          <w:kern w:val="0"/>
          <w:szCs w:val="21"/>
          <w:lang w:val="zh-CN" w:bidi="zh-CN"/>
        </w:rPr>
      </w:pPr>
      <w:r>
        <w:rPr>
          <w:rFonts w:hint="eastAsia" w:ascii="宋体" w:hAnsi="宋体" w:cs="仿宋"/>
          <w:kern w:val="0"/>
          <w:szCs w:val="21"/>
          <w:lang w:val="zh-CN" w:bidi="zh-CN"/>
        </w:rPr>
        <w:t>1、</w:t>
      </w:r>
      <w:r>
        <w:rPr>
          <w:rFonts w:ascii="宋体" w:hAnsi="宋体" w:cs="仿宋"/>
          <w:kern w:val="0"/>
          <w:szCs w:val="21"/>
          <w:u w:val="single"/>
          <w:lang w:val="zh-CN" w:bidi="zh-CN"/>
        </w:rPr>
        <w:t>（标的名称）</w:t>
      </w:r>
      <w:r>
        <w:rPr>
          <w:rFonts w:ascii="宋体" w:hAnsi="宋体" w:cs="仿宋"/>
          <w:kern w:val="0"/>
          <w:szCs w:val="21"/>
          <w:lang w:val="zh-CN" w:bidi="zh-CN"/>
        </w:rPr>
        <w:t>，属于</w:t>
      </w:r>
      <w:r>
        <w:rPr>
          <w:rFonts w:ascii="宋体" w:hAnsi="宋体" w:cs="仿宋"/>
          <w:kern w:val="0"/>
          <w:szCs w:val="21"/>
          <w:u w:val="single"/>
          <w:lang w:val="zh-CN" w:bidi="zh-CN"/>
        </w:rPr>
        <w:t>（采购文件中明确的所属行业）</w:t>
      </w:r>
      <w:r>
        <w:rPr>
          <w:rFonts w:ascii="宋体" w:hAnsi="宋体" w:cs="仿宋"/>
          <w:kern w:val="0"/>
          <w:szCs w:val="21"/>
          <w:lang w:val="zh-CN" w:bidi="zh-CN"/>
        </w:rPr>
        <w:t>；承建（承接）企业为</w:t>
      </w:r>
      <w:r>
        <w:rPr>
          <w:rFonts w:ascii="宋体" w:hAnsi="宋体" w:cs="仿宋"/>
          <w:kern w:val="0"/>
          <w:szCs w:val="21"/>
          <w:u w:val="single"/>
          <w:lang w:val="zh-CN" w:bidi="zh-CN"/>
        </w:rPr>
        <w:t>（企业名称）</w:t>
      </w:r>
      <w:r>
        <w:rPr>
          <w:rFonts w:ascii="宋体" w:hAnsi="宋体" w:cs="仿宋"/>
          <w:kern w:val="0"/>
          <w:szCs w:val="21"/>
          <w:lang w:val="zh-CN" w:bidi="zh-CN"/>
        </w:rPr>
        <w:t>，从业人员</w:t>
      </w:r>
      <w:r>
        <w:rPr>
          <w:rFonts w:ascii="宋体" w:hAnsi="宋体" w:cs="仿宋"/>
          <w:kern w:val="0"/>
          <w:szCs w:val="21"/>
          <w:u w:val="single"/>
          <w:lang w:val="zh-CN" w:bidi="zh-CN"/>
        </w:rPr>
        <w:tab/>
      </w:r>
      <w:r>
        <w:rPr>
          <w:rFonts w:ascii="宋体" w:hAnsi="宋体" w:cs="仿宋"/>
          <w:kern w:val="0"/>
          <w:szCs w:val="21"/>
          <w:lang w:val="zh-CN" w:bidi="zh-CN"/>
        </w:rPr>
        <w:t>人，营业收入为</w:t>
      </w:r>
      <w:r>
        <w:rPr>
          <w:rFonts w:ascii="宋体" w:hAnsi="宋体" w:cs="仿宋"/>
          <w:kern w:val="0"/>
          <w:szCs w:val="21"/>
          <w:u w:val="single"/>
          <w:lang w:val="zh-CN" w:bidi="zh-CN"/>
        </w:rPr>
        <w:tab/>
      </w:r>
      <w:r>
        <w:rPr>
          <w:rFonts w:ascii="宋体" w:hAnsi="宋体" w:cs="仿宋"/>
          <w:kern w:val="0"/>
          <w:szCs w:val="21"/>
          <w:lang w:val="zh-CN" w:bidi="zh-CN"/>
        </w:rPr>
        <w:t>万元，资产总额为</w:t>
      </w:r>
      <w:r>
        <w:rPr>
          <w:rFonts w:ascii="宋体" w:hAnsi="宋体" w:cs="仿宋"/>
          <w:kern w:val="0"/>
          <w:szCs w:val="21"/>
          <w:u w:val="single"/>
          <w:lang w:val="zh-CN" w:bidi="zh-CN"/>
        </w:rPr>
        <w:tab/>
      </w:r>
      <w:r>
        <w:rPr>
          <w:rFonts w:ascii="宋体" w:hAnsi="宋体" w:cs="仿宋"/>
          <w:kern w:val="0"/>
          <w:szCs w:val="21"/>
          <w:lang w:val="zh-CN" w:bidi="zh-CN"/>
        </w:rPr>
        <w:t>万元，属于</w:t>
      </w:r>
      <w:r>
        <w:rPr>
          <w:rFonts w:ascii="宋体" w:hAnsi="宋体" w:cs="仿宋"/>
          <w:kern w:val="0"/>
          <w:szCs w:val="21"/>
          <w:u w:val="single"/>
          <w:lang w:val="zh-CN" w:bidi="zh-CN"/>
        </w:rPr>
        <w:t>（中型企业、小型企业、微型企业）</w:t>
      </w:r>
      <w:r>
        <w:rPr>
          <w:rFonts w:ascii="宋体" w:hAnsi="宋体" w:cs="仿宋"/>
          <w:kern w:val="0"/>
          <w:szCs w:val="21"/>
          <w:lang w:val="zh-CN" w:bidi="zh-CN"/>
        </w:rPr>
        <w:t>；</w:t>
      </w:r>
    </w:p>
    <w:p w14:paraId="329B928F">
      <w:pPr>
        <w:autoSpaceDE w:val="0"/>
        <w:autoSpaceDN w:val="0"/>
        <w:spacing w:before="108" w:line="304" w:lineRule="auto"/>
        <w:ind w:right="417" w:firstLine="420" w:firstLineChars="200"/>
        <w:rPr>
          <w:rFonts w:ascii="宋体" w:hAnsi="宋体" w:cs="仿宋"/>
          <w:kern w:val="0"/>
          <w:szCs w:val="21"/>
          <w:lang w:val="zh-CN" w:bidi="zh-CN"/>
        </w:rPr>
      </w:pPr>
      <w:r>
        <w:rPr>
          <w:rFonts w:ascii="宋体" w:hAnsi="宋体" w:cs="仿宋"/>
          <w:kern w:val="0"/>
          <w:szCs w:val="21"/>
          <w:lang w:val="zh-CN" w:bidi="zh-CN"/>
        </w:rPr>
        <w:t>……………</w:t>
      </w:r>
    </w:p>
    <w:p w14:paraId="6990596D">
      <w:pPr>
        <w:autoSpaceDE w:val="0"/>
        <w:autoSpaceDN w:val="0"/>
        <w:spacing w:before="108" w:line="304" w:lineRule="auto"/>
        <w:ind w:left="220" w:right="417" w:firstLine="645"/>
        <w:rPr>
          <w:rFonts w:ascii="宋体" w:hAnsi="宋体" w:cs="仿宋"/>
          <w:kern w:val="0"/>
          <w:szCs w:val="21"/>
          <w:lang w:val="zh-CN" w:bidi="zh-CN"/>
        </w:rPr>
      </w:pPr>
      <w:r>
        <w:rPr>
          <w:rFonts w:ascii="宋体" w:hAnsi="宋体" w:cs="仿宋"/>
          <w:spacing w:val="-3"/>
          <w:kern w:val="0"/>
          <w:szCs w:val="21"/>
          <w:lang w:val="zh-CN" w:bidi="zh-CN"/>
        </w:rPr>
        <w:t>以上企业，不属于大企业的分支机构，不存在控股股东</w:t>
      </w:r>
      <w:r>
        <w:rPr>
          <w:rFonts w:ascii="宋体" w:hAnsi="宋体" w:cs="仿宋"/>
          <w:spacing w:val="-5"/>
          <w:kern w:val="0"/>
          <w:szCs w:val="21"/>
          <w:lang w:val="zh-CN" w:bidi="zh-CN"/>
        </w:rPr>
        <w:t>为大企业的情形，也不存在与大企业的负责人为同一人的情形。</w:t>
      </w:r>
    </w:p>
    <w:p w14:paraId="5BAE5005">
      <w:pPr>
        <w:autoSpaceDE w:val="0"/>
        <w:autoSpaceDN w:val="0"/>
        <w:spacing w:line="304" w:lineRule="auto"/>
        <w:ind w:left="220" w:right="375" w:firstLine="640"/>
        <w:jc w:val="left"/>
        <w:rPr>
          <w:rFonts w:ascii="宋体" w:hAnsi="宋体" w:cs="仿宋"/>
          <w:kern w:val="0"/>
          <w:szCs w:val="21"/>
          <w:lang w:val="zh-CN" w:bidi="zh-CN"/>
        </w:rPr>
      </w:pPr>
      <w:r>
        <w:rPr>
          <w:rFonts w:ascii="宋体" w:hAnsi="宋体" w:cs="仿宋"/>
          <w:kern w:val="0"/>
          <w:szCs w:val="21"/>
          <w:lang w:val="zh-CN" w:bidi="zh-CN"/>
        </w:rPr>
        <w:t>本企业对上述声明内容的真实性负责。如有虚假，将依法承担相应责任。</w:t>
      </w:r>
    </w:p>
    <w:p w14:paraId="1DD084D7">
      <w:pPr>
        <w:rPr>
          <w:rFonts w:ascii="宋体" w:hAnsi="宋体"/>
          <w:szCs w:val="21"/>
        </w:rPr>
      </w:pPr>
    </w:p>
    <w:p w14:paraId="7F5A9CE0">
      <w:pPr>
        <w:ind w:firstLine="5040" w:firstLineChars="2400"/>
        <w:rPr>
          <w:rFonts w:ascii="宋体" w:hAnsi="宋体"/>
          <w:szCs w:val="21"/>
        </w:rPr>
      </w:pPr>
      <w:r>
        <w:rPr>
          <w:rFonts w:hint="eastAsia" w:ascii="宋体" w:hAnsi="宋体"/>
          <w:szCs w:val="21"/>
        </w:rPr>
        <w:t>磋商响应商</w:t>
      </w:r>
      <w:r>
        <w:rPr>
          <w:rFonts w:ascii="宋体" w:hAnsi="宋体"/>
          <w:szCs w:val="21"/>
        </w:rPr>
        <w:t>名称（盖章）：</w:t>
      </w:r>
    </w:p>
    <w:p w14:paraId="051BDA17">
      <w:pPr>
        <w:ind w:firstLine="5040" w:firstLineChars="2400"/>
        <w:rPr>
          <w:rFonts w:ascii="宋体" w:hAnsi="宋体"/>
          <w:szCs w:val="21"/>
        </w:rPr>
      </w:pPr>
      <w:r>
        <w:rPr>
          <w:rFonts w:ascii="宋体" w:hAnsi="宋体"/>
          <w:szCs w:val="21"/>
        </w:rPr>
        <w:t>日期：</w:t>
      </w:r>
    </w:p>
    <w:p w14:paraId="451DCF29">
      <w:pPr>
        <w:spacing w:line="560" w:lineRule="exact"/>
        <w:ind w:firstLine="210" w:firstLineChars="100"/>
        <w:rPr>
          <w:rFonts w:ascii="宋体" w:hAnsi="宋体"/>
          <w:szCs w:val="21"/>
        </w:rPr>
      </w:pPr>
    </w:p>
    <w:p w14:paraId="3D7A9B00">
      <w:pPr>
        <w:spacing w:line="560" w:lineRule="exact"/>
        <w:ind w:firstLine="210" w:firstLineChars="100"/>
        <w:rPr>
          <w:rFonts w:ascii="宋体" w:hAnsi="宋体"/>
          <w:szCs w:val="21"/>
        </w:rPr>
      </w:pPr>
      <w:r>
        <w:rPr>
          <w:rFonts w:hint="eastAsia" w:ascii="宋体" w:hAnsi="宋体"/>
          <w:szCs w:val="21"/>
        </w:rPr>
        <w:t>（备注：磋商响应商如不提供此声明函，价格将不做相应扣除）</w:t>
      </w:r>
    </w:p>
    <w:p w14:paraId="3FE38C66">
      <w:pPr>
        <w:spacing w:line="560" w:lineRule="exact"/>
        <w:ind w:firstLine="211" w:firstLineChars="100"/>
        <w:jc w:val="center"/>
        <w:outlineLvl w:val="0"/>
        <w:rPr>
          <w:rFonts w:ascii="宋体" w:hAnsi="宋体" w:cs="宋体"/>
          <w:b/>
          <w:bCs/>
          <w:szCs w:val="21"/>
        </w:rPr>
      </w:pPr>
    </w:p>
    <w:p w14:paraId="6539843D">
      <w:pPr>
        <w:spacing w:line="560" w:lineRule="exact"/>
        <w:ind w:firstLine="301" w:firstLineChars="100"/>
        <w:jc w:val="center"/>
        <w:outlineLvl w:val="0"/>
        <w:rPr>
          <w:rFonts w:ascii="宋体" w:hAnsi="宋体" w:cs="宋体"/>
          <w:b/>
          <w:bCs/>
          <w:sz w:val="30"/>
          <w:szCs w:val="30"/>
        </w:rPr>
      </w:pPr>
    </w:p>
    <w:p w14:paraId="04F3C2DB">
      <w:pPr>
        <w:spacing w:line="560" w:lineRule="exact"/>
        <w:ind w:firstLine="301" w:firstLineChars="100"/>
        <w:jc w:val="center"/>
        <w:outlineLvl w:val="0"/>
        <w:rPr>
          <w:rFonts w:ascii="宋体" w:hAnsi="宋体" w:cs="宋体"/>
          <w:b/>
          <w:bCs/>
          <w:sz w:val="30"/>
          <w:szCs w:val="30"/>
        </w:rPr>
      </w:pPr>
    </w:p>
    <w:p w14:paraId="62EC496C">
      <w:pPr>
        <w:spacing w:line="560" w:lineRule="exact"/>
        <w:ind w:firstLine="301" w:firstLineChars="100"/>
        <w:jc w:val="center"/>
        <w:outlineLvl w:val="0"/>
        <w:rPr>
          <w:rFonts w:ascii="宋体" w:hAnsi="宋体" w:cs="宋体"/>
          <w:b/>
          <w:bCs/>
          <w:sz w:val="30"/>
          <w:szCs w:val="30"/>
        </w:rPr>
      </w:pPr>
    </w:p>
    <w:p w14:paraId="353E486F">
      <w:pPr>
        <w:spacing w:line="560" w:lineRule="exact"/>
        <w:ind w:firstLine="301" w:firstLineChars="100"/>
        <w:jc w:val="center"/>
        <w:outlineLvl w:val="0"/>
        <w:rPr>
          <w:rFonts w:ascii="宋体" w:hAnsi="宋体" w:cs="宋体"/>
          <w:b/>
          <w:bCs/>
          <w:sz w:val="30"/>
          <w:szCs w:val="30"/>
        </w:rPr>
      </w:pPr>
    </w:p>
    <w:p w14:paraId="64C58CC4">
      <w:pPr>
        <w:spacing w:line="560" w:lineRule="exact"/>
        <w:ind w:firstLine="301" w:firstLineChars="100"/>
        <w:jc w:val="center"/>
        <w:outlineLvl w:val="0"/>
        <w:rPr>
          <w:rFonts w:ascii="宋体" w:hAnsi="宋体" w:cs="宋体"/>
          <w:b/>
          <w:bCs/>
          <w:sz w:val="30"/>
          <w:szCs w:val="30"/>
        </w:rPr>
      </w:pPr>
    </w:p>
    <w:p w14:paraId="79434ABB">
      <w:pPr>
        <w:spacing w:line="560" w:lineRule="exact"/>
        <w:ind w:firstLine="301" w:firstLineChars="100"/>
        <w:jc w:val="center"/>
        <w:outlineLvl w:val="0"/>
        <w:rPr>
          <w:rFonts w:ascii="宋体" w:hAnsi="宋体" w:cs="宋体"/>
          <w:b/>
          <w:bCs/>
          <w:sz w:val="30"/>
          <w:szCs w:val="30"/>
        </w:rPr>
      </w:pPr>
    </w:p>
    <w:p w14:paraId="2816F72C">
      <w:pPr>
        <w:spacing w:line="560" w:lineRule="exact"/>
        <w:ind w:firstLine="301" w:firstLineChars="100"/>
        <w:jc w:val="center"/>
        <w:outlineLvl w:val="0"/>
        <w:rPr>
          <w:rFonts w:ascii="宋体" w:hAnsi="宋体" w:cs="宋体"/>
          <w:b/>
          <w:bCs/>
          <w:sz w:val="30"/>
          <w:szCs w:val="30"/>
        </w:rPr>
      </w:pPr>
    </w:p>
    <w:p w14:paraId="1D23FD04">
      <w:pPr>
        <w:spacing w:line="560" w:lineRule="exact"/>
        <w:ind w:firstLine="301" w:firstLineChars="100"/>
        <w:jc w:val="center"/>
        <w:outlineLvl w:val="0"/>
        <w:rPr>
          <w:rFonts w:ascii="宋体" w:hAnsi="宋体" w:cs="宋体"/>
          <w:b/>
          <w:bCs/>
          <w:sz w:val="30"/>
          <w:szCs w:val="30"/>
        </w:rPr>
      </w:pPr>
    </w:p>
    <w:p w14:paraId="68C600F6">
      <w:pPr>
        <w:spacing w:line="560" w:lineRule="exact"/>
        <w:ind w:firstLine="301" w:firstLineChars="100"/>
        <w:jc w:val="center"/>
        <w:outlineLvl w:val="0"/>
        <w:rPr>
          <w:rFonts w:ascii="宋体" w:hAnsi="宋体" w:cs="宋体"/>
          <w:b/>
          <w:bCs/>
          <w:sz w:val="30"/>
          <w:szCs w:val="30"/>
        </w:rPr>
      </w:pPr>
    </w:p>
    <w:p w14:paraId="1E9B6EEB">
      <w:pPr>
        <w:spacing w:line="560" w:lineRule="exact"/>
        <w:ind w:firstLine="301" w:firstLineChars="100"/>
        <w:jc w:val="center"/>
        <w:outlineLvl w:val="0"/>
        <w:rPr>
          <w:rFonts w:ascii="宋体" w:hAnsi="宋体" w:cs="宋体"/>
          <w:b/>
          <w:bCs/>
          <w:sz w:val="30"/>
          <w:szCs w:val="30"/>
        </w:rPr>
      </w:pPr>
    </w:p>
    <w:p w14:paraId="5692E130">
      <w:pPr>
        <w:spacing w:line="560" w:lineRule="exact"/>
        <w:ind w:firstLine="301" w:firstLineChars="100"/>
        <w:jc w:val="center"/>
        <w:outlineLvl w:val="0"/>
        <w:rPr>
          <w:rFonts w:ascii="宋体" w:hAnsi="宋体" w:cs="宋体"/>
          <w:b/>
          <w:bCs/>
          <w:sz w:val="30"/>
          <w:szCs w:val="30"/>
        </w:rPr>
      </w:pPr>
    </w:p>
    <w:p w14:paraId="49045527">
      <w:pPr>
        <w:spacing w:line="560" w:lineRule="exact"/>
        <w:ind w:firstLine="301" w:firstLineChars="100"/>
        <w:jc w:val="center"/>
        <w:outlineLvl w:val="0"/>
        <w:rPr>
          <w:rFonts w:ascii="宋体" w:hAnsi="宋体" w:cs="宋体"/>
          <w:b/>
          <w:bCs/>
          <w:sz w:val="30"/>
          <w:szCs w:val="30"/>
        </w:rPr>
      </w:pPr>
    </w:p>
    <w:p w14:paraId="4C2114AE">
      <w:pPr>
        <w:spacing w:line="560" w:lineRule="exact"/>
        <w:ind w:firstLine="301" w:firstLineChars="100"/>
        <w:jc w:val="center"/>
        <w:outlineLvl w:val="0"/>
        <w:rPr>
          <w:rFonts w:ascii="宋体" w:hAnsi="宋体" w:cs="宋体"/>
          <w:b/>
          <w:bCs/>
          <w:sz w:val="30"/>
          <w:szCs w:val="30"/>
        </w:rPr>
      </w:pPr>
    </w:p>
    <w:p w14:paraId="0F64412E">
      <w:pPr>
        <w:spacing w:line="560" w:lineRule="exact"/>
        <w:ind w:firstLine="301" w:firstLineChars="100"/>
        <w:jc w:val="center"/>
        <w:outlineLvl w:val="0"/>
        <w:rPr>
          <w:rFonts w:ascii="宋体" w:hAnsi="宋体" w:cs="宋体"/>
          <w:b/>
          <w:bCs/>
          <w:sz w:val="30"/>
          <w:szCs w:val="30"/>
        </w:rPr>
      </w:pPr>
      <w:r>
        <w:rPr>
          <w:rFonts w:hint="eastAsia" w:ascii="宋体" w:hAnsi="宋体" w:cs="宋体"/>
          <w:b/>
          <w:bCs/>
          <w:sz w:val="30"/>
          <w:szCs w:val="30"/>
        </w:rPr>
        <w:t>中小企业划型标准规定</w:t>
      </w:r>
      <w:bookmarkEnd w:id="178"/>
    </w:p>
    <w:p w14:paraId="56860459">
      <w:pPr>
        <w:spacing w:line="560" w:lineRule="exact"/>
        <w:ind w:firstLine="420" w:firstLineChars="200"/>
        <w:rPr>
          <w:rFonts w:ascii="宋体" w:hAnsi="宋体" w:cs="宋体"/>
          <w:szCs w:val="21"/>
        </w:rPr>
      </w:pPr>
      <w:r>
        <w:rPr>
          <w:rFonts w:hint="eastAsia" w:ascii="宋体" w:hAnsi="宋体" w:cs="宋体"/>
          <w:szCs w:val="21"/>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46B12B">
      <w:pPr>
        <w:spacing w:line="560" w:lineRule="exact"/>
        <w:ind w:firstLine="210" w:firstLineChars="100"/>
        <w:rPr>
          <w:rFonts w:ascii="宋体" w:hAnsi="宋体" w:cs="宋体"/>
          <w:szCs w:val="21"/>
        </w:rPr>
      </w:pPr>
      <w:r>
        <w:rPr>
          <w:rFonts w:hint="eastAsia" w:ascii="宋体" w:hAnsi="宋体" w:cs="宋体"/>
          <w:szCs w:val="21"/>
        </w:rPr>
        <w:t>各行业划型标准为：</w:t>
      </w:r>
    </w:p>
    <w:p w14:paraId="7D04A016">
      <w:pPr>
        <w:spacing w:line="560" w:lineRule="exact"/>
        <w:ind w:firstLine="210" w:firstLineChars="100"/>
        <w:rPr>
          <w:rFonts w:ascii="宋体" w:hAnsi="宋体" w:cs="宋体"/>
          <w:szCs w:val="21"/>
        </w:rPr>
      </w:pPr>
      <w:r>
        <w:rPr>
          <w:rFonts w:hint="eastAsia"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14:paraId="0B793D8D">
      <w:pPr>
        <w:spacing w:line="560" w:lineRule="exact"/>
        <w:ind w:firstLine="210" w:firstLineChars="100"/>
        <w:rPr>
          <w:rFonts w:ascii="宋体" w:hAnsi="宋体" w:cs="宋体"/>
          <w:szCs w:val="21"/>
        </w:rPr>
      </w:pPr>
      <w:r>
        <w:rPr>
          <w:rFonts w:hint="eastAsia" w:ascii="宋体" w:hAnsi="宋体" w:cs="宋体"/>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28A1E2">
      <w:pPr>
        <w:spacing w:line="560" w:lineRule="exact"/>
        <w:ind w:firstLine="210" w:firstLineChars="100"/>
        <w:rPr>
          <w:rFonts w:ascii="宋体" w:hAnsi="宋体" w:cs="宋体"/>
          <w:szCs w:val="21"/>
        </w:rPr>
      </w:pPr>
      <w:r>
        <w:rPr>
          <w:rFonts w:hint="eastAsia" w:ascii="宋体" w:hAnsi="宋体" w:cs="宋体"/>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6D54BE">
      <w:pPr>
        <w:spacing w:line="560" w:lineRule="exact"/>
        <w:ind w:firstLine="210" w:firstLineChars="100"/>
        <w:rPr>
          <w:rFonts w:ascii="宋体" w:hAnsi="宋体" w:cs="宋体"/>
          <w:szCs w:val="21"/>
        </w:rPr>
      </w:pPr>
      <w:r>
        <w:rPr>
          <w:rFonts w:hint="eastAsia" w:ascii="宋体" w:hAnsi="宋体" w:cs="宋体"/>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D17E8FF">
      <w:pPr>
        <w:spacing w:line="560" w:lineRule="exact"/>
        <w:ind w:firstLine="210" w:firstLineChars="100"/>
        <w:rPr>
          <w:rFonts w:ascii="宋体" w:hAnsi="宋体" w:cs="宋体"/>
          <w:szCs w:val="21"/>
        </w:rPr>
      </w:pPr>
      <w:r>
        <w:rPr>
          <w:rFonts w:hint="eastAsia" w:ascii="宋体" w:hAnsi="宋体" w:cs="宋体"/>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E75C5C">
      <w:pPr>
        <w:spacing w:line="560" w:lineRule="exact"/>
        <w:ind w:firstLine="210" w:firstLineChars="100"/>
        <w:rPr>
          <w:rFonts w:ascii="宋体" w:hAnsi="宋体" w:cs="宋体"/>
          <w:szCs w:val="21"/>
        </w:rPr>
      </w:pPr>
      <w:r>
        <w:rPr>
          <w:rFonts w:hint="eastAsia" w:ascii="宋体" w:hAnsi="宋体" w:cs="宋体"/>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D51D7BD">
      <w:pPr>
        <w:spacing w:line="560" w:lineRule="exact"/>
        <w:ind w:firstLine="210" w:firstLineChars="100"/>
        <w:rPr>
          <w:rFonts w:ascii="宋体" w:hAnsi="宋体" w:cs="宋体"/>
          <w:szCs w:val="21"/>
        </w:rPr>
      </w:pPr>
      <w:r>
        <w:rPr>
          <w:rFonts w:hint="eastAsia" w:ascii="宋体" w:hAnsi="宋体" w:cs="宋体"/>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2A3F8B5">
      <w:pPr>
        <w:spacing w:line="560" w:lineRule="exact"/>
        <w:ind w:firstLine="210" w:firstLineChars="100"/>
        <w:rPr>
          <w:rFonts w:ascii="宋体" w:hAnsi="宋体" w:cs="宋体"/>
          <w:szCs w:val="21"/>
        </w:rPr>
      </w:pPr>
      <w:r>
        <w:rPr>
          <w:rFonts w:hint="eastAsia" w:ascii="宋体" w:hAnsi="宋体" w:cs="宋体"/>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B68DE77">
      <w:pPr>
        <w:spacing w:line="560" w:lineRule="exact"/>
        <w:ind w:firstLine="210" w:firstLineChars="100"/>
        <w:rPr>
          <w:rFonts w:ascii="宋体" w:hAnsi="宋体" w:cs="宋体"/>
          <w:szCs w:val="21"/>
        </w:rPr>
      </w:pPr>
      <w:r>
        <w:rPr>
          <w:rFonts w:hint="eastAsia" w:ascii="宋体" w:hAnsi="宋体" w:cs="宋体"/>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21344E">
      <w:pPr>
        <w:spacing w:line="560" w:lineRule="exact"/>
        <w:ind w:firstLine="210" w:firstLineChars="100"/>
        <w:rPr>
          <w:rFonts w:ascii="宋体" w:hAnsi="宋体" w:cs="宋体"/>
          <w:szCs w:val="21"/>
        </w:rPr>
      </w:pPr>
      <w:r>
        <w:rPr>
          <w:rFonts w:hint="eastAsia" w:ascii="宋体" w:hAnsi="宋体" w:cs="宋体"/>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BE5FAC">
      <w:pPr>
        <w:spacing w:line="560" w:lineRule="exact"/>
        <w:ind w:firstLine="210" w:firstLineChars="100"/>
        <w:rPr>
          <w:rFonts w:ascii="宋体" w:hAnsi="宋体" w:cs="宋体"/>
          <w:szCs w:val="21"/>
        </w:rPr>
      </w:pPr>
      <w:r>
        <w:rPr>
          <w:rFonts w:hint="eastAsia" w:ascii="宋体" w:hAnsi="宋体" w:cs="宋体"/>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F88017">
      <w:pPr>
        <w:spacing w:line="560" w:lineRule="exact"/>
        <w:ind w:firstLine="210" w:firstLineChars="100"/>
        <w:rPr>
          <w:rFonts w:ascii="宋体" w:hAnsi="宋体" w:cs="宋体"/>
          <w:szCs w:val="21"/>
        </w:rPr>
      </w:pPr>
      <w:r>
        <w:rPr>
          <w:rFonts w:hint="eastAsia" w:ascii="宋体" w:hAnsi="宋体" w:cs="宋体"/>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AD2F82">
      <w:pPr>
        <w:spacing w:line="560" w:lineRule="exact"/>
        <w:ind w:firstLine="210" w:firstLineChars="100"/>
        <w:rPr>
          <w:rFonts w:ascii="宋体" w:hAnsi="宋体" w:cs="宋体"/>
          <w:szCs w:val="21"/>
        </w:rPr>
      </w:pPr>
      <w:r>
        <w:rPr>
          <w:rFonts w:hint="eastAsia" w:ascii="宋体" w:hAnsi="宋体" w:cs="宋体"/>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C71CC1">
      <w:pPr>
        <w:spacing w:line="560" w:lineRule="exact"/>
        <w:ind w:firstLine="210" w:firstLineChars="100"/>
        <w:rPr>
          <w:rFonts w:ascii="宋体" w:hAnsi="宋体" w:cs="宋体"/>
          <w:szCs w:val="21"/>
        </w:rPr>
      </w:pPr>
      <w:r>
        <w:rPr>
          <w:rFonts w:hint="eastAsia" w:ascii="宋体" w:hAnsi="宋体" w:cs="宋体"/>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16C4BD7">
      <w:pPr>
        <w:spacing w:line="560" w:lineRule="exact"/>
        <w:ind w:firstLine="210" w:firstLineChars="100"/>
        <w:rPr>
          <w:rFonts w:ascii="宋体" w:hAnsi="宋体" w:cs="宋体"/>
          <w:szCs w:val="21"/>
        </w:rPr>
      </w:pPr>
      <w:r>
        <w:rPr>
          <w:rFonts w:hint="eastAsia" w:ascii="宋体" w:hAnsi="宋体" w:cs="宋体"/>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32D216">
      <w:pPr>
        <w:spacing w:line="560" w:lineRule="exact"/>
        <w:ind w:firstLine="210" w:firstLineChars="100"/>
        <w:rPr>
          <w:rFonts w:ascii="宋体" w:hAnsi="宋体" w:cs="宋体"/>
          <w:szCs w:val="21"/>
        </w:rPr>
      </w:pPr>
      <w:r>
        <w:rPr>
          <w:rFonts w:hint="eastAsia" w:ascii="宋体" w:hAnsi="宋体" w:cs="宋体"/>
          <w:szCs w:val="21"/>
        </w:rPr>
        <w:t>　　（十六）其他未列明行业。从业人员300人以下的为中小微型企业。其中，从业人员100人及以上的为中型企业；从业人员10人及以上的为小型企业；从业人员10人以下的为微型企业。</w:t>
      </w:r>
    </w:p>
    <w:p w14:paraId="4B32C9BF">
      <w:pPr>
        <w:spacing w:line="460" w:lineRule="exact"/>
        <w:rPr>
          <w:rFonts w:ascii="宋体" w:hAnsi="宋体" w:cs="宋体"/>
          <w:b/>
          <w:szCs w:val="21"/>
        </w:rPr>
      </w:pPr>
    </w:p>
    <w:p w14:paraId="45F2E152">
      <w:pPr>
        <w:spacing w:line="460" w:lineRule="exact"/>
        <w:rPr>
          <w:rFonts w:ascii="宋体" w:hAnsi="宋体" w:cs="宋体"/>
          <w:b/>
          <w:sz w:val="32"/>
          <w:szCs w:val="32"/>
        </w:rPr>
      </w:pPr>
    </w:p>
    <w:p w14:paraId="0B3A4C28">
      <w:pPr>
        <w:spacing w:line="460" w:lineRule="exact"/>
        <w:jc w:val="center"/>
        <w:rPr>
          <w:rFonts w:ascii="宋体" w:hAnsi="宋体" w:cs="宋体"/>
          <w:b/>
          <w:sz w:val="32"/>
          <w:szCs w:val="32"/>
        </w:rPr>
        <w:sectPr>
          <w:headerReference r:id="rId11" w:type="default"/>
          <w:footerReference r:id="rId12" w:type="default"/>
          <w:pgSz w:w="11906" w:h="16838"/>
          <w:pgMar w:top="1015" w:right="1196" w:bottom="868" w:left="1259" w:header="851" w:footer="907" w:gutter="0"/>
          <w:cols w:space="720" w:num="1"/>
          <w:titlePg/>
          <w:docGrid w:type="lines" w:linePitch="286" w:charSpace="0"/>
        </w:sectPr>
      </w:pPr>
    </w:p>
    <w:p w14:paraId="731F5A3F">
      <w:pPr>
        <w:spacing w:line="460" w:lineRule="exact"/>
        <w:jc w:val="center"/>
        <w:outlineLvl w:val="0"/>
        <w:rPr>
          <w:rFonts w:ascii="宋体" w:hAnsi="宋体" w:cs="宋体"/>
          <w:b/>
          <w:sz w:val="30"/>
          <w:szCs w:val="30"/>
        </w:rPr>
      </w:pPr>
      <w:bookmarkStart w:id="179" w:name="_Toc12433"/>
      <w:r>
        <w:rPr>
          <w:rFonts w:hint="eastAsia" w:ascii="宋体" w:hAnsi="宋体" w:cs="宋体"/>
          <w:b/>
          <w:sz w:val="30"/>
          <w:szCs w:val="30"/>
        </w:rPr>
        <w:t>残疾人福利性单位声明函</w:t>
      </w:r>
      <w:bookmarkEnd w:id="179"/>
    </w:p>
    <w:p w14:paraId="4B66FF7F">
      <w:pPr>
        <w:spacing w:line="588" w:lineRule="exact"/>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3E0C3B14">
      <w:pPr>
        <w:spacing w:line="588" w:lineRule="exact"/>
        <w:ind w:firstLine="420" w:firstLineChars="200"/>
        <w:rPr>
          <w:rFonts w:ascii="宋体" w:hAnsi="宋体" w:cs="宋体"/>
          <w:szCs w:val="21"/>
        </w:rPr>
      </w:pPr>
      <w:r>
        <w:rPr>
          <w:rFonts w:hint="eastAsia" w:ascii="宋体" w:hAnsi="宋体" w:cs="宋体"/>
          <w:szCs w:val="21"/>
        </w:rPr>
        <w:t>本单位在本次政府采购活动中提供的残疾人福利单位产品报价合计为人民币（大写）圆整（￥：     ）。</w:t>
      </w:r>
    </w:p>
    <w:p w14:paraId="79073802">
      <w:pPr>
        <w:spacing w:line="588" w:lineRule="exact"/>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12640E83">
      <w:pPr>
        <w:spacing w:line="588" w:lineRule="exact"/>
        <w:ind w:firstLine="420" w:firstLineChars="200"/>
        <w:rPr>
          <w:rFonts w:ascii="宋体" w:hAnsi="宋体" w:cs="宋体"/>
          <w:szCs w:val="21"/>
        </w:rPr>
      </w:pPr>
      <w:r>
        <w:rPr>
          <w:rFonts w:hint="eastAsia" w:ascii="宋体" w:hAnsi="宋体" w:cs="宋体"/>
          <w:szCs w:val="21"/>
        </w:rPr>
        <w:t>（备注：1、供应商如不提供此声明函，价格将不做相应扣除。2、成交供应商为残疾人福利单位的，此声明函将随成交结果同时公告，接受社会监督）</w:t>
      </w:r>
    </w:p>
    <w:p w14:paraId="46D7DC75">
      <w:pPr>
        <w:spacing w:line="588" w:lineRule="exact"/>
        <w:ind w:firstLine="444" w:firstLineChars="200"/>
        <w:rPr>
          <w:rFonts w:ascii="宋体" w:hAnsi="宋体" w:cs="宋体"/>
          <w:spacing w:val="6"/>
          <w:szCs w:val="21"/>
        </w:rPr>
      </w:pPr>
    </w:p>
    <w:p w14:paraId="3BF1ED8D">
      <w:pPr>
        <w:tabs>
          <w:tab w:val="left" w:pos="4860"/>
        </w:tabs>
        <w:spacing w:line="588" w:lineRule="exact"/>
        <w:ind w:right="1560" w:firstLine="420" w:firstLineChars="200"/>
        <w:jc w:val="center"/>
        <w:rPr>
          <w:rFonts w:ascii="宋体" w:hAnsi="宋体" w:cs="宋体"/>
          <w:szCs w:val="21"/>
        </w:rPr>
      </w:pPr>
      <w:r>
        <w:rPr>
          <w:rFonts w:hint="eastAsia" w:ascii="宋体" w:hAnsi="宋体" w:cs="宋体"/>
          <w:szCs w:val="21"/>
        </w:rPr>
        <w:t xml:space="preserve">                     供应商全称（盖章）：</w:t>
      </w:r>
    </w:p>
    <w:p w14:paraId="7BA4BE77">
      <w:pPr>
        <w:tabs>
          <w:tab w:val="left" w:pos="4860"/>
        </w:tabs>
        <w:spacing w:line="588" w:lineRule="exact"/>
        <w:ind w:right="1560" w:firstLine="420" w:firstLineChars="200"/>
        <w:jc w:val="center"/>
        <w:rPr>
          <w:rFonts w:ascii="宋体" w:hAnsi="宋体" w:cs="宋体"/>
          <w:szCs w:val="21"/>
        </w:rPr>
      </w:pPr>
      <w:r>
        <w:rPr>
          <w:rFonts w:hint="eastAsia" w:ascii="宋体" w:hAnsi="宋体" w:cs="宋体"/>
          <w:szCs w:val="21"/>
        </w:rPr>
        <w:t xml:space="preserve">                              日  期：</w:t>
      </w:r>
    </w:p>
    <w:p w14:paraId="1FA7ED9A">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享受政府采购支持政策的残疾人福利性单位应当同时满足以下条件：</w:t>
      </w:r>
    </w:p>
    <w:p w14:paraId="66C4235B">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（一）安置的残疾人占本单位在职职工人数的比例不低于25%（含25%），并且安置的残疾人人数不少于10人（含10人）；</w:t>
      </w:r>
    </w:p>
    <w:p w14:paraId="1EC53626">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（二）依法与安置的每位残疾人签订了一年以上（含一年）的劳动合同或服务协议；</w:t>
      </w:r>
    </w:p>
    <w:p w14:paraId="150EEB10">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（三）为安置的每位残疾人按月足额缴纳了基本养老保险、基本医疗保险、失业保险、工伤保险和生育保险等社会保险费；</w:t>
      </w:r>
    </w:p>
    <w:p w14:paraId="3D680C2D">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（四）通过银行等金融机构向安置的每位残疾人，按月支付了不低于单位所在区县适用的经省级人民政府批准的月最低工资标准的工资；</w:t>
      </w:r>
    </w:p>
    <w:p w14:paraId="4A723142">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（五）提供本单位制造的货物、承担的工程或者服务（以下简称产品），或者提供其他残疾人福利性单位制造的货物（不包括使用非残疾人福利性单位注册商标的货物）。</w:t>
      </w:r>
    </w:p>
    <w:p w14:paraId="53A0AEDD">
      <w:pPr>
        <w:shd w:val="clear" w:color="auto" w:fill="FFFFFF"/>
        <w:adjustRightInd w:val="0"/>
        <w:snapToGrid w:val="0"/>
        <w:spacing w:line="360" w:lineRule="auto"/>
        <w:ind w:firstLine="480"/>
        <w:jc w:val="left"/>
        <w:textAlignment w:val="baseline"/>
        <w:rPr>
          <w:rFonts w:ascii="宋体" w:hAnsi="宋体" w:cs="宋体"/>
          <w:b/>
          <w:bCs/>
          <w:szCs w:val="21"/>
        </w:rPr>
      </w:pPr>
      <w:r>
        <w:rPr>
          <w:rFonts w:hint="eastAsia" w:ascii="宋体" w:hAnsi="宋体" w:cs="宋体"/>
          <w:color w:val="000000"/>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19CD87">
      <w:pPr>
        <w:spacing w:line="360" w:lineRule="auto"/>
        <w:jc w:val="center"/>
        <w:rPr>
          <w:rFonts w:ascii="宋体" w:hAnsi="宋体" w:cs="宋体"/>
          <w:b/>
          <w:bCs/>
          <w:sz w:val="24"/>
        </w:rPr>
        <w:sectPr>
          <w:pgSz w:w="11906" w:h="16838"/>
          <w:pgMar w:top="1015" w:right="1196" w:bottom="868" w:left="1259" w:header="851" w:footer="907" w:gutter="0"/>
          <w:cols w:space="720" w:num="1"/>
          <w:titlePg/>
          <w:docGrid w:type="lines" w:linePitch="286" w:charSpace="0"/>
        </w:sectPr>
      </w:pPr>
    </w:p>
    <w:p w14:paraId="36CF84BD">
      <w:pPr>
        <w:spacing w:line="360" w:lineRule="auto"/>
        <w:jc w:val="center"/>
        <w:rPr>
          <w:rFonts w:ascii="宋体" w:hAnsi="宋体" w:cs="宋体"/>
          <w:b/>
          <w:bCs/>
          <w:sz w:val="30"/>
          <w:szCs w:val="30"/>
        </w:rPr>
      </w:pPr>
      <w:r>
        <w:rPr>
          <w:rFonts w:hint="eastAsia" w:ascii="宋体" w:hAnsi="宋体" w:cs="宋体"/>
          <w:b/>
          <w:bCs/>
          <w:sz w:val="30"/>
          <w:szCs w:val="30"/>
        </w:rPr>
        <w:t>监狱企业证明函</w:t>
      </w:r>
    </w:p>
    <w:p w14:paraId="5053FF33">
      <w:pPr>
        <w:widowControl/>
        <w:spacing w:beforeLines="50" w:afterLines="50" w:line="360" w:lineRule="auto"/>
        <w:ind w:firstLine="645"/>
        <w:jc w:val="left"/>
        <w:outlineLvl w:val="2"/>
        <w:rPr>
          <w:rFonts w:ascii="宋体" w:hAnsi="宋体" w:cs="宋体"/>
          <w:kern w:val="0"/>
          <w:szCs w:val="21"/>
        </w:rPr>
      </w:pPr>
      <w:r>
        <w:rPr>
          <w:rFonts w:hint="eastAsia" w:ascii="宋体" w:hAnsi="宋体" w:cs="宋体"/>
          <w:kern w:val="0"/>
          <w:szCs w:val="21"/>
        </w:rPr>
        <w:t xml:space="preserve">根据《财政部 司法部关于政府采购支持监狱企业发展有关问题的通知》（财库[2014]68号）的规定， </w:t>
      </w:r>
      <w:r>
        <w:rPr>
          <w:rFonts w:hint="eastAsia" w:ascii="宋体" w:hAnsi="宋体" w:cs="宋体"/>
          <w:kern w:val="0"/>
          <w:szCs w:val="21"/>
          <w:u w:val="single"/>
        </w:rPr>
        <w:t xml:space="preserve">         （填写供应商法定全称）</w:t>
      </w:r>
      <w:r>
        <w:rPr>
          <w:rFonts w:hint="eastAsia" w:ascii="宋体" w:hAnsi="宋体" w:cs="宋体"/>
          <w:kern w:val="0"/>
          <w:szCs w:val="21"/>
        </w:rPr>
        <w:t>为监狱企业。</w:t>
      </w:r>
    </w:p>
    <w:p w14:paraId="48D77CEB">
      <w:pPr>
        <w:widowControl/>
        <w:spacing w:beforeLines="50" w:afterLines="50" w:line="360" w:lineRule="auto"/>
        <w:ind w:firstLine="645"/>
        <w:jc w:val="left"/>
        <w:outlineLvl w:val="2"/>
        <w:rPr>
          <w:rFonts w:ascii="宋体" w:hAnsi="宋体" w:cs="宋体"/>
          <w:kern w:val="0"/>
          <w:szCs w:val="21"/>
        </w:rPr>
      </w:pPr>
      <w:r>
        <w:rPr>
          <w:rFonts w:hint="eastAsia" w:ascii="宋体" w:hAnsi="宋体" w:cs="宋体"/>
          <w:kern w:val="0"/>
          <w:szCs w:val="21"/>
        </w:rPr>
        <w:t>特此声明。</w:t>
      </w:r>
    </w:p>
    <w:p w14:paraId="32074EFF">
      <w:pPr>
        <w:widowControl/>
        <w:spacing w:beforeLines="50" w:afterLines="50" w:line="360" w:lineRule="auto"/>
        <w:ind w:firstLine="1260" w:firstLineChars="600"/>
        <w:jc w:val="left"/>
        <w:rPr>
          <w:rFonts w:ascii="宋体" w:hAnsi="宋体" w:cs="宋体"/>
          <w:kern w:val="0"/>
          <w:szCs w:val="21"/>
        </w:rPr>
      </w:pPr>
    </w:p>
    <w:p w14:paraId="318EB8FC">
      <w:pPr>
        <w:widowControl/>
        <w:spacing w:beforeLines="50" w:afterLines="50" w:line="360" w:lineRule="auto"/>
        <w:ind w:firstLine="1260" w:firstLineChars="600"/>
        <w:jc w:val="left"/>
        <w:outlineLvl w:val="2"/>
        <w:rPr>
          <w:rFonts w:ascii="宋体" w:hAnsi="宋体" w:cs="宋体"/>
          <w:kern w:val="0"/>
          <w:szCs w:val="21"/>
        </w:rPr>
      </w:pPr>
      <w:r>
        <w:rPr>
          <w:rFonts w:hint="eastAsia" w:ascii="宋体" w:hAnsi="宋体" w:cs="宋体"/>
          <w:kern w:val="0"/>
          <w:szCs w:val="21"/>
        </w:rPr>
        <w:t>省级以上监狱管理局、戒毒管理局（含新疆生产建设兵团）（盖章）：</w:t>
      </w:r>
    </w:p>
    <w:p w14:paraId="344470CA">
      <w:pPr>
        <w:widowControl/>
        <w:tabs>
          <w:tab w:val="left" w:pos="1050"/>
        </w:tabs>
        <w:adjustRightInd w:val="0"/>
        <w:snapToGrid w:val="0"/>
        <w:spacing w:beforeLines="50" w:afterLines="50" w:line="360" w:lineRule="auto"/>
        <w:ind w:left="845" w:firstLine="630"/>
        <w:jc w:val="center"/>
        <w:outlineLvl w:val="2"/>
        <w:rPr>
          <w:rFonts w:ascii="宋体" w:hAnsi="宋体" w:cs="宋体"/>
          <w:kern w:val="0"/>
          <w:szCs w:val="21"/>
        </w:rPr>
      </w:pPr>
      <w:r>
        <w:rPr>
          <w:rFonts w:hint="eastAsia" w:ascii="宋体" w:hAnsi="宋体" w:cs="宋体"/>
          <w:kern w:val="0"/>
          <w:szCs w:val="21"/>
        </w:rPr>
        <w:t xml:space="preserve">                                    日  期：</w:t>
      </w:r>
    </w:p>
    <w:p w14:paraId="5112C6C0">
      <w:pPr>
        <w:jc w:val="center"/>
        <w:rPr>
          <w:rFonts w:ascii="宋体" w:hAnsi="宋体" w:cs="仿宋"/>
          <w:b/>
          <w:bCs/>
          <w:szCs w:val="21"/>
        </w:rPr>
        <w:sectPr>
          <w:pgSz w:w="11906" w:h="16838"/>
          <w:pgMar w:top="1015" w:right="1196" w:bottom="868" w:left="1259" w:header="851" w:footer="907" w:gutter="0"/>
          <w:cols w:space="720" w:num="1"/>
          <w:titlePg/>
          <w:docGrid w:type="lines" w:linePitch="286" w:charSpace="0"/>
        </w:sectPr>
      </w:pPr>
    </w:p>
    <w:p w14:paraId="6A687EE4">
      <w:pPr>
        <w:jc w:val="center"/>
        <w:outlineLvl w:val="0"/>
        <w:rPr>
          <w:rFonts w:ascii="宋体" w:hAnsi="宋体" w:cs="仿宋"/>
          <w:b/>
          <w:bCs/>
          <w:sz w:val="30"/>
          <w:szCs w:val="30"/>
        </w:rPr>
      </w:pPr>
      <w:bookmarkStart w:id="180" w:name="_Toc2856"/>
      <w:r>
        <w:rPr>
          <w:rFonts w:hint="eastAsia" w:ascii="宋体" w:hAnsi="宋体" w:cs="仿宋"/>
          <w:b/>
          <w:bCs/>
          <w:sz w:val="30"/>
          <w:szCs w:val="30"/>
        </w:rPr>
        <w:t>质疑函范本</w:t>
      </w:r>
      <w:bookmarkEnd w:id="180"/>
    </w:p>
    <w:p w14:paraId="0FDCE6DC">
      <w:pPr>
        <w:adjustRightInd w:val="0"/>
        <w:snapToGrid w:val="0"/>
        <w:spacing w:beforeLines="100" w:line="360" w:lineRule="auto"/>
        <w:ind w:firstLine="420" w:firstLineChars="200"/>
        <w:outlineLvl w:val="0"/>
        <w:rPr>
          <w:rFonts w:ascii="宋体" w:hAnsi="宋体" w:cs="仿宋"/>
          <w:bCs/>
          <w:szCs w:val="21"/>
        </w:rPr>
      </w:pPr>
      <w:bookmarkStart w:id="181" w:name="_Toc2429"/>
      <w:r>
        <w:rPr>
          <w:rFonts w:hint="eastAsia" w:ascii="宋体" w:hAnsi="宋体" w:cs="仿宋"/>
          <w:bCs/>
          <w:szCs w:val="21"/>
        </w:rPr>
        <w:t>一、质疑供应商基本信息</w:t>
      </w:r>
      <w:bookmarkEnd w:id="181"/>
    </w:p>
    <w:p w14:paraId="6301FDA3">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质疑供应商：</w:t>
      </w:r>
    </w:p>
    <w:p w14:paraId="33DBF03B">
      <w:pPr>
        <w:adjustRightInd w:val="0"/>
        <w:snapToGrid w:val="0"/>
        <w:spacing w:line="360" w:lineRule="auto"/>
        <w:ind w:firstLine="420" w:firstLineChars="200"/>
        <w:rPr>
          <w:rFonts w:ascii="宋体" w:hAnsi="宋体" w:cs="仿宋"/>
          <w:szCs w:val="21"/>
        </w:rPr>
      </w:pPr>
      <w:r>
        <w:rPr>
          <w:rFonts w:hint="eastAsia" w:ascii="宋体" w:hAnsi="宋体" w:cs="仿宋"/>
          <w:szCs w:val="21"/>
        </w:rPr>
        <w:t>地址：邮编：</w:t>
      </w:r>
    </w:p>
    <w:p w14:paraId="7C941C00">
      <w:pPr>
        <w:adjustRightInd w:val="0"/>
        <w:snapToGrid w:val="0"/>
        <w:spacing w:line="360" w:lineRule="auto"/>
        <w:ind w:firstLine="420" w:firstLineChars="200"/>
        <w:rPr>
          <w:rFonts w:ascii="宋体" w:hAnsi="宋体" w:cs="仿宋"/>
          <w:szCs w:val="21"/>
        </w:rPr>
      </w:pPr>
      <w:r>
        <w:rPr>
          <w:rFonts w:hint="eastAsia" w:ascii="宋体" w:hAnsi="宋体" w:cs="仿宋"/>
          <w:szCs w:val="21"/>
        </w:rPr>
        <w:t>联系人：联系电话：</w:t>
      </w:r>
    </w:p>
    <w:p w14:paraId="561E8176">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授权代表：</w:t>
      </w:r>
    </w:p>
    <w:p w14:paraId="7E606ECA">
      <w:pPr>
        <w:adjustRightInd w:val="0"/>
        <w:snapToGrid w:val="0"/>
        <w:spacing w:line="360" w:lineRule="auto"/>
        <w:ind w:firstLine="420" w:firstLineChars="200"/>
        <w:rPr>
          <w:rFonts w:ascii="宋体" w:hAnsi="宋体" w:cs="仿宋"/>
          <w:szCs w:val="21"/>
        </w:rPr>
      </w:pPr>
      <w:r>
        <w:rPr>
          <w:rFonts w:hint="eastAsia" w:ascii="宋体" w:hAnsi="宋体" w:cs="仿宋"/>
          <w:szCs w:val="21"/>
        </w:rPr>
        <w:t>联系电话：</w:t>
      </w:r>
    </w:p>
    <w:p w14:paraId="4D48BF85">
      <w:pPr>
        <w:adjustRightInd w:val="0"/>
        <w:snapToGrid w:val="0"/>
        <w:spacing w:line="360" w:lineRule="auto"/>
        <w:ind w:firstLine="420" w:firstLineChars="200"/>
        <w:rPr>
          <w:rFonts w:ascii="宋体" w:hAnsi="宋体" w:cs="仿宋"/>
          <w:szCs w:val="21"/>
        </w:rPr>
      </w:pPr>
      <w:r>
        <w:rPr>
          <w:rFonts w:hint="eastAsia" w:ascii="宋体" w:hAnsi="宋体" w:cs="仿宋"/>
          <w:szCs w:val="21"/>
        </w:rPr>
        <w:t>地址：邮编：</w:t>
      </w:r>
    </w:p>
    <w:p w14:paraId="5D55CBF8">
      <w:pPr>
        <w:adjustRightInd w:val="0"/>
        <w:snapToGrid w:val="0"/>
        <w:spacing w:line="360" w:lineRule="auto"/>
        <w:ind w:firstLine="525" w:firstLineChars="250"/>
        <w:outlineLvl w:val="0"/>
        <w:rPr>
          <w:rFonts w:ascii="宋体" w:hAnsi="宋体" w:cs="仿宋"/>
          <w:bCs/>
          <w:szCs w:val="21"/>
        </w:rPr>
      </w:pPr>
      <w:bookmarkStart w:id="182" w:name="_Toc17505"/>
      <w:r>
        <w:rPr>
          <w:rFonts w:hint="eastAsia" w:ascii="宋体" w:hAnsi="宋体" w:cs="仿宋"/>
          <w:bCs/>
          <w:szCs w:val="21"/>
        </w:rPr>
        <w:t>二、质疑项目基本情况</w:t>
      </w:r>
      <w:bookmarkEnd w:id="182"/>
    </w:p>
    <w:p w14:paraId="15511626">
      <w:pPr>
        <w:adjustRightInd w:val="0"/>
        <w:snapToGrid w:val="0"/>
        <w:spacing w:line="360" w:lineRule="auto"/>
        <w:ind w:firstLine="420" w:firstLineChars="200"/>
        <w:rPr>
          <w:rFonts w:ascii="宋体" w:hAnsi="宋体" w:cs="仿宋"/>
          <w:szCs w:val="21"/>
        </w:rPr>
      </w:pPr>
      <w:r>
        <w:rPr>
          <w:rFonts w:hint="eastAsia" w:ascii="宋体" w:hAnsi="宋体" w:cs="仿宋"/>
          <w:szCs w:val="21"/>
        </w:rPr>
        <w:t>质疑项目的名称：</w:t>
      </w:r>
    </w:p>
    <w:p w14:paraId="6975B7C4">
      <w:pPr>
        <w:adjustRightInd w:val="0"/>
        <w:snapToGrid w:val="0"/>
        <w:spacing w:line="360" w:lineRule="auto"/>
        <w:ind w:firstLine="420" w:firstLineChars="200"/>
        <w:rPr>
          <w:rFonts w:ascii="宋体" w:hAnsi="宋体" w:cs="仿宋"/>
          <w:szCs w:val="21"/>
        </w:rPr>
      </w:pPr>
      <w:r>
        <w:rPr>
          <w:rFonts w:hint="eastAsia" w:ascii="宋体" w:hAnsi="宋体" w:cs="仿宋"/>
          <w:szCs w:val="21"/>
        </w:rPr>
        <w:t>质疑项目的编号：包号：</w:t>
      </w:r>
    </w:p>
    <w:p w14:paraId="1E38FC6A">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采购人名称：</w:t>
      </w:r>
    </w:p>
    <w:p w14:paraId="65E32C0E">
      <w:pPr>
        <w:adjustRightInd w:val="0"/>
        <w:snapToGrid w:val="0"/>
        <w:spacing w:line="360" w:lineRule="auto"/>
        <w:ind w:firstLine="420" w:firstLineChars="200"/>
        <w:rPr>
          <w:rFonts w:ascii="宋体" w:hAnsi="宋体" w:cs="仿宋"/>
          <w:szCs w:val="21"/>
        </w:rPr>
      </w:pPr>
      <w:r>
        <w:rPr>
          <w:rFonts w:hint="eastAsia" w:ascii="宋体" w:hAnsi="宋体" w:cs="仿宋"/>
          <w:szCs w:val="21"/>
        </w:rPr>
        <w:t>采购文件获取日期：</w:t>
      </w:r>
    </w:p>
    <w:p w14:paraId="6F4738EE">
      <w:pPr>
        <w:adjustRightInd w:val="0"/>
        <w:snapToGrid w:val="0"/>
        <w:spacing w:line="360" w:lineRule="auto"/>
        <w:ind w:firstLine="525" w:firstLineChars="250"/>
        <w:outlineLvl w:val="0"/>
        <w:rPr>
          <w:rFonts w:ascii="宋体" w:hAnsi="宋体" w:cs="仿宋"/>
          <w:bCs/>
          <w:szCs w:val="21"/>
        </w:rPr>
      </w:pPr>
      <w:bookmarkStart w:id="183" w:name="_Toc4482"/>
      <w:r>
        <w:rPr>
          <w:rFonts w:hint="eastAsia" w:ascii="宋体" w:hAnsi="宋体" w:cs="仿宋"/>
          <w:bCs/>
          <w:szCs w:val="21"/>
        </w:rPr>
        <w:t>三、质疑事项具体内容</w:t>
      </w:r>
      <w:bookmarkEnd w:id="183"/>
    </w:p>
    <w:p w14:paraId="339A104F">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质疑事项1：</w:t>
      </w:r>
    </w:p>
    <w:p w14:paraId="49D08275">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事实依据：</w:t>
      </w:r>
    </w:p>
    <w:p w14:paraId="19E3E2CA">
      <w:pPr>
        <w:adjustRightInd w:val="0"/>
        <w:snapToGrid w:val="0"/>
        <w:spacing w:line="360" w:lineRule="auto"/>
        <w:rPr>
          <w:rFonts w:ascii="宋体" w:hAnsi="宋体" w:cs="仿宋"/>
          <w:szCs w:val="21"/>
        </w:rPr>
      </w:pPr>
    </w:p>
    <w:p w14:paraId="25EFFF0D">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法律依据：</w:t>
      </w:r>
    </w:p>
    <w:p w14:paraId="6FBA7A84">
      <w:pPr>
        <w:adjustRightInd w:val="0"/>
        <w:snapToGrid w:val="0"/>
        <w:spacing w:line="360" w:lineRule="auto"/>
        <w:rPr>
          <w:rFonts w:ascii="宋体" w:hAnsi="宋体" w:cs="仿宋"/>
          <w:szCs w:val="21"/>
          <w:u w:val="dotted"/>
        </w:rPr>
      </w:pPr>
    </w:p>
    <w:p w14:paraId="0085FC7A">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质疑事项2</w:t>
      </w:r>
    </w:p>
    <w:p w14:paraId="03B3CC33">
      <w:pPr>
        <w:adjustRightInd w:val="0"/>
        <w:snapToGrid w:val="0"/>
        <w:spacing w:line="360" w:lineRule="auto"/>
        <w:rPr>
          <w:rFonts w:ascii="宋体" w:hAnsi="宋体" w:cs="仿宋"/>
          <w:szCs w:val="21"/>
        </w:rPr>
      </w:pPr>
      <w:r>
        <w:rPr>
          <w:rFonts w:hint="eastAsia" w:ascii="宋体" w:hAnsi="宋体" w:cs="仿宋"/>
          <w:szCs w:val="21"/>
        </w:rPr>
        <w:t>……</w:t>
      </w:r>
    </w:p>
    <w:p w14:paraId="0C6E08FA">
      <w:pPr>
        <w:adjustRightInd w:val="0"/>
        <w:snapToGrid w:val="0"/>
        <w:spacing w:line="360" w:lineRule="auto"/>
        <w:ind w:firstLine="525" w:firstLineChars="250"/>
        <w:outlineLvl w:val="0"/>
        <w:rPr>
          <w:rFonts w:ascii="宋体" w:hAnsi="宋体" w:cs="仿宋"/>
          <w:bCs/>
          <w:szCs w:val="21"/>
        </w:rPr>
      </w:pPr>
      <w:bookmarkStart w:id="184" w:name="_Toc4712"/>
      <w:r>
        <w:rPr>
          <w:rFonts w:hint="eastAsia" w:ascii="宋体" w:hAnsi="宋体" w:cs="仿宋"/>
          <w:bCs/>
          <w:szCs w:val="21"/>
        </w:rPr>
        <w:t>四、与质疑事项相关的质疑请求</w:t>
      </w:r>
      <w:bookmarkEnd w:id="184"/>
    </w:p>
    <w:p w14:paraId="5DAD1149">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请求：</w:t>
      </w:r>
    </w:p>
    <w:p w14:paraId="058F2B33">
      <w:pPr>
        <w:ind w:firstLine="525" w:firstLineChars="250"/>
        <w:rPr>
          <w:rFonts w:ascii="宋体" w:hAnsi="宋体"/>
          <w:szCs w:val="21"/>
        </w:rPr>
      </w:pPr>
      <w:r>
        <w:rPr>
          <w:rFonts w:hint="eastAsia" w:ascii="宋体" w:hAnsi="宋体"/>
          <w:szCs w:val="21"/>
        </w:rPr>
        <w:t xml:space="preserve">签字(签章)：                   公章：                      </w:t>
      </w:r>
    </w:p>
    <w:p w14:paraId="64E824B5">
      <w:pPr>
        <w:ind w:firstLine="525" w:firstLineChars="250"/>
        <w:rPr>
          <w:rFonts w:ascii="宋体" w:hAnsi="宋体"/>
          <w:szCs w:val="21"/>
        </w:rPr>
      </w:pPr>
      <w:r>
        <w:rPr>
          <w:rFonts w:hint="eastAsia" w:ascii="宋体" w:hAnsi="宋体"/>
          <w:szCs w:val="21"/>
        </w:rPr>
        <w:t xml:space="preserve">日期：    </w:t>
      </w:r>
    </w:p>
    <w:p w14:paraId="7C9CB116">
      <w:pPr>
        <w:spacing w:line="400" w:lineRule="exact"/>
        <w:ind w:firstLine="413" w:firstLineChars="196"/>
        <w:rPr>
          <w:rFonts w:ascii="宋体" w:hAnsi="宋体"/>
          <w:b/>
          <w:szCs w:val="21"/>
        </w:rPr>
      </w:pPr>
      <w:r>
        <w:rPr>
          <w:rFonts w:hint="eastAsia" w:ascii="宋体" w:hAnsi="宋体"/>
          <w:b/>
          <w:szCs w:val="21"/>
        </w:rPr>
        <w:t>质疑函制作说明：</w:t>
      </w:r>
    </w:p>
    <w:p w14:paraId="69A665EA">
      <w:pPr>
        <w:widowControl/>
        <w:spacing w:line="400" w:lineRule="exact"/>
        <w:ind w:firstLine="420" w:firstLineChars="200"/>
        <w:jc w:val="left"/>
        <w:rPr>
          <w:rFonts w:ascii="宋体" w:hAnsi="宋体"/>
          <w:szCs w:val="21"/>
        </w:rPr>
      </w:pPr>
      <w:r>
        <w:rPr>
          <w:rFonts w:hint="eastAsia" w:ascii="宋体" w:hAnsi="宋体"/>
          <w:szCs w:val="21"/>
        </w:rPr>
        <w:t>1.供应商提出质疑时，应提交质疑函和必要的证明材料。</w:t>
      </w:r>
    </w:p>
    <w:p w14:paraId="7B09239E">
      <w:pPr>
        <w:widowControl/>
        <w:spacing w:line="400" w:lineRule="exact"/>
        <w:ind w:firstLine="420" w:firstLineChars="200"/>
        <w:jc w:val="left"/>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14:paraId="648FBEFA">
      <w:pPr>
        <w:widowControl/>
        <w:spacing w:line="400" w:lineRule="exact"/>
        <w:ind w:firstLine="420" w:firstLineChars="200"/>
        <w:jc w:val="left"/>
        <w:rPr>
          <w:rFonts w:ascii="宋体" w:hAnsi="宋体"/>
          <w:szCs w:val="21"/>
        </w:rPr>
      </w:pPr>
      <w:r>
        <w:rPr>
          <w:rFonts w:hint="eastAsia" w:ascii="宋体" w:hAnsi="宋体"/>
          <w:szCs w:val="21"/>
        </w:rPr>
        <w:t>3.质疑供应商若对项目的某一分包进行质疑，质疑函中应列明具体分包号。</w:t>
      </w:r>
    </w:p>
    <w:p w14:paraId="64EB06D0">
      <w:pPr>
        <w:widowControl/>
        <w:spacing w:line="400" w:lineRule="exact"/>
        <w:ind w:firstLine="420" w:firstLineChars="200"/>
        <w:jc w:val="left"/>
        <w:rPr>
          <w:rFonts w:ascii="宋体" w:hAnsi="宋体"/>
          <w:szCs w:val="21"/>
        </w:rPr>
      </w:pPr>
      <w:r>
        <w:rPr>
          <w:rFonts w:hint="eastAsia" w:ascii="宋体" w:hAnsi="宋体"/>
          <w:szCs w:val="21"/>
        </w:rPr>
        <w:t>4.质疑函的质疑事项应具体、明确，并有必要的事实依据和法律依据。</w:t>
      </w:r>
    </w:p>
    <w:p w14:paraId="5BA716A4">
      <w:pPr>
        <w:widowControl/>
        <w:spacing w:line="400" w:lineRule="exact"/>
        <w:ind w:firstLine="420" w:firstLineChars="200"/>
        <w:jc w:val="left"/>
        <w:rPr>
          <w:rFonts w:ascii="宋体" w:hAnsi="宋体"/>
          <w:szCs w:val="21"/>
        </w:rPr>
      </w:pPr>
      <w:r>
        <w:rPr>
          <w:rFonts w:hint="eastAsia" w:ascii="宋体" w:hAnsi="宋体"/>
          <w:szCs w:val="21"/>
        </w:rPr>
        <w:t>5.质疑函的质疑请求应与质疑事项相关。</w:t>
      </w:r>
    </w:p>
    <w:p w14:paraId="74C118F9">
      <w:pPr>
        <w:widowControl/>
        <w:spacing w:line="400" w:lineRule="exact"/>
        <w:ind w:firstLine="420" w:firstLineChars="200"/>
        <w:jc w:val="left"/>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alibri-Bold">
    <w:altName w:val="华文中宋"/>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94AB">
    <w:pPr>
      <w:pStyle w:val="30"/>
      <w:tabs>
        <w:tab w:val="center" w:pos="6962"/>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B7D0">
    <w:pPr>
      <w:pStyle w:val="30"/>
      <w:tabs>
        <w:tab w:val="center" w:pos="696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2D24B4">
                          <w:pPr>
                            <w:pStyle w:val="30"/>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2A2D24B4">
                    <w:pPr>
                      <w:pStyle w:val="30"/>
                    </w:pPr>
                    <w:r>
                      <w:fldChar w:fldCharType="begin"/>
                    </w:r>
                    <w:r>
                      <w:instrText xml:space="preserve"> PAGE  \* MERGEFORMAT </w:instrText>
                    </w:r>
                    <w:r>
                      <w:fldChar w:fldCharType="separate"/>
                    </w:r>
                    <w:r>
                      <w:t>52</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37AC">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47EF1D">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ghS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yghSc0BAACnAwAADgAAAAAAAAABACAAAAAeAQAAZHJzL2Uy&#10;b0RvYy54bWxQSwUGAAAAAAYABgBZAQAAXQUAAAAA&#10;">
              <v:fill on="f" focussize="0,0"/>
              <v:stroke on="f"/>
              <v:imagedata o:title=""/>
              <o:lock v:ext="edit" aspectratio="f"/>
              <v:textbox inset="0mm,0mm,0mm,0mm" style="mso-fit-shape-to-text:t;">
                <w:txbxContent>
                  <w:p w14:paraId="1547EF1D">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2F3D">
    <w:pPr>
      <w:spacing w:line="176" w:lineRule="auto"/>
      <w:ind w:left="4179"/>
      <w:rPr>
        <w:rFonts w:eastAsia="Times New Roman"/>
        <w:sz w:val="18"/>
        <w:szCs w:val="18"/>
      </w:rPr>
    </w:pPr>
    <w:r>
      <w:rPr>
        <w:rFonts w:eastAsia="Times New Roman"/>
        <w:spacing w:val="-2"/>
        <w:sz w:val="18"/>
        <w:szCs w:val="18"/>
      </w:rPr>
      <w:t>23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ACC92">
    <w:pPr>
      <w:spacing w:line="176" w:lineRule="auto"/>
      <w:ind w:left="4084"/>
      <w:rPr>
        <w:rFonts w:eastAsia="Times New Roman"/>
        <w:sz w:val="18"/>
        <w:szCs w:val="18"/>
      </w:rPr>
    </w:pPr>
    <w:r>
      <w:rPr>
        <w:rFonts w:eastAsia="Times New Roman"/>
        <w:spacing w:val="-4"/>
        <w:sz w:val="18"/>
        <w:szCs w:val="18"/>
      </w:rPr>
      <w:t>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0EF5">
    <w:pPr>
      <w:pStyle w:val="30"/>
      <w:ind w:left="840" w:hanging="420"/>
      <w:jc w:val="center"/>
    </w:pPr>
    <w:r>
      <w:fldChar w:fldCharType="begin"/>
    </w:r>
    <w:r>
      <w:instrText xml:space="preserve">PAGE   \* MERGEFORMAT</w:instrText>
    </w:r>
    <w:r>
      <w:fldChar w:fldCharType="separate"/>
    </w:r>
    <w:r>
      <w:rPr>
        <w:lang w:val="zh-CN"/>
      </w:rPr>
      <w:t>36</w:t>
    </w:r>
    <w:r>
      <w:rPr>
        <w:lang w:val="zh-CN"/>
      </w:rPr>
      <w:fldChar w:fldCharType="end"/>
    </w:r>
  </w:p>
  <w:p w14:paraId="204CF870">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E85">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BB9C35">
                          <w:pPr>
                            <w:pStyle w:val="30"/>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jAs0BAACn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RyjAs0BAACnAwAADgAAAAAAAAABACAAAAAeAQAAZHJzL2Uy&#10;b0RvYy54bWxQSwUGAAAAAAYABgBZAQAAXQUAAAAA&#10;">
              <v:fill on="f" focussize="0,0"/>
              <v:stroke on="f"/>
              <v:imagedata o:title=""/>
              <o:lock v:ext="edit" aspectratio="f"/>
              <v:textbox inset="0mm,0mm,0mm,0mm" style="mso-fit-shape-to-text:t;">
                <w:txbxContent>
                  <w:p w14:paraId="57BB9C35">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F83E">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4E6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63A4">
    <w:pPr>
      <w:pStyle w:val="31"/>
      <w:pBdr>
        <w:bottom w:val="none" w:color="auto" w:sz="0" w:space="12"/>
      </w:pBdr>
      <w:tabs>
        <w:tab w:val="left" w:pos="3565"/>
        <w:tab w:val="clear" w:pos="4153"/>
        <w:tab w:val="clear"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17F6"/>
    <w:multiLevelType w:val="singleLevel"/>
    <w:tmpl w:val="A20D17F6"/>
    <w:lvl w:ilvl="0" w:tentative="0">
      <w:start w:val="6"/>
      <w:numFmt w:val="decimal"/>
      <w:suff w:val="space"/>
      <w:lvlText w:val="%1."/>
      <w:lvlJc w:val="left"/>
    </w:lvl>
  </w:abstractNum>
  <w:abstractNum w:abstractNumId="1">
    <w:nsid w:val="E5A95F10"/>
    <w:multiLevelType w:val="singleLevel"/>
    <w:tmpl w:val="E5A95F10"/>
    <w:lvl w:ilvl="0" w:tentative="0">
      <w:start w:val="4"/>
      <w:numFmt w:val="decimal"/>
      <w:suff w:val="nothing"/>
      <w:lvlText w:val="%1、"/>
      <w:lvlJc w:val="left"/>
    </w:lvl>
  </w:abstractNum>
  <w:abstractNum w:abstractNumId="2">
    <w:nsid w:val="04013BAF"/>
    <w:multiLevelType w:val="singleLevel"/>
    <w:tmpl w:val="04013BAF"/>
    <w:lvl w:ilvl="0" w:tentative="0">
      <w:start w:val="1"/>
      <w:numFmt w:val="decimal"/>
      <w:suff w:val="nothing"/>
      <w:lvlText w:val="%1、"/>
      <w:lvlJc w:val="left"/>
    </w:lvl>
  </w:abstractNum>
  <w:abstractNum w:abstractNumId="3">
    <w:nsid w:val="06784D56"/>
    <w:multiLevelType w:val="singleLevel"/>
    <w:tmpl w:val="06784D56"/>
    <w:lvl w:ilvl="0" w:tentative="0">
      <w:start w:val="1"/>
      <w:numFmt w:val="upperLetter"/>
      <w:pStyle w:val="98"/>
      <w:lvlText w:val="附录%1."/>
      <w:lvlJc w:val="left"/>
      <w:pPr>
        <w:tabs>
          <w:tab w:val="left" w:pos="907"/>
        </w:tabs>
        <w:ind w:left="907" w:hanging="907"/>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4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jE0YWRjNGIwZGQ3NDFkNWM2NDRkZWJkNGEzYjkifQ=="/>
  </w:docVars>
  <w:rsids>
    <w:rsidRoot w:val="00172A27"/>
    <w:rsid w:val="0000121E"/>
    <w:rsid w:val="00002209"/>
    <w:rsid w:val="00002DF9"/>
    <w:rsid w:val="00005A19"/>
    <w:rsid w:val="00005CF7"/>
    <w:rsid w:val="00006652"/>
    <w:rsid w:val="00006DD7"/>
    <w:rsid w:val="00006E60"/>
    <w:rsid w:val="00010453"/>
    <w:rsid w:val="00012130"/>
    <w:rsid w:val="000136F0"/>
    <w:rsid w:val="00016484"/>
    <w:rsid w:val="00017387"/>
    <w:rsid w:val="00020761"/>
    <w:rsid w:val="000217AF"/>
    <w:rsid w:val="0002258C"/>
    <w:rsid w:val="000226CC"/>
    <w:rsid w:val="000247C1"/>
    <w:rsid w:val="000250BF"/>
    <w:rsid w:val="00025819"/>
    <w:rsid w:val="000264CC"/>
    <w:rsid w:val="00026E65"/>
    <w:rsid w:val="0002795A"/>
    <w:rsid w:val="000301F8"/>
    <w:rsid w:val="00032101"/>
    <w:rsid w:val="0003247D"/>
    <w:rsid w:val="00034ACD"/>
    <w:rsid w:val="00037542"/>
    <w:rsid w:val="00040E8F"/>
    <w:rsid w:val="0004285E"/>
    <w:rsid w:val="00042C71"/>
    <w:rsid w:val="00042D59"/>
    <w:rsid w:val="00042DAE"/>
    <w:rsid w:val="00043B5C"/>
    <w:rsid w:val="00043D6D"/>
    <w:rsid w:val="0004532E"/>
    <w:rsid w:val="00045659"/>
    <w:rsid w:val="00046203"/>
    <w:rsid w:val="00046EED"/>
    <w:rsid w:val="0005123F"/>
    <w:rsid w:val="0005265C"/>
    <w:rsid w:val="00052D4F"/>
    <w:rsid w:val="0005362D"/>
    <w:rsid w:val="00055173"/>
    <w:rsid w:val="00055F1F"/>
    <w:rsid w:val="000562C0"/>
    <w:rsid w:val="00057667"/>
    <w:rsid w:val="000600DE"/>
    <w:rsid w:val="0006058F"/>
    <w:rsid w:val="00060718"/>
    <w:rsid w:val="00062CD4"/>
    <w:rsid w:val="00063EF1"/>
    <w:rsid w:val="00065787"/>
    <w:rsid w:val="0006638F"/>
    <w:rsid w:val="000673B6"/>
    <w:rsid w:val="00067530"/>
    <w:rsid w:val="00070563"/>
    <w:rsid w:val="000719A1"/>
    <w:rsid w:val="00072F55"/>
    <w:rsid w:val="00073830"/>
    <w:rsid w:val="00073F3B"/>
    <w:rsid w:val="00074512"/>
    <w:rsid w:val="0007634F"/>
    <w:rsid w:val="00076F4B"/>
    <w:rsid w:val="000775B1"/>
    <w:rsid w:val="0007790B"/>
    <w:rsid w:val="00081118"/>
    <w:rsid w:val="00082802"/>
    <w:rsid w:val="00082832"/>
    <w:rsid w:val="0008297B"/>
    <w:rsid w:val="00082EB0"/>
    <w:rsid w:val="000842C8"/>
    <w:rsid w:val="00084C20"/>
    <w:rsid w:val="0008665E"/>
    <w:rsid w:val="00087456"/>
    <w:rsid w:val="000874DF"/>
    <w:rsid w:val="000917FE"/>
    <w:rsid w:val="0009181A"/>
    <w:rsid w:val="0009200E"/>
    <w:rsid w:val="00092321"/>
    <w:rsid w:val="00092B7D"/>
    <w:rsid w:val="000939C4"/>
    <w:rsid w:val="0009545E"/>
    <w:rsid w:val="0009779B"/>
    <w:rsid w:val="00097AFA"/>
    <w:rsid w:val="000A02B8"/>
    <w:rsid w:val="000A4069"/>
    <w:rsid w:val="000B09BC"/>
    <w:rsid w:val="000B2FEF"/>
    <w:rsid w:val="000B335B"/>
    <w:rsid w:val="000B40EA"/>
    <w:rsid w:val="000B5FD6"/>
    <w:rsid w:val="000B6B84"/>
    <w:rsid w:val="000B7353"/>
    <w:rsid w:val="000B7DBA"/>
    <w:rsid w:val="000C0811"/>
    <w:rsid w:val="000C165D"/>
    <w:rsid w:val="000C1E90"/>
    <w:rsid w:val="000C225F"/>
    <w:rsid w:val="000C2F64"/>
    <w:rsid w:val="000C399B"/>
    <w:rsid w:val="000C480A"/>
    <w:rsid w:val="000C4876"/>
    <w:rsid w:val="000C4BBC"/>
    <w:rsid w:val="000C5F2B"/>
    <w:rsid w:val="000C61E3"/>
    <w:rsid w:val="000C6A2B"/>
    <w:rsid w:val="000C7905"/>
    <w:rsid w:val="000D0069"/>
    <w:rsid w:val="000D1A84"/>
    <w:rsid w:val="000D58C3"/>
    <w:rsid w:val="000D5D52"/>
    <w:rsid w:val="000D62DE"/>
    <w:rsid w:val="000D7428"/>
    <w:rsid w:val="000D7F45"/>
    <w:rsid w:val="000E0FAF"/>
    <w:rsid w:val="000E1404"/>
    <w:rsid w:val="000E1877"/>
    <w:rsid w:val="000E20A0"/>
    <w:rsid w:val="000E20A6"/>
    <w:rsid w:val="000E2C12"/>
    <w:rsid w:val="000E3510"/>
    <w:rsid w:val="000E557E"/>
    <w:rsid w:val="000E5FD3"/>
    <w:rsid w:val="000E721F"/>
    <w:rsid w:val="000F05A9"/>
    <w:rsid w:val="000F1672"/>
    <w:rsid w:val="000F1D14"/>
    <w:rsid w:val="000F1EDA"/>
    <w:rsid w:val="000F425D"/>
    <w:rsid w:val="000F43BC"/>
    <w:rsid w:val="000F5062"/>
    <w:rsid w:val="000F541C"/>
    <w:rsid w:val="000F5CBD"/>
    <w:rsid w:val="001001E7"/>
    <w:rsid w:val="00100B0C"/>
    <w:rsid w:val="00101D75"/>
    <w:rsid w:val="001023D0"/>
    <w:rsid w:val="00103B73"/>
    <w:rsid w:val="00103DAD"/>
    <w:rsid w:val="001050D6"/>
    <w:rsid w:val="001051E9"/>
    <w:rsid w:val="00105E99"/>
    <w:rsid w:val="00105F91"/>
    <w:rsid w:val="00106AFE"/>
    <w:rsid w:val="00106C25"/>
    <w:rsid w:val="00106C7F"/>
    <w:rsid w:val="00107350"/>
    <w:rsid w:val="0011098B"/>
    <w:rsid w:val="00110D1B"/>
    <w:rsid w:val="00111B21"/>
    <w:rsid w:val="001139D0"/>
    <w:rsid w:val="00113EAD"/>
    <w:rsid w:val="00113EC0"/>
    <w:rsid w:val="0011512A"/>
    <w:rsid w:val="00115833"/>
    <w:rsid w:val="00115F64"/>
    <w:rsid w:val="001168FD"/>
    <w:rsid w:val="001169A3"/>
    <w:rsid w:val="00117A85"/>
    <w:rsid w:val="00120D59"/>
    <w:rsid w:val="00122188"/>
    <w:rsid w:val="001224B9"/>
    <w:rsid w:val="0012285F"/>
    <w:rsid w:val="00123645"/>
    <w:rsid w:val="0012411B"/>
    <w:rsid w:val="00124EDB"/>
    <w:rsid w:val="0012599F"/>
    <w:rsid w:val="00130006"/>
    <w:rsid w:val="00131DF8"/>
    <w:rsid w:val="00131FC6"/>
    <w:rsid w:val="00132253"/>
    <w:rsid w:val="001333F2"/>
    <w:rsid w:val="00133AD0"/>
    <w:rsid w:val="00133E40"/>
    <w:rsid w:val="00136534"/>
    <w:rsid w:val="00136652"/>
    <w:rsid w:val="00136AF9"/>
    <w:rsid w:val="001379AD"/>
    <w:rsid w:val="00140069"/>
    <w:rsid w:val="001413E8"/>
    <w:rsid w:val="00141ED2"/>
    <w:rsid w:val="00142373"/>
    <w:rsid w:val="001423BE"/>
    <w:rsid w:val="00142C34"/>
    <w:rsid w:val="001453C1"/>
    <w:rsid w:val="00145FB8"/>
    <w:rsid w:val="00147FFE"/>
    <w:rsid w:val="001500FD"/>
    <w:rsid w:val="00150F1F"/>
    <w:rsid w:val="001526DA"/>
    <w:rsid w:val="0015304D"/>
    <w:rsid w:val="0015352F"/>
    <w:rsid w:val="0015380C"/>
    <w:rsid w:val="00154470"/>
    <w:rsid w:val="0015530F"/>
    <w:rsid w:val="00155B50"/>
    <w:rsid w:val="00156270"/>
    <w:rsid w:val="001570D6"/>
    <w:rsid w:val="001574FF"/>
    <w:rsid w:val="00157615"/>
    <w:rsid w:val="00157ADE"/>
    <w:rsid w:val="00157F58"/>
    <w:rsid w:val="001619DB"/>
    <w:rsid w:val="00161A22"/>
    <w:rsid w:val="00161A7D"/>
    <w:rsid w:val="00163AA5"/>
    <w:rsid w:val="00164215"/>
    <w:rsid w:val="001652AF"/>
    <w:rsid w:val="001666A1"/>
    <w:rsid w:val="00166D37"/>
    <w:rsid w:val="00166F09"/>
    <w:rsid w:val="00167437"/>
    <w:rsid w:val="001704C1"/>
    <w:rsid w:val="0017133F"/>
    <w:rsid w:val="00171412"/>
    <w:rsid w:val="0017288A"/>
    <w:rsid w:val="00172A27"/>
    <w:rsid w:val="001738E5"/>
    <w:rsid w:val="0017441D"/>
    <w:rsid w:val="00175616"/>
    <w:rsid w:val="001809CA"/>
    <w:rsid w:val="001814E8"/>
    <w:rsid w:val="00181AAD"/>
    <w:rsid w:val="00182232"/>
    <w:rsid w:val="001852E0"/>
    <w:rsid w:val="001857FA"/>
    <w:rsid w:val="00185E93"/>
    <w:rsid w:val="00185EBC"/>
    <w:rsid w:val="00185ED9"/>
    <w:rsid w:val="00185F5C"/>
    <w:rsid w:val="001873E7"/>
    <w:rsid w:val="0018783C"/>
    <w:rsid w:val="00190A34"/>
    <w:rsid w:val="00190AC6"/>
    <w:rsid w:val="00190DC9"/>
    <w:rsid w:val="00193A8C"/>
    <w:rsid w:val="00193C7A"/>
    <w:rsid w:val="001945E2"/>
    <w:rsid w:val="00194F22"/>
    <w:rsid w:val="00195B1E"/>
    <w:rsid w:val="001969F0"/>
    <w:rsid w:val="00196AC7"/>
    <w:rsid w:val="001A18BD"/>
    <w:rsid w:val="001A1DC9"/>
    <w:rsid w:val="001A2427"/>
    <w:rsid w:val="001A271D"/>
    <w:rsid w:val="001A2A85"/>
    <w:rsid w:val="001A3F34"/>
    <w:rsid w:val="001A4043"/>
    <w:rsid w:val="001A7923"/>
    <w:rsid w:val="001B01DD"/>
    <w:rsid w:val="001B0963"/>
    <w:rsid w:val="001B1154"/>
    <w:rsid w:val="001B2D0A"/>
    <w:rsid w:val="001B2DD2"/>
    <w:rsid w:val="001B4656"/>
    <w:rsid w:val="001B5326"/>
    <w:rsid w:val="001B5820"/>
    <w:rsid w:val="001B5888"/>
    <w:rsid w:val="001B5939"/>
    <w:rsid w:val="001B66DD"/>
    <w:rsid w:val="001B68A6"/>
    <w:rsid w:val="001B7F6B"/>
    <w:rsid w:val="001C0E6D"/>
    <w:rsid w:val="001C19F1"/>
    <w:rsid w:val="001C1EC2"/>
    <w:rsid w:val="001C2902"/>
    <w:rsid w:val="001C2DD8"/>
    <w:rsid w:val="001C367B"/>
    <w:rsid w:val="001C4885"/>
    <w:rsid w:val="001C51A4"/>
    <w:rsid w:val="001D16AF"/>
    <w:rsid w:val="001D1A20"/>
    <w:rsid w:val="001D4376"/>
    <w:rsid w:val="001D457D"/>
    <w:rsid w:val="001D4DAD"/>
    <w:rsid w:val="001D5B9A"/>
    <w:rsid w:val="001D745D"/>
    <w:rsid w:val="001E0272"/>
    <w:rsid w:val="001E02FF"/>
    <w:rsid w:val="001E0B1C"/>
    <w:rsid w:val="001E0C26"/>
    <w:rsid w:val="001E0CF3"/>
    <w:rsid w:val="001E1C46"/>
    <w:rsid w:val="001E2C89"/>
    <w:rsid w:val="001E7558"/>
    <w:rsid w:val="001F076C"/>
    <w:rsid w:val="001F214C"/>
    <w:rsid w:val="001F2182"/>
    <w:rsid w:val="001F2FC3"/>
    <w:rsid w:val="001F66C6"/>
    <w:rsid w:val="00201353"/>
    <w:rsid w:val="00202139"/>
    <w:rsid w:val="002024A4"/>
    <w:rsid w:val="00203C51"/>
    <w:rsid w:val="002043FB"/>
    <w:rsid w:val="0020498C"/>
    <w:rsid w:val="00205770"/>
    <w:rsid w:val="00205776"/>
    <w:rsid w:val="00207423"/>
    <w:rsid w:val="00207693"/>
    <w:rsid w:val="002100B3"/>
    <w:rsid w:val="00210FD3"/>
    <w:rsid w:val="00212EF6"/>
    <w:rsid w:val="0021435C"/>
    <w:rsid w:val="00214A80"/>
    <w:rsid w:val="00214AA2"/>
    <w:rsid w:val="00215C7E"/>
    <w:rsid w:val="002200CD"/>
    <w:rsid w:val="00221963"/>
    <w:rsid w:val="002220D1"/>
    <w:rsid w:val="00222B72"/>
    <w:rsid w:val="00223473"/>
    <w:rsid w:val="00225425"/>
    <w:rsid w:val="0022629B"/>
    <w:rsid w:val="00226599"/>
    <w:rsid w:val="002268B6"/>
    <w:rsid w:val="0022736B"/>
    <w:rsid w:val="002309D4"/>
    <w:rsid w:val="002325BE"/>
    <w:rsid w:val="00233E73"/>
    <w:rsid w:val="002347EE"/>
    <w:rsid w:val="00234B36"/>
    <w:rsid w:val="002350DD"/>
    <w:rsid w:val="00235204"/>
    <w:rsid w:val="002358C3"/>
    <w:rsid w:val="00237EDB"/>
    <w:rsid w:val="00237F41"/>
    <w:rsid w:val="00241A97"/>
    <w:rsid w:val="00242ADB"/>
    <w:rsid w:val="002452F7"/>
    <w:rsid w:val="00246334"/>
    <w:rsid w:val="002500BE"/>
    <w:rsid w:val="00250B2A"/>
    <w:rsid w:val="00250B2E"/>
    <w:rsid w:val="00250C6F"/>
    <w:rsid w:val="0025186C"/>
    <w:rsid w:val="002525E2"/>
    <w:rsid w:val="00254113"/>
    <w:rsid w:val="00255236"/>
    <w:rsid w:val="00255902"/>
    <w:rsid w:val="00255D99"/>
    <w:rsid w:val="00255FD0"/>
    <w:rsid w:val="00256074"/>
    <w:rsid w:val="002568E3"/>
    <w:rsid w:val="0025720B"/>
    <w:rsid w:val="002601B7"/>
    <w:rsid w:val="00261918"/>
    <w:rsid w:val="00261DAA"/>
    <w:rsid w:val="00262503"/>
    <w:rsid w:val="0026504C"/>
    <w:rsid w:val="00266291"/>
    <w:rsid w:val="002678B4"/>
    <w:rsid w:val="002679E8"/>
    <w:rsid w:val="00267BA7"/>
    <w:rsid w:val="00271284"/>
    <w:rsid w:val="002719B3"/>
    <w:rsid w:val="00272DB9"/>
    <w:rsid w:val="00272DCC"/>
    <w:rsid w:val="00274DB6"/>
    <w:rsid w:val="00274E58"/>
    <w:rsid w:val="00274EFA"/>
    <w:rsid w:val="00275F57"/>
    <w:rsid w:val="002766DF"/>
    <w:rsid w:val="00280517"/>
    <w:rsid w:val="0028145C"/>
    <w:rsid w:val="0028147A"/>
    <w:rsid w:val="002816F3"/>
    <w:rsid w:val="002831A2"/>
    <w:rsid w:val="00283C81"/>
    <w:rsid w:val="0028541C"/>
    <w:rsid w:val="00285751"/>
    <w:rsid w:val="00290FB2"/>
    <w:rsid w:val="0029112C"/>
    <w:rsid w:val="00292891"/>
    <w:rsid w:val="00293BBF"/>
    <w:rsid w:val="002961F6"/>
    <w:rsid w:val="002962EF"/>
    <w:rsid w:val="002973EE"/>
    <w:rsid w:val="002978B9"/>
    <w:rsid w:val="002A30A1"/>
    <w:rsid w:val="002A3FC0"/>
    <w:rsid w:val="002A5190"/>
    <w:rsid w:val="002A53E9"/>
    <w:rsid w:val="002A557E"/>
    <w:rsid w:val="002A5918"/>
    <w:rsid w:val="002A5D51"/>
    <w:rsid w:val="002A6F83"/>
    <w:rsid w:val="002B0852"/>
    <w:rsid w:val="002B1013"/>
    <w:rsid w:val="002B2412"/>
    <w:rsid w:val="002B3275"/>
    <w:rsid w:val="002B452D"/>
    <w:rsid w:val="002B4E9E"/>
    <w:rsid w:val="002B557E"/>
    <w:rsid w:val="002B59DA"/>
    <w:rsid w:val="002B67A8"/>
    <w:rsid w:val="002B6B79"/>
    <w:rsid w:val="002C103E"/>
    <w:rsid w:val="002C1DA2"/>
    <w:rsid w:val="002C27C1"/>
    <w:rsid w:val="002C384A"/>
    <w:rsid w:val="002C42F2"/>
    <w:rsid w:val="002C481F"/>
    <w:rsid w:val="002C5DF1"/>
    <w:rsid w:val="002C7767"/>
    <w:rsid w:val="002C7E15"/>
    <w:rsid w:val="002D0C91"/>
    <w:rsid w:val="002D0FDC"/>
    <w:rsid w:val="002D1DAC"/>
    <w:rsid w:val="002D2A62"/>
    <w:rsid w:val="002D2FCB"/>
    <w:rsid w:val="002D31C3"/>
    <w:rsid w:val="002D38AA"/>
    <w:rsid w:val="002D4E37"/>
    <w:rsid w:val="002D5068"/>
    <w:rsid w:val="002D5241"/>
    <w:rsid w:val="002D5C42"/>
    <w:rsid w:val="002D6990"/>
    <w:rsid w:val="002D7108"/>
    <w:rsid w:val="002D739D"/>
    <w:rsid w:val="002D74A9"/>
    <w:rsid w:val="002D7697"/>
    <w:rsid w:val="002E0DD4"/>
    <w:rsid w:val="002E29E8"/>
    <w:rsid w:val="002E303E"/>
    <w:rsid w:val="002E3880"/>
    <w:rsid w:val="002E4082"/>
    <w:rsid w:val="002E6226"/>
    <w:rsid w:val="002E6562"/>
    <w:rsid w:val="002E6741"/>
    <w:rsid w:val="002E6C47"/>
    <w:rsid w:val="002F0BAB"/>
    <w:rsid w:val="002F2F39"/>
    <w:rsid w:val="002F3846"/>
    <w:rsid w:val="002F47C1"/>
    <w:rsid w:val="002F6156"/>
    <w:rsid w:val="002F6648"/>
    <w:rsid w:val="0030023F"/>
    <w:rsid w:val="003005DA"/>
    <w:rsid w:val="00300B71"/>
    <w:rsid w:val="00301989"/>
    <w:rsid w:val="0030295D"/>
    <w:rsid w:val="003043F6"/>
    <w:rsid w:val="00305121"/>
    <w:rsid w:val="00305A05"/>
    <w:rsid w:val="00310118"/>
    <w:rsid w:val="00310266"/>
    <w:rsid w:val="00310DC0"/>
    <w:rsid w:val="003112A5"/>
    <w:rsid w:val="003117FE"/>
    <w:rsid w:val="00311D5B"/>
    <w:rsid w:val="00312447"/>
    <w:rsid w:val="0031254E"/>
    <w:rsid w:val="00312F22"/>
    <w:rsid w:val="003153FA"/>
    <w:rsid w:val="003154CC"/>
    <w:rsid w:val="0031653C"/>
    <w:rsid w:val="003178B9"/>
    <w:rsid w:val="00317AAC"/>
    <w:rsid w:val="0032105D"/>
    <w:rsid w:val="00321423"/>
    <w:rsid w:val="00322419"/>
    <w:rsid w:val="003230CA"/>
    <w:rsid w:val="003257A3"/>
    <w:rsid w:val="0032654D"/>
    <w:rsid w:val="00326A81"/>
    <w:rsid w:val="003322B6"/>
    <w:rsid w:val="00334194"/>
    <w:rsid w:val="00334C5D"/>
    <w:rsid w:val="003361B0"/>
    <w:rsid w:val="00336363"/>
    <w:rsid w:val="00336A6A"/>
    <w:rsid w:val="003372C1"/>
    <w:rsid w:val="00342AA7"/>
    <w:rsid w:val="00342C11"/>
    <w:rsid w:val="00342F43"/>
    <w:rsid w:val="003447F1"/>
    <w:rsid w:val="003470DA"/>
    <w:rsid w:val="00347A82"/>
    <w:rsid w:val="00347EC1"/>
    <w:rsid w:val="0035029B"/>
    <w:rsid w:val="00351415"/>
    <w:rsid w:val="00351ACC"/>
    <w:rsid w:val="00351D59"/>
    <w:rsid w:val="003539A2"/>
    <w:rsid w:val="00353DBE"/>
    <w:rsid w:val="00355E54"/>
    <w:rsid w:val="00356C1F"/>
    <w:rsid w:val="0035723A"/>
    <w:rsid w:val="0035740F"/>
    <w:rsid w:val="00357CA3"/>
    <w:rsid w:val="00357D8B"/>
    <w:rsid w:val="00360189"/>
    <w:rsid w:val="003607AE"/>
    <w:rsid w:val="00361B27"/>
    <w:rsid w:val="00361BC6"/>
    <w:rsid w:val="00361C51"/>
    <w:rsid w:val="00361EB0"/>
    <w:rsid w:val="00363078"/>
    <w:rsid w:val="003631AD"/>
    <w:rsid w:val="003643AB"/>
    <w:rsid w:val="00366ABD"/>
    <w:rsid w:val="003672EA"/>
    <w:rsid w:val="0036745C"/>
    <w:rsid w:val="0036762E"/>
    <w:rsid w:val="0036789E"/>
    <w:rsid w:val="00370FCD"/>
    <w:rsid w:val="003712EB"/>
    <w:rsid w:val="00371D58"/>
    <w:rsid w:val="003724FB"/>
    <w:rsid w:val="0037272F"/>
    <w:rsid w:val="003731E5"/>
    <w:rsid w:val="003734BA"/>
    <w:rsid w:val="00373938"/>
    <w:rsid w:val="003747AF"/>
    <w:rsid w:val="0037582C"/>
    <w:rsid w:val="00375A16"/>
    <w:rsid w:val="0037722A"/>
    <w:rsid w:val="00377815"/>
    <w:rsid w:val="003802FC"/>
    <w:rsid w:val="00380C17"/>
    <w:rsid w:val="00381624"/>
    <w:rsid w:val="00381F91"/>
    <w:rsid w:val="00382197"/>
    <w:rsid w:val="00383FEA"/>
    <w:rsid w:val="003853E7"/>
    <w:rsid w:val="00386F1E"/>
    <w:rsid w:val="00387560"/>
    <w:rsid w:val="0039003D"/>
    <w:rsid w:val="00391DD0"/>
    <w:rsid w:val="00393043"/>
    <w:rsid w:val="00393FCC"/>
    <w:rsid w:val="003958F9"/>
    <w:rsid w:val="0039595F"/>
    <w:rsid w:val="00397E2C"/>
    <w:rsid w:val="003A1D61"/>
    <w:rsid w:val="003A3356"/>
    <w:rsid w:val="003A3478"/>
    <w:rsid w:val="003A4943"/>
    <w:rsid w:val="003A535F"/>
    <w:rsid w:val="003A7C98"/>
    <w:rsid w:val="003B17D9"/>
    <w:rsid w:val="003B1E62"/>
    <w:rsid w:val="003B3185"/>
    <w:rsid w:val="003B3A2D"/>
    <w:rsid w:val="003B4D4E"/>
    <w:rsid w:val="003B581F"/>
    <w:rsid w:val="003B6331"/>
    <w:rsid w:val="003B6367"/>
    <w:rsid w:val="003C1246"/>
    <w:rsid w:val="003C13AB"/>
    <w:rsid w:val="003C18B0"/>
    <w:rsid w:val="003C33CF"/>
    <w:rsid w:val="003C486C"/>
    <w:rsid w:val="003C4FE0"/>
    <w:rsid w:val="003C6B47"/>
    <w:rsid w:val="003C6E00"/>
    <w:rsid w:val="003C79A5"/>
    <w:rsid w:val="003D0AFD"/>
    <w:rsid w:val="003D1264"/>
    <w:rsid w:val="003D15B1"/>
    <w:rsid w:val="003D3EE4"/>
    <w:rsid w:val="003D3F84"/>
    <w:rsid w:val="003D5538"/>
    <w:rsid w:val="003D6AE6"/>
    <w:rsid w:val="003D743C"/>
    <w:rsid w:val="003D76F0"/>
    <w:rsid w:val="003D7B7E"/>
    <w:rsid w:val="003E14DE"/>
    <w:rsid w:val="003E2035"/>
    <w:rsid w:val="003E24F7"/>
    <w:rsid w:val="003E2C7A"/>
    <w:rsid w:val="003E33CB"/>
    <w:rsid w:val="003E3804"/>
    <w:rsid w:val="003E4184"/>
    <w:rsid w:val="003E55A7"/>
    <w:rsid w:val="003E563F"/>
    <w:rsid w:val="003E6CA9"/>
    <w:rsid w:val="003E6CAE"/>
    <w:rsid w:val="003E7402"/>
    <w:rsid w:val="003E7474"/>
    <w:rsid w:val="003E770F"/>
    <w:rsid w:val="003F0A82"/>
    <w:rsid w:val="003F140F"/>
    <w:rsid w:val="003F15F8"/>
    <w:rsid w:val="003F27C9"/>
    <w:rsid w:val="003F54C2"/>
    <w:rsid w:val="003F5683"/>
    <w:rsid w:val="003F56E6"/>
    <w:rsid w:val="003F6603"/>
    <w:rsid w:val="003F7A76"/>
    <w:rsid w:val="004000F6"/>
    <w:rsid w:val="004058C3"/>
    <w:rsid w:val="00406267"/>
    <w:rsid w:val="004115C8"/>
    <w:rsid w:val="00412415"/>
    <w:rsid w:val="00413DD2"/>
    <w:rsid w:val="00414E49"/>
    <w:rsid w:val="0041544E"/>
    <w:rsid w:val="004161BE"/>
    <w:rsid w:val="00417273"/>
    <w:rsid w:val="00417779"/>
    <w:rsid w:val="00420C1E"/>
    <w:rsid w:val="004235A3"/>
    <w:rsid w:val="00423858"/>
    <w:rsid w:val="00424C84"/>
    <w:rsid w:val="00424F99"/>
    <w:rsid w:val="00425881"/>
    <w:rsid w:val="0042662B"/>
    <w:rsid w:val="00427203"/>
    <w:rsid w:val="00427F13"/>
    <w:rsid w:val="004310BF"/>
    <w:rsid w:val="00431559"/>
    <w:rsid w:val="00432182"/>
    <w:rsid w:val="00432E03"/>
    <w:rsid w:val="004331C1"/>
    <w:rsid w:val="00433274"/>
    <w:rsid w:val="00433F91"/>
    <w:rsid w:val="00434E88"/>
    <w:rsid w:val="00435511"/>
    <w:rsid w:val="00435A5D"/>
    <w:rsid w:val="00435CE6"/>
    <w:rsid w:val="0043683F"/>
    <w:rsid w:val="00436D24"/>
    <w:rsid w:val="00440801"/>
    <w:rsid w:val="0044207B"/>
    <w:rsid w:val="004426E0"/>
    <w:rsid w:val="00442E60"/>
    <w:rsid w:val="00443690"/>
    <w:rsid w:val="004438D5"/>
    <w:rsid w:val="00443F88"/>
    <w:rsid w:val="004443B5"/>
    <w:rsid w:val="004513BB"/>
    <w:rsid w:val="0045176D"/>
    <w:rsid w:val="004518BD"/>
    <w:rsid w:val="00452340"/>
    <w:rsid w:val="004526CC"/>
    <w:rsid w:val="00452FC0"/>
    <w:rsid w:val="00453710"/>
    <w:rsid w:val="00454915"/>
    <w:rsid w:val="00455A62"/>
    <w:rsid w:val="00455D60"/>
    <w:rsid w:val="0045728F"/>
    <w:rsid w:val="00457D94"/>
    <w:rsid w:val="00461818"/>
    <w:rsid w:val="00462476"/>
    <w:rsid w:val="00462E5E"/>
    <w:rsid w:val="00462FEC"/>
    <w:rsid w:val="00463EA9"/>
    <w:rsid w:val="0046455A"/>
    <w:rsid w:val="00464631"/>
    <w:rsid w:val="00464B43"/>
    <w:rsid w:val="00464EAB"/>
    <w:rsid w:val="00465ADE"/>
    <w:rsid w:val="00466DAD"/>
    <w:rsid w:val="00472F69"/>
    <w:rsid w:val="004755B8"/>
    <w:rsid w:val="00475DCB"/>
    <w:rsid w:val="00476E90"/>
    <w:rsid w:val="00477BFB"/>
    <w:rsid w:val="00480306"/>
    <w:rsid w:val="00480443"/>
    <w:rsid w:val="0048075D"/>
    <w:rsid w:val="004807F2"/>
    <w:rsid w:val="00481516"/>
    <w:rsid w:val="00481D91"/>
    <w:rsid w:val="00482551"/>
    <w:rsid w:val="00483A8C"/>
    <w:rsid w:val="0048494C"/>
    <w:rsid w:val="00484986"/>
    <w:rsid w:val="00491751"/>
    <w:rsid w:val="00491DCE"/>
    <w:rsid w:val="00491F57"/>
    <w:rsid w:val="00492D0F"/>
    <w:rsid w:val="004939A6"/>
    <w:rsid w:val="00493A59"/>
    <w:rsid w:val="004940FA"/>
    <w:rsid w:val="00496FB5"/>
    <w:rsid w:val="004A11F7"/>
    <w:rsid w:val="004A1986"/>
    <w:rsid w:val="004A2151"/>
    <w:rsid w:val="004A2510"/>
    <w:rsid w:val="004A3830"/>
    <w:rsid w:val="004A395C"/>
    <w:rsid w:val="004A447F"/>
    <w:rsid w:val="004A522C"/>
    <w:rsid w:val="004A5B97"/>
    <w:rsid w:val="004A66A0"/>
    <w:rsid w:val="004A7B06"/>
    <w:rsid w:val="004B0368"/>
    <w:rsid w:val="004B055B"/>
    <w:rsid w:val="004B2B34"/>
    <w:rsid w:val="004B2EB1"/>
    <w:rsid w:val="004B3221"/>
    <w:rsid w:val="004B3895"/>
    <w:rsid w:val="004B42E3"/>
    <w:rsid w:val="004B5C75"/>
    <w:rsid w:val="004B7873"/>
    <w:rsid w:val="004C0FA6"/>
    <w:rsid w:val="004C1DBA"/>
    <w:rsid w:val="004C4B86"/>
    <w:rsid w:val="004C4F86"/>
    <w:rsid w:val="004D0CB4"/>
    <w:rsid w:val="004D158F"/>
    <w:rsid w:val="004D15E0"/>
    <w:rsid w:val="004D2068"/>
    <w:rsid w:val="004D2958"/>
    <w:rsid w:val="004D2ADA"/>
    <w:rsid w:val="004D3C5C"/>
    <w:rsid w:val="004D43E6"/>
    <w:rsid w:val="004D55D1"/>
    <w:rsid w:val="004D61BC"/>
    <w:rsid w:val="004D6C82"/>
    <w:rsid w:val="004D72F7"/>
    <w:rsid w:val="004D77BB"/>
    <w:rsid w:val="004E0260"/>
    <w:rsid w:val="004E02C5"/>
    <w:rsid w:val="004E0BA6"/>
    <w:rsid w:val="004E0E89"/>
    <w:rsid w:val="004E1561"/>
    <w:rsid w:val="004E17FA"/>
    <w:rsid w:val="004E2B2E"/>
    <w:rsid w:val="004E3099"/>
    <w:rsid w:val="004E4AD0"/>
    <w:rsid w:val="004E5AC8"/>
    <w:rsid w:val="004E5C7F"/>
    <w:rsid w:val="004E6500"/>
    <w:rsid w:val="004E68DE"/>
    <w:rsid w:val="004E6D0C"/>
    <w:rsid w:val="004E7A7B"/>
    <w:rsid w:val="004F0FDE"/>
    <w:rsid w:val="004F165A"/>
    <w:rsid w:val="004F1872"/>
    <w:rsid w:val="004F1EAD"/>
    <w:rsid w:val="004F385E"/>
    <w:rsid w:val="004F578D"/>
    <w:rsid w:val="004F6249"/>
    <w:rsid w:val="004F7488"/>
    <w:rsid w:val="00500363"/>
    <w:rsid w:val="00500594"/>
    <w:rsid w:val="00500B91"/>
    <w:rsid w:val="0050175C"/>
    <w:rsid w:val="005036B5"/>
    <w:rsid w:val="005062A7"/>
    <w:rsid w:val="0050648E"/>
    <w:rsid w:val="00506F1C"/>
    <w:rsid w:val="005118B6"/>
    <w:rsid w:val="005131C0"/>
    <w:rsid w:val="0052038F"/>
    <w:rsid w:val="00520A23"/>
    <w:rsid w:val="00521689"/>
    <w:rsid w:val="0052203A"/>
    <w:rsid w:val="00522AB6"/>
    <w:rsid w:val="005238EB"/>
    <w:rsid w:val="005243E3"/>
    <w:rsid w:val="00526343"/>
    <w:rsid w:val="005278A3"/>
    <w:rsid w:val="00527910"/>
    <w:rsid w:val="00527A1F"/>
    <w:rsid w:val="00527ABD"/>
    <w:rsid w:val="00527E11"/>
    <w:rsid w:val="00530403"/>
    <w:rsid w:val="005304DE"/>
    <w:rsid w:val="00530EA1"/>
    <w:rsid w:val="00532488"/>
    <w:rsid w:val="00532668"/>
    <w:rsid w:val="00535209"/>
    <w:rsid w:val="005365F9"/>
    <w:rsid w:val="00537C06"/>
    <w:rsid w:val="00537CBD"/>
    <w:rsid w:val="005400FD"/>
    <w:rsid w:val="00540BC5"/>
    <w:rsid w:val="00541A32"/>
    <w:rsid w:val="005445F3"/>
    <w:rsid w:val="0054548B"/>
    <w:rsid w:val="005465EC"/>
    <w:rsid w:val="00546DA7"/>
    <w:rsid w:val="00547369"/>
    <w:rsid w:val="00547AE1"/>
    <w:rsid w:val="00551AE2"/>
    <w:rsid w:val="00551B11"/>
    <w:rsid w:val="0055248C"/>
    <w:rsid w:val="005527C9"/>
    <w:rsid w:val="0055407B"/>
    <w:rsid w:val="0055409B"/>
    <w:rsid w:val="00554B99"/>
    <w:rsid w:val="00555225"/>
    <w:rsid w:val="005556D7"/>
    <w:rsid w:val="00557959"/>
    <w:rsid w:val="00557F27"/>
    <w:rsid w:val="00561543"/>
    <w:rsid w:val="00561878"/>
    <w:rsid w:val="005663BE"/>
    <w:rsid w:val="005671FA"/>
    <w:rsid w:val="00567479"/>
    <w:rsid w:val="005718B4"/>
    <w:rsid w:val="00572E4A"/>
    <w:rsid w:val="005730E1"/>
    <w:rsid w:val="00573F87"/>
    <w:rsid w:val="005753D7"/>
    <w:rsid w:val="005762FF"/>
    <w:rsid w:val="00577848"/>
    <w:rsid w:val="00580F02"/>
    <w:rsid w:val="00581B3E"/>
    <w:rsid w:val="0058286C"/>
    <w:rsid w:val="00582AEE"/>
    <w:rsid w:val="00582E3A"/>
    <w:rsid w:val="00582E68"/>
    <w:rsid w:val="005835A6"/>
    <w:rsid w:val="005853AE"/>
    <w:rsid w:val="005855E3"/>
    <w:rsid w:val="00587884"/>
    <w:rsid w:val="00587EDC"/>
    <w:rsid w:val="005901BA"/>
    <w:rsid w:val="00591FB4"/>
    <w:rsid w:val="0059258C"/>
    <w:rsid w:val="00592EFC"/>
    <w:rsid w:val="00594B30"/>
    <w:rsid w:val="00594F68"/>
    <w:rsid w:val="00595080"/>
    <w:rsid w:val="005950AD"/>
    <w:rsid w:val="0059579B"/>
    <w:rsid w:val="00595A9E"/>
    <w:rsid w:val="00596C78"/>
    <w:rsid w:val="005973BC"/>
    <w:rsid w:val="005A06D2"/>
    <w:rsid w:val="005A0910"/>
    <w:rsid w:val="005A187F"/>
    <w:rsid w:val="005A1DA4"/>
    <w:rsid w:val="005A34F2"/>
    <w:rsid w:val="005A3EBC"/>
    <w:rsid w:val="005A5DEB"/>
    <w:rsid w:val="005A686E"/>
    <w:rsid w:val="005A7180"/>
    <w:rsid w:val="005A7CD9"/>
    <w:rsid w:val="005B0DD9"/>
    <w:rsid w:val="005B2800"/>
    <w:rsid w:val="005B3E9B"/>
    <w:rsid w:val="005B4035"/>
    <w:rsid w:val="005B4790"/>
    <w:rsid w:val="005B50A7"/>
    <w:rsid w:val="005B708D"/>
    <w:rsid w:val="005C1E07"/>
    <w:rsid w:val="005C21BE"/>
    <w:rsid w:val="005C2223"/>
    <w:rsid w:val="005C3AF5"/>
    <w:rsid w:val="005C3C76"/>
    <w:rsid w:val="005C4365"/>
    <w:rsid w:val="005C7B84"/>
    <w:rsid w:val="005C7D40"/>
    <w:rsid w:val="005D21B9"/>
    <w:rsid w:val="005D2989"/>
    <w:rsid w:val="005D2A40"/>
    <w:rsid w:val="005D3F09"/>
    <w:rsid w:val="005D60CC"/>
    <w:rsid w:val="005D631C"/>
    <w:rsid w:val="005D7294"/>
    <w:rsid w:val="005D7BAA"/>
    <w:rsid w:val="005E034D"/>
    <w:rsid w:val="005E076C"/>
    <w:rsid w:val="005E1D74"/>
    <w:rsid w:val="005E2C1E"/>
    <w:rsid w:val="005E2CF0"/>
    <w:rsid w:val="005E32AE"/>
    <w:rsid w:val="005E442E"/>
    <w:rsid w:val="005E4ABE"/>
    <w:rsid w:val="005E51C6"/>
    <w:rsid w:val="005E5272"/>
    <w:rsid w:val="005E5697"/>
    <w:rsid w:val="005E632A"/>
    <w:rsid w:val="005E6802"/>
    <w:rsid w:val="005E748A"/>
    <w:rsid w:val="005F0A29"/>
    <w:rsid w:val="005F1AEC"/>
    <w:rsid w:val="005F2485"/>
    <w:rsid w:val="005F2535"/>
    <w:rsid w:val="005F2C79"/>
    <w:rsid w:val="005F3B29"/>
    <w:rsid w:val="005F423E"/>
    <w:rsid w:val="005F4991"/>
    <w:rsid w:val="005F5701"/>
    <w:rsid w:val="005F6BF5"/>
    <w:rsid w:val="005F6DFE"/>
    <w:rsid w:val="005F73A3"/>
    <w:rsid w:val="005F7875"/>
    <w:rsid w:val="0060059F"/>
    <w:rsid w:val="00600662"/>
    <w:rsid w:val="00600678"/>
    <w:rsid w:val="00601B36"/>
    <w:rsid w:val="00603519"/>
    <w:rsid w:val="00603E7A"/>
    <w:rsid w:val="006047D8"/>
    <w:rsid w:val="006049D2"/>
    <w:rsid w:val="006057D2"/>
    <w:rsid w:val="00605868"/>
    <w:rsid w:val="00606773"/>
    <w:rsid w:val="00607240"/>
    <w:rsid w:val="006073C8"/>
    <w:rsid w:val="0061003A"/>
    <w:rsid w:val="00610F85"/>
    <w:rsid w:val="00611B55"/>
    <w:rsid w:val="00611EAD"/>
    <w:rsid w:val="00612BC2"/>
    <w:rsid w:val="0061310A"/>
    <w:rsid w:val="00613A88"/>
    <w:rsid w:val="006151B9"/>
    <w:rsid w:val="0061569E"/>
    <w:rsid w:val="00615E46"/>
    <w:rsid w:val="00616C9A"/>
    <w:rsid w:val="00617CED"/>
    <w:rsid w:val="00620512"/>
    <w:rsid w:val="006214FE"/>
    <w:rsid w:val="00621698"/>
    <w:rsid w:val="0062248C"/>
    <w:rsid w:val="00622816"/>
    <w:rsid w:val="0062376B"/>
    <w:rsid w:val="0062416C"/>
    <w:rsid w:val="00624643"/>
    <w:rsid w:val="00624CC8"/>
    <w:rsid w:val="00626983"/>
    <w:rsid w:val="006278B1"/>
    <w:rsid w:val="00627C83"/>
    <w:rsid w:val="006304B1"/>
    <w:rsid w:val="006304FA"/>
    <w:rsid w:val="0063353D"/>
    <w:rsid w:val="00634574"/>
    <w:rsid w:val="00634DEA"/>
    <w:rsid w:val="00635CA1"/>
    <w:rsid w:val="006365E2"/>
    <w:rsid w:val="00640A64"/>
    <w:rsid w:val="00641F65"/>
    <w:rsid w:val="00642D62"/>
    <w:rsid w:val="00642DD6"/>
    <w:rsid w:val="00643A2F"/>
    <w:rsid w:val="00644499"/>
    <w:rsid w:val="00645C14"/>
    <w:rsid w:val="0064652C"/>
    <w:rsid w:val="0064679A"/>
    <w:rsid w:val="00647FAA"/>
    <w:rsid w:val="0065045F"/>
    <w:rsid w:val="00650F9C"/>
    <w:rsid w:val="00651592"/>
    <w:rsid w:val="00651843"/>
    <w:rsid w:val="00652100"/>
    <w:rsid w:val="00652448"/>
    <w:rsid w:val="00652A30"/>
    <w:rsid w:val="006551FA"/>
    <w:rsid w:val="0065540C"/>
    <w:rsid w:val="006577CE"/>
    <w:rsid w:val="006578D0"/>
    <w:rsid w:val="00657B66"/>
    <w:rsid w:val="0066085C"/>
    <w:rsid w:val="00661637"/>
    <w:rsid w:val="00662D5B"/>
    <w:rsid w:val="00663AF2"/>
    <w:rsid w:val="0066449B"/>
    <w:rsid w:val="00665845"/>
    <w:rsid w:val="006658A6"/>
    <w:rsid w:val="00666410"/>
    <w:rsid w:val="00667D7D"/>
    <w:rsid w:val="00670929"/>
    <w:rsid w:val="00670EE6"/>
    <w:rsid w:val="00672F6F"/>
    <w:rsid w:val="00673248"/>
    <w:rsid w:val="00673327"/>
    <w:rsid w:val="00673497"/>
    <w:rsid w:val="00676E80"/>
    <w:rsid w:val="00677AAE"/>
    <w:rsid w:val="006821A2"/>
    <w:rsid w:val="00682DC0"/>
    <w:rsid w:val="006842B7"/>
    <w:rsid w:val="00684431"/>
    <w:rsid w:val="006863E4"/>
    <w:rsid w:val="006901D4"/>
    <w:rsid w:val="006901FB"/>
    <w:rsid w:val="00690494"/>
    <w:rsid w:val="00691F34"/>
    <w:rsid w:val="0069271A"/>
    <w:rsid w:val="006963FC"/>
    <w:rsid w:val="00697436"/>
    <w:rsid w:val="00697C15"/>
    <w:rsid w:val="006A1FD6"/>
    <w:rsid w:val="006A27C4"/>
    <w:rsid w:val="006A2DCE"/>
    <w:rsid w:val="006A4309"/>
    <w:rsid w:val="006A5925"/>
    <w:rsid w:val="006A62F9"/>
    <w:rsid w:val="006B04CC"/>
    <w:rsid w:val="006B25A8"/>
    <w:rsid w:val="006B2E2C"/>
    <w:rsid w:val="006B32F5"/>
    <w:rsid w:val="006B3F34"/>
    <w:rsid w:val="006B430D"/>
    <w:rsid w:val="006B573D"/>
    <w:rsid w:val="006B7F2D"/>
    <w:rsid w:val="006C14E1"/>
    <w:rsid w:val="006C227F"/>
    <w:rsid w:val="006C312C"/>
    <w:rsid w:val="006C3C1A"/>
    <w:rsid w:val="006C4A0E"/>
    <w:rsid w:val="006C511D"/>
    <w:rsid w:val="006C618A"/>
    <w:rsid w:val="006C64F3"/>
    <w:rsid w:val="006D1619"/>
    <w:rsid w:val="006D16D3"/>
    <w:rsid w:val="006D2686"/>
    <w:rsid w:val="006D306D"/>
    <w:rsid w:val="006D4268"/>
    <w:rsid w:val="006D44D2"/>
    <w:rsid w:val="006D450A"/>
    <w:rsid w:val="006D5F00"/>
    <w:rsid w:val="006D7382"/>
    <w:rsid w:val="006D7B5F"/>
    <w:rsid w:val="006D7E2E"/>
    <w:rsid w:val="006E0015"/>
    <w:rsid w:val="006E01B7"/>
    <w:rsid w:val="006E0BA3"/>
    <w:rsid w:val="006E0D0C"/>
    <w:rsid w:val="006E201C"/>
    <w:rsid w:val="006E359E"/>
    <w:rsid w:val="006E362B"/>
    <w:rsid w:val="006E6AF9"/>
    <w:rsid w:val="006F043A"/>
    <w:rsid w:val="006F0D91"/>
    <w:rsid w:val="006F1CAC"/>
    <w:rsid w:val="006F2AC4"/>
    <w:rsid w:val="006F3674"/>
    <w:rsid w:val="006F36FF"/>
    <w:rsid w:val="006F3B96"/>
    <w:rsid w:val="006F5675"/>
    <w:rsid w:val="006F639B"/>
    <w:rsid w:val="006F67AA"/>
    <w:rsid w:val="006F72E8"/>
    <w:rsid w:val="006F7E1D"/>
    <w:rsid w:val="0070124D"/>
    <w:rsid w:val="00701D8F"/>
    <w:rsid w:val="00702720"/>
    <w:rsid w:val="00703898"/>
    <w:rsid w:val="00706238"/>
    <w:rsid w:val="00707CDF"/>
    <w:rsid w:val="0071009A"/>
    <w:rsid w:val="00710C4F"/>
    <w:rsid w:val="00710F95"/>
    <w:rsid w:val="00712109"/>
    <w:rsid w:val="007130D6"/>
    <w:rsid w:val="00713E73"/>
    <w:rsid w:val="0071502D"/>
    <w:rsid w:val="00715549"/>
    <w:rsid w:val="00716661"/>
    <w:rsid w:val="00717070"/>
    <w:rsid w:val="00717EDF"/>
    <w:rsid w:val="007204ED"/>
    <w:rsid w:val="00721264"/>
    <w:rsid w:val="00721974"/>
    <w:rsid w:val="007222B8"/>
    <w:rsid w:val="0072245E"/>
    <w:rsid w:val="00723086"/>
    <w:rsid w:val="00723489"/>
    <w:rsid w:val="00723D15"/>
    <w:rsid w:val="007246E4"/>
    <w:rsid w:val="00726332"/>
    <w:rsid w:val="00726721"/>
    <w:rsid w:val="00726E8F"/>
    <w:rsid w:val="00730B6A"/>
    <w:rsid w:val="007329A9"/>
    <w:rsid w:val="00732E44"/>
    <w:rsid w:val="00733391"/>
    <w:rsid w:val="0073419F"/>
    <w:rsid w:val="007344C5"/>
    <w:rsid w:val="0073470B"/>
    <w:rsid w:val="00734A79"/>
    <w:rsid w:val="00735E53"/>
    <w:rsid w:val="007360A3"/>
    <w:rsid w:val="00737A4C"/>
    <w:rsid w:val="007403B2"/>
    <w:rsid w:val="007408EC"/>
    <w:rsid w:val="00740FC5"/>
    <w:rsid w:val="00741FA0"/>
    <w:rsid w:val="007423F3"/>
    <w:rsid w:val="00742765"/>
    <w:rsid w:val="007439D1"/>
    <w:rsid w:val="00743C72"/>
    <w:rsid w:val="00743ECE"/>
    <w:rsid w:val="007441C0"/>
    <w:rsid w:val="00744BDA"/>
    <w:rsid w:val="00744F0F"/>
    <w:rsid w:val="00745106"/>
    <w:rsid w:val="007451F8"/>
    <w:rsid w:val="007467D3"/>
    <w:rsid w:val="00747996"/>
    <w:rsid w:val="00750B4B"/>
    <w:rsid w:val="00750E14"/>
    <w:rsid w:val="007514A8"/>
    <w:rsid w:val="007521AE"/>
    <w:rsid w:val="0075248B"/>
    <w:rsid w:val="00752785"/>
    <w:rsid w:val="00752B0C"/>
    <w:rsid w:val="00753F6C"/>
    <w:rsid w:val="0075425A"/>
    <w:rsid w:val="0075647F"/>
    <w:rsid w:val="007573E4"/>
    <w:rsid w:val="00757F2C"/>
    <w:rsid w:val="00760A21"/>
    <w:rsid w:val="00760D30"/>
    <w:rsid w:val="00761E22"/>
    <w:rsid w:val="00761F7A"/>
    <w:rsid w:val="00762878"/>
    <w:rsid w:val="00763729"/>
    <w:rsid w:val="007640AE"/>
    <w:rsid w:val="00764FAB"/>
    <w:rsid w:val="00771807"/>
    <w:rsid w:val="00771827"/>
    <w:rsid w:val="007720E8"/>
    <w:rsid w:val="00772D70"/>
    <w:rsid w:val="00773E86"/>
    <w:rsid w:val="007751D9"/>
    <w:rsid w:val="00775588"/>
    <w:rsid w:val="0077587B"/>
    <w:rsid w:val="007763E2"/>
    <w:rsid w:val="00780510"/>
    <w:rsid w:val="007809E3"/>
    <w:rsid w:val="00780C2D"/>
    <w:rsid w:val="00781073"/>
    <w:rsid w:val="0078273B"/>
    <w:rsid w:val="0078344A"/>
    <w:rsid w:val="00784602"/>
    <w:rsid w:val="00784BB8"/>
    <w:rsid w:val="00785101"/>
    <w:rsid w:val="00787B09"/>
    <w:rsid w:val="00790276"/>
    <w:rsid w:val="00791533"/>
    <w:rsid w:val="00791AFA"/>
    <w:rsid w:val="0079216E"/>
    <w:rsid w:val="00793BFA"/>
    <w:rsid w:val="0079412E"/>
    <w:rsid w:val="007941D7"/>
    <w:rsid w:val="007950EE"/>
    <w:rsid w:val="00795624"/>
    <w:rsid w:val="00795690"/>
    <w:rsid w:val="007965C9"/>
    <w:rsid w:val="00796A8E"/>
    <w:rsid w:val="007A1D59"/>
    <w:rsid w:val="007A2687"/>
    <w:rsid w:val="007A3227"/>
    <w:rsid w:val="007A568C"/>
    <w:rsid w:val="007A57E3"/>
    <w:rsid w:val="007A59F9"/>
    <w:rsid w:val="007A5B09"/>
    <w:rsid w:val="007A6AC6"/>
    <w:rsid w:val="007B080A"/>
    <w:rsid w:val="007B27EE"/>
    <w:rsid w:val="007B39DD"/>
    <w:rsid w:val="007B4CF1"/>
    <w:rsid w:val="007B4EB2"/>
    <w:rsid w:val="007B7503"/>
    <w:rsid w:val="007C0543"/>
    <w:rsid w:val="007C2933"/>
    <w:rsid w:val="007C486A"/>
    <w:rsid w:val="007C4DF6"/>
    <w:rsid w:val="007C6CFA"/>
    <w:rsid w:val="007C7437"/>
    <w:rsid w:val="007D059E"/>
    <w:rsid w:val="007D1295"/>
    <w:rsid w:val="007D1897"/>
    <w:rsid w:val="007D400A"/>
    <w:rsid w:val="007D4588"/>
    <w:rsid w:val="007D4CA3"/>
    <w:rsid w:val="007D5061"/>
    <w:rsid w:val="007D5F6E"/>
    <w:rsid w:val="007D7BE4"/>
    <w:rsid w:val="007D7C4D"/>
    <w:rsid w:val="007E0647"/>
    <w:rsid w:val="007E152A"/>
    <w:rsid w:val="007E1B40"/>
    <w:rsid w:val="007E226B"/>
    <w:rsid w:val="007E2595"/>
    <w:rsid w:val="007E58CE"/>
    <w:rsid w:val="007E67EF"/>
    <w:rsid w:val="007F1E05"/>
    <w:rsid w:val="007F3209"/>
    <w:rsid w:val="007F38C9"/>
    <w:rsid w:val="007F4A9E"/>
    <w:rsid w:val="007F4AF1"/>
    <w:rsid w:val="007F4D11"/>
    <w:rsid w:val="007F760F"/>
    <w:rsid w:val="007F7CC7"/>
    <w:rsid w:val="00800F97"/>
    <w:rsid w:val="0080481D"/>
    <w:rsid w:val="00804969"/>
    <w:rsid w:val="008066EF"/>
    <w:rsid w:val="008069CF"/>
    <w:rsid w:val="00807EB5"/>
    <w:rsid w:val="008103C9"/>
    <w:rsid w:val="00810CFB"/>
    <w:rsid w:val="008110D0"/>
    <w:rsid w:val="00811F92"/>
    <w:rsid w:val="008128E0"/>
    <w:rsid w:val="008134B2"/>
    <w:rsid w:val="008146C7"/>
    <w:rsid w:val="00815747"/>
    <w:rsid w:val="00815E2E"/>
    <w:rsid w:val="0081639F"/>
    <w:rsid w:val="00817BCC"/>
    <w:rsid w:val="008202BD"/>
    <w:rsid w:val="00820F02"/>
    <w:rsid w:val="00821F2B"/>
    <w:rsid w:val="00822155"/>
    <w:rsid w:val="008230FF"/>
    <w:rsid w:val="00823435"/>
    <w:rsid w:val="00823628"/>
    <w:rsid w:val="00825DB8"/>
    <w:rsid w:val="0082767E"/>
    <w:rsid w:val="008335E0"/>
    <w:rsid w:val="00835991"/>
    <w:rsid w:val="00835A29"/>
    <w:rsid w:val="008361D3"/>
    <w:rsid w:val="00836F40"/>
    <w:rsid w:val="00837022"/>
    <w:rsid w:val="00840BED"/>
    <w:rsid w:val="008415CD"/>
    <w:rsid w:val="00841B51"/>
    <w:rsid w:val="008423AA"/>
    <w:rsid w:val="00844A74"/>
    <w:rsid w:val="00846874"/>
    <w:rsid w:val="00847467"/>
    <w:rsid w:val="00847F67"/>
    <w:rsid w:val="00851EB3"/>
    <w:rsid w:val="008520B1"/>
    <w:rsid w:val="00853DD0"/>
    <w:rsid w:val="00855A96"/>
    <w:rsid w:val="00855C65"/>
    <w:rsid w:val="0085710A"/>
    <w:rsid w:val="008577AA"/>
    <w:rsid w:val="00860447"/>
    <w:rsid w:val="00862F38"/>
    <w:rsid w:val="0086393A"/>
    <w:rsid w:val="0086446C"/>
    <w:rsid w:val="008649FE"/>
    <w:rsid w:val="00866583"/>
    <w:rsid w:val="00866C27"/>
    <w:rsid w:val="008677CC"/>
    <w:rsid w:val="00867DE6"/>
    <w:rsid w:val="0087083F"/>
    <w:rsid w:val="0087090D"/>
    <w:rsid w:val="00872173"/>
    <w:rsid w:val="00872E10"/>
    <w:rsid w:val="00873257"/>
    <w:rsid w:val="00873279"/>
    <w:rsid w:val="008732EA"/>
    <w:rsid w:val="00874388"/>
    <w:rsid w:val="00875B6C"/>
    <w:rsid w:val="00875CCC"/>
    <w:rsid w:val="00877816"/>
    <w:rsid w:val="0088009F"/>
    <w:rsid w:val="008802E2"/>
    <w:rsid w:val="008819F3"/>
    <w:rsid w:val="00881A8A"/>
    <w:rsid w:val="00883387"/>
    <w:rsid w:val="0088666B"/>
    <w:rsid w:val="00886767"/>
    <w:rsid w:val="00886877"/>
    <w:rsid w:val="00886E90"/>
    <w:rsid w:val="00887DB9"/>
    <w:rsid w:val="00890E76"/>
    <w:rsid w:val="00891172"/>
    <w:rsid w:val="00893953"/>
    <w:rsid w:val="00894680"/>
    <w:rsid w:val="00894B8C"/>
    <w:rsid w:val="00894EAC"/>
    <w:rsid w:val="00894FEF"/>
    <w:rsid w:val="00895497"/>
    <w:rsid w:val="00895926"/>
    <w:rsid w:val="00896816"/>
    <w:rsid w:val="00896959"/>
    <w:rsid w:val="008A35B2"/>
    <w:rsid w:val="008A375D"/>
    <w:rsid w:val="008A4E19"/>
    <w:rsid w:val="008A6761"/>
    <w:rsid w:val="008A6BAC"/>
    <w:rsid w:val="008A712F"/>
    <w:rsid w:val="008A74EF"/>
    <w:rsid w:val="008B29D9"/>
    <w:rsid w:val="008B2E6E"/>
    <w:rsid w:val="008B35EE"/>
    <w:rsid w:val="008B3A12"/>
    <w:rsid w:val="008B61B4"/>
    <w:rsid w:val="008B6A54"/>
    <w:rsid w:val="008B6A7C"/>
    <w:rsid w:val="008B75C2"/>
    <w:rsid w:val="008B78E8"/>
    <w:rsid w:val="008C063F"/>
    <w:rsid w:val="008C0BE9"/>
    <w:rsid w:val="008C12B5"/>
    <w:rsid w:val="008C1FDB"/>
    <w:rsid w:val="008C5458"/>
    <w:rsid w:val="008C7161"/>
    <w:rsid w:val="008D0162"/>
    <w:rsid w:val="008D12C0"/>
    <w:rsid w:val="008D13B6"/>
    <w:rsid w:val="008D15EA"/>
    <w:rsid w:val="008D1C84"/>
    <w:rsid w:val="008D4433"/>
    <w:rsid w:val="008D4AC9"/>
    <w:rsid w:val="008D566E"/>
    <w:rsid w:val="008D60B6"/>
    <w:rsid w:val="008D6675"/>
    <w:rsid w:val="008D7221"/>
    <w:rsid w:val="008E0175"/>
    <w:rsid w:val="008E05C9"/>
    <w:rsid w:val="008E1C7C"/>
    <w:rsid w:val="008E2815"/>
    <w:rsid w:val="008E2EDB"/>
    <w:rsid w:val="008E3469"/>
    <w:rsid w:val="008E4905"/>
    <w:rsid w:val="008E5897"/>
    <w:rsid w:val="008E5C59"/>
    <w:rsid w:val="008E674E"/>
    <w:rsid w:val="008E7D85"/>
    <w:rsid w:val="008F0A20"/>
    <w:rsid w:val="008F11D7"/>
    <w:rsid w:val="008F231B"/>
    <w:rsid w:val="008F2BFB"/>
    <w:rsid w:val="008F3443"/>
    <w:rsid w:val="008F3874"/>
    <w:rsid w:val="008F4F2B"/>
    <w:rsid w:val="008F661E"/>
    <w:rsid w:val="008F6AFF"/>
    <w:rsid w:val="008F70CB"/>
    <w:rsid w:val="0090254A"/>
    <w:rsid w:val="0090496F"/>
    <w:rsid w:val="009053C4"/>
    <w:rsid w:val="00906A36"/>
    <w:rsid w:val="00906F4F"/>
    <w:rsid w:val="00907865"/>
    <w:rsid w:val="00910404"/>
    <w:rsid w:val="00911ACC"/>
    <w:rsid w:val="00912B57"/>
    <w:rsid w:val="00913AEC"/>
    <w:rsid w:val="00914037"/>
    <w:rsid w:val="0091454B"/>
    <w:rsid w:val="00914950"/>
    <w:rsid w:val="00916836"/>
    <w:rsid w:val="009178AD"/>
    <w:rsid w:val="009201AA"/>
    <w:rsid w:val="00924044"/>
    <w:rsid w:val="009245DB"/>
    <w:rsid w:val="0092560F"/>
    <w:rsid w:val="00925940"/>
    <w:rsid w:val="0092616A"/>
    <w:rsid w:val="00926350"/>
    <w:rsid w:val="009270BF"/>
    <w:rsid w:val="009301F1"/>
    <w:rsid w:val="00931167"/>
    <w:rsid w:val="00931A91"/>
    <w:rsid w:val="00931DAB"/>
    <w:rsid w:val="0093375A"/>
    <w:rsid w:val="009357D8"/>
    <w:rsid w:val="009366D6"/>
    <w:rsid w:val="00937F5B"/>
    <w:rsid w:val="00940E72"/>
    <w:rsid w:val="00941D19"/>
    <w:rsid w:val="00942662"/>
    <w:rsid w:val="0094336E"/>
    <w:rsid w:val="00943C36"/>
    <w:rsid w:val="009445FB"/>
    <w:rsid w:val="00944CC7"/>
    <w:rsid w:val="0094501A"/>
    <w:rsid w:val="00945396"/>
    <w:rsid w:val="00950313"/>
    <w:rsid w:val="00950846"/>
    <w:rsid w:val="00950A1B"/>
    <w:rsid w:val="00950E4F"/>
    <w:rsid w:val="00950F35"/>
    <w:rsid w:val="0095178F"/>
    <w:rsid w:val="00951F39"/>
    <w:rsid w:val="009524F8"/>
    <w:rsid w:val="00952CEE"/>
    <w:rsid w:val="0095385B"/>
    <w:rsid w:val="00954C41"/>
    <w:rsid w:val="00955E00"/>
    <w:rsid w:val="00956043"/>
    <w:rsid w:val="009564D1"/>
    <w:rsid w:val="00956D6F"/>
    <w:rsid w:val="009610D4"/>
    <w:rsid w:val="0096110C"/>
    <w:rsid w:val="009632A9"/>
    <w:rsid w:val="00963615"/>
    <w:rsid w:val="00964AF7"/>
    <w:rsid w:val="00964CD4"/>
    <w:rsid w:val="00964CE8"/>
    <w:rsid w:val="00965270"/>
    <w:rsid w:val="009653D5"/>
    <w:rsid w:val="0096609B"/>
    <w:rsid w:val="00966BBE"/>
    <w:rsid w:val="00967978"/>
    <w:rsid w:val="00967E56"/>
    <w:rsid w:val="0097039E"/>
    <w:rsid w:val="00970DC7"/>
    <w:rsid w:val="0097157B"/>
    <w:rsid w:val="00972456"/>
    <w:rsid w:val="00972C35"/>
    <w:rsid w:val="009741EB"/>
    <w:rsid w:val="00974624"/>
    <w:rsid w:val="00974CCC"/>
    <w:rsid w:val="00976C10"/>
    <w:rsid w:val="00977208"/>
    <w:rsid w:val="00977A1C"/>
    <w:rsid w:val="00981396"/>
    <w:rsid w:val="00981AB9"/>
    <w:rsid w:val="00981F25"/>
    <w:rsid w:val="00987B02"/>
    <w:rsid w:val="0099112C"/>
    <w:rsid w:val="009911D8"/>
    <w:rsid w:val="0099136D"/>
    <w:rsid w:val="009929DD"/>
    <w:rsid w:val="009939FF"/>
    <w:rsid w:val="009940BC"/>
    <w:rsid w:val="0099425F"/>
    <w:rsid w:val="009954BA"/>
    <w:rsid w:val="0099569D"/>
    <w:rsid w:val="00995CA5"/>
    <w:rsid w:val="00997DDD"/>
    <w:rsid w:val="009A01C1"/>
    <w:rsid w:val="009A1BF2"/>
    <w:rsid w:val="009A2098"/>
    <w:rsid w:val="009A2419"/>
    <w:rsid w:val="009A2FAC"/>
    <w:rsid w:val="009A3639"/>
    <w:rsid w:val="009A3A8A"/>
    <w:rsid w:val="009A5832"/>
    <w:rsid w:val="009A5B8F"/>
    <w:rsid w:val="009A67D5"/>
    <w:rsid w:val="009A7522"/>
    <w:rsid w:val="009B005B"/>
    <w:rsid w:val="009B0752"/>
    <w:rsid w:val="009B0863"/>
    <w:rsid w:val="009B1EA0"/>
    <w:rsid w:val="009B241F"/>
    <w:rsid w:val="009B29C2"/>
    <w:rsid w:val="009B2F04"/>
    <w:rsid w:val="009B54E6"/>
    <w:rsid w:val="009B62FA"/>
    <w:rsid w:val="009B6BEA"/>
    <w:rsid w:val="009B6EE7"/>
    <w:rsid w:val="009B778E"/>
    <w:rsid w:val="009B79B6"/>
    <w:rsid w:val="009B7D7C"/>
    <w:rsid w:val="009C0247"/>
    <w:rsid w:val="009C20F6"/>
    <w:rsid w:val="009C2BCF"/>
    <w:rsid w:val="009C39EF"/>
    <w:rsid w:val="009C42BE"/>
    <w:rsid w:val="009C4307"/>
    <w:rsid w:val="009C5805"/>
    <w:rsid w:val="009C5A6B"/>
    <w:rsid w:val="009C62EA"/>
    <w:rsid w:val="009C704F"/>
    <w:rsid w:val="009D0D74"/>
    <w:rsid w:val="009D0DFB"/>
    <w:rsid w:val="009D2B21"/>
    <w:rsid w:val="009D3078"/>
    <w:rsid w:val="009D38EF"/>
    <w:rsid w:val="009D3E98"/>
    <w:rsid w:val="009D4031"/>
    <w:rsid w:val="009D62C8"/>
    <w:rsid w:val="009D7791"/>
    <w:rsid w:val="009E14FB"/>
    <w:rsid w:val="009E5F8A"/>
    <w:rsid w:val="009E68AA"/>
    <w:rsid w:val="009E7DCD"/>
    <w:rsid w:val="009F08E9"/>
    <w:rsid w:val="009F161F"/>
    <w:rsid w:val="009F2A9E"/>
    <w:rsid w:val="009F386B"/>
    <w:rsid w:val="009F51AC"/>
    <w:rsid w:val="009F55FF"/>
    <w:rsid w:val="009F5E08"/>
    <w:rsid w:val="009F61B1"/>
    <w:rsid w:val="009F79A5"/>
    <w:rsid w:val="00A00940"/>
    <w:rsid w:val="00A02E08"/>
    <w:rsid w:val="00A0521C"/>
    <w:rsid w:val="00A05926"/>
    <w:rsid w:val="00A05E25"/>
    <w:rsid w:val="00A07863"/>
    <w:rsid w:val="00A10FBC"/>
    <w:rsid w:val="00A11426"/>
    <w:rsid w:val="00A11554"/>
    <w:rsid w:val="00A14C2C"/>
    <w:rsid w:val="00A15177"/>
    <w:rsid w:val="00A15895"/>
    <w:rsid w:val="00A17FFE"/>
    <w:rsid w:val="00A209D7"/>
    <w:rsid w:val="00A20A9E"/>
    <w:rsid w:val="00A20D3B"/>
    <w:rsid w:val="00A210B4"/>
    <w:rsid w:val="00A2268A"/>
    <w:rsid w:val="00A25135"/>
    <w:rsid w:val="00A254DB"/>
    <w:rsid w:val="00A26944"/>
    <w:rsid w:val="00A30620"/>
    <w:rsid w:val="00A31039"/>
    <w:rsid w:val="00A32106"/>
    <w:rsid w:val="00A3248E"/>
    <w:rsid w:val="00A32548"/>
    <w:rsid w:val="00A32BC5"/>
    <w:rsid w:val="00A33394"/>
    <w:rsid w:val="00A349DF"/>
    <w:rsid w:val="00A34A5D"/>
    <w:rsid w:val="00A3570C"/>
    <w:rsid w:val="00A35863"/>
    <w:rsid w:val="00A369FF"/>
    <w:rsid w:val="00A36CD1"/>
    <w:rsid w:val="00A40828"/>
    <w:rsid w:val="00A4101F"/>
    <w:rsid w:val="00A41045"/>
    <w:rsid w:val="00A41EAA"/>
    <w:rsid w:val="00A4374B"/>
    <w:rsid w:val="00A43F55"/>
    <w:rsid w:val="00A44103"/>
    <w:rsid w:val="00A441C6"/>
    <w:rsid w:val="00A44256"/>
    <w:rsid w:val="00A45A8C"/>
    <w:rsid w:val="00A45C01"/>
    <w:rsid w:val="00A465D7"/>
    <w:rsid w:val="00A52176"/>
    <w:rsid w:val="00A530A7"/>
    <w:rsid w:val="00A5433D"/>
    <w:rsid w:val="00A54E9D"/>
    <w:rsid w:val="00A5564D"/>
    <w:rsid w:val="00A5662C"/>
    <w:rsid w:val="00A60550"/>
    <w:rsid w:val="00A60E9B"/>
    <w:rsid w:val="00A612AB"/>
    <w:rsid w:val="00A61902"/>
    <w:rsid w:val="00A63689"/>
    <w:rsid w:val="00A63D70"/>
    <w:rsid w:val="00A646DB"/>
    <w:rsid w:val="00A64BC8"/>
    <w:rsid w:val="00A6638D"/>
    <w:rsid w:val="00A669B8"/>
    <w:rsid w:val="00A67390"/>
    <w:rsid w:val="00A67D82"/>
    <w:rsid w:val="00A71869"/>
    <w:rsid w:val="00A72121"/>
    <w:rsid w:val="00A721B6"/>
    <w:rsid w:val="00A733A9"/>
    <w:rsid w:val="00A74521"/>
    <w:rsid w:val="00A745DD"/>
    <w:rsid w:val="00A762EC"/>
    <w:rsid w:val="00A76908"/>
    <w:rsid w:val="00A80294"/>
    <w:rsid w:val="00A80697"/>
    <w:rsid w:val="00A80B9F"/>
    <w:rsid w:val="00A81887"/>
    <w:rsid w:val="00A819F3"/>
    <w:rsid w:val="00A83520"/>
    <w:rsid w:val="00A86198"/>
    <w:rsid w:val="00A86303"/>
    <w:rsid w:val="00A86579"/>
    <w:rsid w:val="00A867EB"/>
    <w:rsid w:val="00A8705A"/>
    <w:rsid w:val="00A874F5"/>
    <w:rsid w:val="00A87F18"/>
    <w:rsid w:val="00A90884"/>
    <w:rsid w:val="00A91D58"/>
    <w:rsid w:val="00A92314"/>
    <w:rsid w:val="00A92584"/>
    <w:rsid w:val="00A92638"/>
    <w:rsid w:val="00A9697F"/>
    <w:rsid w:val="00AA41CD"/>
    <w:rsid w:val="00AA5446"/>
    <w:rsid w:val="00AA5F2A"/>
    <w:rsid w:val="00AA6861"/>
    <w:rsid w:val="00AA76F8"/>
    <w:rsid w:val="00AB015B"/>
    <w:rsid w:val="00AB18E5"/>
    <w:rsid w:val="00AB1CDD"/>
    <w:rsid w:val="00AB2996"/>
    <w:rsid w:val="00AB350E"/>
    <w:rsid w:val="00AB5AA9"/>
    <w:rsid w:val="00AB6A6A"/>
    <w:rsid w:val="00AB72E6"/>
    <w:rsid w:val="00AC0819"/>
    <w:rsid w:val="00AC0B83"/>
    <w:rsid w:val="00AC136A"/>
    <w:rsid w:val="00AC3AA6"/>
    <w:rsid w:val="00AC5D4F"/>
    <w:rsid w:val="00AC5E32"/>
    <w:rsid w:val="00AC5E5D"/>
    <w:rsid w:val="00AC7AFF"/>
    <w:rsid w:val="00AD0EF9"/>
    <w:rsid w:val="00AD169B"/>
    <w:rsid w:val="00AD16C3"/>
    <w:rsid w:val="00AD2E28"/>
    <w:rsid w:val="00AD34F9"/>
    <w:rsid w:val="00AD3A72"/>
    <w:rsid w:val="00AD44B8"/>
    <w:rsid w:val="00AD58F7"/>
    <w:rsid w:val="00AD6A2A"/>
    <w:rsid w:val="00AD7066"/>
    <w:rsid w:val="00AD7116"/>
    <w:rsid w:val="00AE03BE"/>
    <w:rsid w:val="00AE0C93"/>
    <w:rsid w:val="00AE1913"/>
    <w:rsid w:val="00AE26A5"/>
    <w:rsid w:val="00AE285B"/>
    <w:rsid w:val="00AE423C"/>
    <w:rsid w:val="00AE457E"/>
    <w:rsid w:val="00AE4CB1"/>
    <w:rsid w:val="00AE7664"/>
    <w:rsid w:val="00AF121D"/>
    <w:rsid w:val="00AF1754"/>
    <w:rsid w:val="00AF1C0F"/>
    <w:rsid w:val="00AF1C84"/>
    <w:rsid w:val="00AF29DA"/>
    <w:rsid w:val="00AF2B0F"/>
    <w:rsid w:val="00AF50A4"/>
    <w:rsid w:val="00AF660D"/>
    <w:rsid w:val="00B002F0"/>
    <w:rsid w:val="00B02C68"/>
    <w:rsid w:val="00B03AA8"/>
    <w:rsid w:val="00B04539"/>
    <w:rsid w:val="00B04BC6"/>
    <w:rsid w:val="00B056D2"/>
    <w:rsid w:val="00B067AA"/>
    <w:rsid w:val="00B06B41"/>
    <w:rsid w:val="00B075F8"/>
    <w:rsid w:val="00B10570"/>
    <w:rsid w:val="00B10765"/>
    <w:rsid w:val="00B10807"/>
    <w:rsid w:val="00B108A9"/>
    <w:rsid w:val="00B10CD2"/>
    <w:rsid w:val="00B10FCA"/>
    <w:rsid w:val="00B124E8"/>
    <w:rsid w:val="00B1392C"/>
    <w:rsid w:val="00B1442D"/>
    <w:rsid w:val="00B17077"/>
    <w:rsid w:val="00B20661"/>
    <w:rsid w:val="00B2097A"/>
    <w:rsid w:val="00B21603"/>
    <w:rsid w:val="00B217FF"/>
    <w:rsid w:val="00B21F5B"/>
    <w:rsid w:val="00B22FF4"/>
    <w:rsid w:val="00B24977"/>
    <w:rsid w:val="00B24CCF"/>
    <w:rsid w:val="00B251F9"/>
    <w:rsid w:val="00B26229"/>
    <w:rsid w:val="00B27772"/>
    <w:rsid w:val="00B307B5"/>
    <w:rsid w:val="00B30A63"/>
    <w:rsid w:val="00B30B2D"/>
    <w:rsid w:val="00B30BDF"/>
    <w:rsid w:val="00B31161"/>
    <w:rsid w:val="00B3152B"/>
    <w:rsid w:val="00B31706"/>
    <w:rsid w:val="00B31916"/>
    <w:rsid w:val="00B31E51"/>
    <w:rsid w:val="00B32472"/>
    <w:rsid w:val="00B33BC6"/>
    <w:rsid w:val="00B33C06"/>
    <w:rsid w:val="00B342C8"/>
    <w:rsid w:val="00B3546B"/>
    <w:rsid w:val="00B359BF"/>
    <w:rsid w:val="00B364B6"/>
    <w:rsid w:val="00B40C84"/>
    <w:rsid w:val="00B42641"/>
    <w:rsid w:val="00B432AB"/>
    <w:rsid w:val="00B4330A"/>
    <w:rsid w:val="00B439F1"/>
    <w:rsid w:val="00B44EFA"/>
    <w:rsid w:val="00B45DC0"/>
    <w:rsid w:val="00B460DD"/>
    <w:rsid w:val="00B4739D"/>
    <w:rsid w:val="00B50C32"/>
    <w:rsid w:val="00B523B2"/>
    <w:rsid w:val="00B53B25"/>
    <w:rsid w:val="00B54043"/>
    <w:rsid w:val="00B54BC2"/>
    <w:rsid w:val="00B55317"/>
    <w:rsid w:val="00B557A6"/>
    <w:rsid w:val="00B55921"/>
    <w:rsid w:val="00B579C0"/>
    <w:rsid w:val="00B6018E"/>
    <w:rsid w:val="00B612BC"/>
    <w:rsid w:val="00B617D1"/>
    <w:rsid w:val="00B6187F"/>
    <w:rsid w:val="00B62369"/>
    <w:rsid w:val="00B63DC8"/>
    <w:rsid w:val="00B65D2D"/>
    <w:rsid w:val="00B678F1"/>
    <w:rsid w:val="00B67F75"/>
    <w:rsid w:val="00B7008A"/>
    <w:rsid w:val="00B726E2"/>
    <w:rsid w:val="00B726F4"/>
    <w:rsid w:val="00B738B7"/>
    <w:rsid w:val="00B749D8"/>
    <w:rsid w:val="00B74F1D"/>
    <w:rsid w:val="00B767EF"/>
    <w:rsid w:val="00B77D43"/>
    <w:rsid w:val="00B812E6"/>
    <w:rsid w:val="00B8337F"/>
    <w:rsid w:val="00B83D91"/>
    <w:rsid w:val="00B83F90"/>
    <w:rsid w:val="00B87475"/>
    <w:rsid w:val="00B90695"/>
    <w:rsid w:val="00B90A1A"/>
    <w:rsid w:val="00B90FDD"/>
    <w:rsid w:val="00B91185"/>
    <w:rsid w:val="00B91740"/>
    <w:rsid w:val="00B9252D"/>
    <w:rsid w:val="00B9380C"/>
    <w:rsid w:val="00B93C44"/>
    <w:rsid w:val="00B946FD"/>
    <w:rsid w:val="00B957C4"/>
    <w:rsid w:val="00B95AC4"/>
    <w:rsid w:val="00B960F1"/>
    <w:rsid w:val="00B961E6"/>
    <w:rsid w:val="00B97F39"/>
    <w:rsid w:val="00BA1F34"/>
    <w:rsid w:val="00BA2C11"/>
    <w:rsid w:val="00BA2D3A"/>
    <w:rsid w:val="00BA324F"/>
    <w:rsid w:val="00BA34C5"/>
    <w:rsid w:val="00BA394B"/>
    <w:rsid w:val="00BA3C2D"/>
    <w:rsid w:val="00BA4507"/>
    <w:rsid w:val="00BA4701"/>
    <w:rsid w:val="00BA4A20"/>
    <w:rsid w:val="00BA7261"/>
    <w:rsid w:val="00BB014C"/>
    <w:rsid w:val="00BB0257"/>
    <w:rsid w:val="00BB0788"/>
    <w:rsid w:val="00BB146C"/>
    <w:rsid w:val="00BB3B46"/>
    <w:rsid w:val="00BB3DA0"/>
    <w:rsid w:val="00BB3EF8"/>
    <w:rsid w:val="00BB5647"/>
    <w:rsid w:val="00BB5CEF"/>
    <w:rsid w:val="00BB6BFB"/>
    <w:rsid w:val="00BB6D61"/>
    <w:rsid w:val="00BB7C27"/>
    <w:rsid w:val="00BC0F10"/>
    <w:rsid w:val="00BC17B1"/>
    <w:rsid w:val="00BC1D67"/>
    <w:rsid w:val="00BC2282"/>
    <w:rsid w:val="00BC2E85"/>
    <w:rsid w:val="00BC5A71"/>
    <w:rsid w:val="00BD05C3"/>
    <w:rsid w:val="00BD1B88"/>
    <w:rsid w:val="00BD2B14"/>
    <w:rsid w:val="00BD2F1A"/>
    <w:rsid w:val="00BD5532"/>
    <w:rsid w:val="00BD636A"/>
    <w:rsid w:val="00BD740A"/>
    <w:rsid w:val="00BD7829"/>
    <w:rsid w:val="00BE0F49"/>
    <w:rsid w:val="00BE166C"/>
    <w:rsid w:val="00BE1B02"/>
    <w:rsid w:val="00BE1C63"/>
    <w:rsid w:val="00BE1C77"/>
    <w:rsid w:val="00BE2B34"/>
    <w:rsid w:val="00BE3665"/>
    <w:rsid w:val="00BE418B"/>
    <w:rsid w:val="00BE4CA4"/>
    <w:rsid w:val="00BE4E16"/>
    <w:rsid w:val="00BE63D4"/>
    <w:rsid w:val="00BE6676"/>
    <w:rsid w:val="00BF02D5"/>
    <w:rsid w:val="00BF18AD"/>
    <w:rsid w:val="00BF1F6B"/>
    <w:rsid w:val="00BF3B60"/>
    <w:rsid w:val="00BF4766"/>
    <w:rsid w:val="00BF48C2"/>
    <w:rsid w:val="00BF54C2"/>
    <w:rsid w:val="00BF775B"/>
    <w:rsid w:val="00BF792B"/>
    <w:rsid w:val="00C00716"/>
    <w:rsid w:val="00C0189F"/>
    <w:rsid w:val="00C01E3F"/>
    <w:rsid w:val="00C03A8F"/>
    <w:rsid w:val="00C03C85"/>
    <w:rsid w:val="00C04B05"/>
    <w:rsid w:val="00C058BB"/>
    <w:rsid w:val="00C05934"/>
    <w:rsid w:val="00C075D8"/>
    <w:rsid w:val="00C07850"/>
    <w:rsid w:val="00C1004D"/>
    <w:rsid w:val="00C101D7"/>
    <w:rsid w:val="00C10208"/>
    <w:rsid w:val="00C12660"/>
    <w:rsid w:val="00C14D38"/>
    <w:rsid w:val="00C16861"/>
    <w:rsid w:val="00C1699F"/>
    <w:rsid w:val="00C1704B"/>
    <w:rsid w:val="00C2029B"/>
    <w:rsid w:val="00C20DD6"/>
    <w:rsid w:val="00C21A32"/>
    <w:rsid w:val="00C21DBE"/>
    <w:rsid w:val="00C2223D"/>
    <w:rsid w:val="00C22EF6"/>
    <w:rsid w:val="00C23034"/>
    <w:rsid w:val="00C24076"/>
    <w:rsid w:val="00C25EA5"/>
    <w:rsid w:val="00C26419"/>
    <w:rsid w:val="00C26726"/>
    <w:rsid w:val="00C2726C"/>
    <w:rsid w:val="00C27BBD"/>
    <w:rsid w:val="00C30A7F"/>
    <w:rsid w:val="00C31482"/>
    <w:rsid w:val="00C320B9"/>
    <w:rsid w:val="00C3211D"/>
    <w:rsid w:val="00C3257D"/>
    <w:rsid w:val="00C3526B"/>
    <w:rsid w:val="00C3527C"/>
    <w:rsid w:val="00C373B0"/>
    <w:rsid w:val="00C42EEE"/>
    <w:rsid w:val="00C437D2"/>
    <w:rsid w:val="00C45ABC"/>
    <w:rsid w:val="00C45B02"/>
    <w:rsid w:val="00C45FA1"/>
    <w:rsid w:val="00C460BC"/>
    <w:rsid w:val="00C46B8D"/>
    <w:rsid w:val="00C515B6"/>
    <w:rsid w:val="00C521F7"/>
    <w:rsid w:val="00C52764"/>
    <w:rsid w:val="00C535AD"/>
    <w:rsid w:val="00C53822"/>
    <w:rsid w:val="00C53AB7"/>
    <w:rsid w:val="00C5523A"/>
    <w:rsid w:val="00C5571D"/>
    <w:rsid w:val="00C557AD"/>
    <w:rsid w:val="00C566B0"/>
    <w:rsid w:val="00C56BBD"/>
    <w:rsid w:val="00C57572"/>
    <w:rsid w:val="00C6133E"/>
    <w:rsid w:val="00C6202F"/>
    <w:rsid w:val="00C62882"/>
    <w:rsid w:val="00C62B5B"/>
    <w:rsid w:val="00C634C5"/>
    <w:rsid w:val="00C63B48"/>
    <w:rsid w:val="00C63CEB"/>
    <w:rsid w:val="00C65A25"/>
    <w:rsid w:val="00C6602D"/>
    <w:rsid w:val="00C661F8"/>
    <w:rsid w:val="00C664BA"/>
    <w:rsid w:val="00C665AF"/>
    <w:rsid w:val="00C70B47"/>
    <w:rsid w:val="00C712D4"/>
    <w:rsid w:val="00C73FC4"/>
    <w:rsid w:val="00C74905"/>
    <w:rsid w:val="00C7585F"/>
    <w:rsid w:val="00C7591E"/>
    <w:rsid w:val="00C7614D"/>
    <w:rsid w:val="00C76C3A"/>
    <w:rsid w:val="00C80259"/>
    <w:rsid w:val="00C81B89"/>
    <w:rsid w:val="00C8209D"/>
    <w:rsid w:val="00C820B9"/>
    <w:rsid w:val="00C83299"/>
    <w:rsid w:val="00C83C63"/>
    <w:rsid w:val="00C83DFB"/>
    <w:rsid w:val="00C84096"/>
    <w:rsid w:val="00C84E8F"/>
    <w:rsid w:val="00C85384"/>
    <w:rsid w:val="00C8591E"/>
    <w:rsid w:val="00C8690F"/>
    <w:rsid w:val="00C86DD9"/>
    <w:rsid w:val="00C871ED"/>
    <w:rsid w:val="00C876F6"/>
    <w:rsid w:val="00C91B7E"/>
    <w:rsid w:val="00C946E2"/>
    <w:rsid w:val="00C9589E"/>
    <w:rsid w:val="00C96BF1"/>
    <w:rsid w:val="00C96F22"/>
    <w:rsid w:val="00CA048D"/>
    <w:rsid w:val="00CA0ACC"/>
    <w:rsid w:val="00CA14D6"/>
    <w:rsid w:val="00CA25B4"/>
    <w:rsid w:val="00CA35AA"/>
    <w:rsid w:val="00CA4DEE"/>
    <w:rsid w:val="00CA504C"/>
    <w:rsid w:val="00CA54DD"/>
    <w:rsid w:val="00CA5904"/>
    <w:rsid w:val="00CA7796"/>
    <w:rsid w:val="00CA7CF2"/>
    <w:rsid w:val="00CB158F"/>
    <w:rsid w:val="00CB1CA8"/>
    <w:rsid w:val="00CB29F1"/>
    <w:rsid w:val="00CB3B77"/>
    <w:rsid w:val="00CB4985"/>
    <w:rsid w:val="00CB5F7F"/>
    <w:rsid w:val="00CB64E4"/>
    <w:rsid w:val="00CB72A1"/>
    <w:rsid w:val="00CB7610"/>
    <w:rsid w:val="00CB7B56"/>
    <w:rsid w:val="00CB7C99"/>
    <w:rsid w:val="00CB7D3B"/>
    <w:rsid w:val="00CC077A"/>
    <w:rsid w:val="00CC1AE2"/>
    <w:rsid w:val="00CC2F2D"/>
    <w:rsid w:val="00CC3B44"/>
    <w:rsid w:val="00CC627C"/>
    <w:rsid w:val="00CC71E6"/>
    <w:rsid w:val="00CC7D20"/>
    <w:rsid w:val="00CD18A1"/>
    <w:rsid w:val="00CD27BE"/>
    <w:rsid w:val="00CD30C7"/>
    <w:rsid w:val="00CD3ED1"/>
    <w:rsid w:val="00CD4AB0"/>
    <w:rsid w:val="00CD4BFE"/>
    <w:rsid w:val="00CD6444"/>
    <w:rsid w:val="00CD6886"/>
    <w:rsid w:val="00CD6BEA"/>
    <w:rsid w:val="00CD7211"/>
    <w:rsid w:val="00CE020F"/>
    <w:rsid w:val="00CE0300"/>
    <w:rsid w:val="00CE1499"/>
    <w:rsid w:val="00CE1DCD"/>
    <w:rsid w:val="00CE3A18"/>
    <w:rsid w:val="00CE3DA3"/>
    <w:rsid w:val="00CE3F59"/>
    <w:rsid w:val="00CE444A"/>
    <w:rsid w:val="00CE63DA"/>
    <w:rsid w:val="00CE6844"/>
    <w:rsid w:val="00CE6ABC"/>
    <w:rsid w:val="00CE6E62"/>
    <w:rsid w:val="00CF0499"/>
    <w:rsid w:val="00CF2483"/>
    <w:rsid w:val="00CF2A88"/>
    <w:rsid w:val="00CF3367"/>
    <w:rsid w:val="00CF4F68"/>
    <w:rsid w:val="00CF5353"/>
    <w:rsid w:val="00CF53BC"/>
    <w:rsid w:val="00D00591"/>
    <w:rsid w:val="00D0085D"/>
    <w:rsid w:val="00D00E4D"/>
    <w:rsid w:val="00D01F46"/>
    <w:rsid w:val="00D022D6"/>
    <w:rsid w:val="00D027B5"/>
    <w:rsid w:val="00D03128"/>
    <w:rsid w:val="00D031F3"/>
    <w:rsid w:val="00D036A0"/>
    <w:rsid w:val="00D038CA"/>
    <w:rsid w:val="00D04717"/>
    <w:rsid w:val="00D0474A"/>
    <w:rsid w:val="00D07305"/>
    <w:rsid w:val="00D10455"/>
    <w:rsid w:val="00D1159B"/>
    <w:rsid w:val="00D11EFC"/>
    <w:rsid w:val="00D12191"/>
    <w:rsid w:val="00D1273B"/>
    <w:rsid w:val="00D12F90"/>
    <w:rsid w:val="00D135CA"/>
    <w:rsid w:val="00D13BCE"/>
    <w:rsid w:val="00D13F68"/>
    <w:rsid w:val="00D14E2E"/>
    <w:rsid w:val="00D15629"/>
    <w:rsid w:val="00D17B8A"/>
    <w:rsid w:val="00D217B4"/>
    <w:rsid w:val="00D21D21"/>
    <w:rsid w:val="00D224F3"/>
    <w:rsid w:val="00D22F35"/>
    <w:rsid w:val="00D2318F"/>
    <w:rsid w:val="00D2322E"/>
    <w:rsid w:val="00D247AC"/>
    <w:rsid w:val="00D24B15"/>
    <w:rsid w:val="00D24DBB"/>
    <w:rsid w:val="00D25958"/>
    <w:rsid w:val="00D25CCD"/>
    <w:rsid w:val="00D26707"/>
    <w:rsid w:val="00D26C1A"/>
    <w:rsid w:val="00D278AB"/>
    <w:rsid w:val="00D3176D"/>
    <w:rsid w:val="00D3445B"/>
    <w:rsid w:val="00D34B1D"/>
    <w:rsid w:val="00D34D8F"/>
    <w:rsid w:val="00D354BE"/>
    <w:rsid w:val="00D36244"/>
    <w:rsid w:val="00D365BB"/>
    <w:rsid w:val="00D37AE0"/>
    <w:rsid w:val="00D410A7"/>
    <w:rsid w:val="00D41375"/>
    <w:rsid w:val="00D4226C"/>
    <w:rsid w:val="00D42E7B"/>
    <w:rsid w:val="00D44494"/>
    <w:rsid w:val="00D4631D"/>
    <w:rsid w:val="00D46EDD"/>
    <w:rsid w:val="00D474EF"/>
    <w:rsid w:val="00D47730"/>
    <w:rsid w:val="00D51AFC"/>
    <w:rsid w:val="00D5290C"/>
    <w:rsid w:val="00D529C5"/>
    <w:rsid w:val="00D533A3"/>
    <w:rsid w:val="00D53832"/>
    <w:rsid w:val="00D54DF3"/>
    <w:rsid w:val="00D55110"/>
    <w:rsid w:val="00D57055"/>
    <w:rsid w:val="00D6044B"/>
    <w:rsid w:val="00D60EC1"/>
    <w:rsid w:val="00D61023"/>
    <w:rsid w:val="00D61581"/>
    <w:rsid w:val="00D61BB0"/>
    <w:rsid w:val="00D6212C"/>
    <w:rsid w:val="00D62657"/>
    <w:rsid w:val="00D62D09"/>
    <w:rsid w:val="00D639C2"/>
    <w:rsid w:val="00D64994"/>
    <w:rsid w:val="00D64F48"/>
    <w:rsid w:val="00D65A3E"/>
    <w:rsid w:val="00D6660B"/>
    <w:rsid w:val="00D66E25"/>
    <w:rsid w:val="00D66E74"/>
    <w:rsid w:val="00D71DD1"/>
    <w:rsid w:val="00D72A80"/>
    <w:rsid w:val="00D76669"/>
    <w:rsid w:val="00D77E96"/>
    <w:rsid w:val="00D80480"/>
    <w:rsid w:val="00D808AA"/>
    <w:rsid w:val="00D817BE"/>
    <w:rsid w:val="00D825ED"/>
    <w:rsid w:val="00D82C98"/>
    <w:rsid w:val="00D8392C"/>
    <w:rsid w:val="00D83958"/>
    <w:rsid w:val="00D84F70"/>
    <w:rsid w:val="00D853DB"/>
    <w:rsid w:val="00D859E4"/>
    <w:rsid w:val="00D85BBC"/>
    <w:rsid w:val="00D916F0"/>
    <w:rsid w:val="00D92DF5"/>
    <w:rsid w:val="00D92EFC"/>
    <w:rsid w:val="00D94099"/>
    <w:rsid w:val="00D940CC"/>
    <w:rsid w:val="00D9470D"/>
    <w:rsid w:val="00D9482F"/>
    <w:rsid w:val="00D94E24"/>
    <w:rsid w:val="00D953A5"/>
    <w:rsid w:val="00D95FD3"/>
    <w:rsid w:val="00D960A9"/>
    <w:rsid w:val="00D96332"/>
    <w:rsid w:val="00D967B9"/>
    <w:rsid w:val="00DA0174"/>
    <w:rsid w:val="00DA0BD5"/>
    <w:rsid w:val="00DA0EDC"/>
    <w:rsid w:val="00DA25A5"/>
    <w:rsid w:val="00DA338F"/>
    <w:rsid w:val="00DA46EE"/>
    <w:rsid w:val="00DA50E9"/>
    <w:rsid w:val="00DA5EC7"/>
    <w:rsid w:val="00DA6FA6"/>
    <w:rsid w:val="00DA7398"/>
    <w:rsid w:val="00DA7C99"/>
    <w:rsid w:val="00DB06B9"/>
    <w:rsid w:val="00DB0A1B"/>
    <w:rsid w:val="00DB1912"/>
    <w:rsid w:val="00DB1B4D"/>
    <w:rsid w:val="00DB20DE"/>
    <w:rsid w:val="00DB43C2"/>
    <w:rsid w:val="00DB5336"/>
    <w:rsid w:val="00DB5E8F"/>
    <w:rsid w:val="00DB6309"/>
    <w:rsid w:val="00DB69B6"/>
    <w:rsid w:val="00DB6BEF"/>
    <w:rsid w:val="00DB7AD7"/>
    <w:rsid w:val="00DB7DCC"/>
    <w:rsid w:val="00DC021C"/>
    <w:rsid w:val="00DC0F04"/>
    <w:rsid w:val="00DC0FF2"/>
    <w:rsid w:val="00DC1E89"/>
    <w:rsid w:val="00DC2925"/>
    <w:rsid w:val="00DC3CEC"/>
    <w:rsid w:val="00DC3F27"/>
    <w:rsid w:val="00DC458B"/>
    <w:rsid w:val="00DC4CA6"/>
    <w:rsid w:val="00DC66B7"/>
    <w:rsid w:val="00DC6904"/>
    <w:rsid w:val="00DD101C"/>
    <w:rsid w:val="00DD25DA"/>
    <w:rsid w:val="00DD3211"/>
    <w:rsid w:val="00DD37F5"/>
    <w:rsid w:val="00DD3E64"/>
    <w:rsid w:val="00DD3EEF"/>
    <w:rsid w:val="00DD7A6B"/>
    <w:rsid w:val="00DE2BEA"/>
    <w:rsid w:val="00DE2F70"/>
    <w:rsid w:val="00DE4BDD"/>
    <w:rsid w:val="00DE4D7D"/>
    <w:rsid w:val="00DE5CE4"/>
    <w:rsid w:val="00DE65E5"/>
    <w:rsid w:val="00DE71C1"/>
    <w:rsid w:val="00DE723E"/>
    <w:rsid w:val="00DF0AEC"/>
    <w:rsid w:val="00DF0DEA"/>
    <w:rsid w:val="00DF11BC"/>
    <w:rsid w:val="00DF1ABF"/>
    <w:rsid w:val="00DF348A"/>
    <w:rsid w:val="00DF5184"/>
    <w:rsid w:val="00DF5E49"/>
    <w:rsid w:val="00DF6787"/>
    <w:rsid w:val="00DF6BF5"/>
    <w:rsid w:val="00DF7128"/>
    <w:rsid w:val="00DF7D48"/>
    <w:rsid w:val="00E006D3"/>
    <w:rsid w:val="00E01595"/>
    <w:rsid w:val="00E0166C"/>
    <w:rsid w:val="00E02FD1"/>
    <w:rsid w:val="00E05E83"/>
    <w:rsid w:val="00E07364"/>
    <w:rsid w:val="00E0761D"/>
    <w:rsid w:val="00E07E37"/>
    <w:rsid w:val="00E1058D"/>
    <w:rsid w:val="00E107B2"/>
    <w:rsid w:val="00E10A09"/>
    <w:rsid w:val="00E10EFD"/>
    <w:rsid w:val="00E120AA"/>
    <w:rsid w:val="00E12531"/>
    <w:rsid w:val="00E1314F"/>
    <w:rsid w:val="00E13608"/>
    <w:rsid w:val="00E154B6"/>
    <w:rsid w:val="00E201C1"/>
    <w:rsid w:val="00E20AB6"/>
    <w:rsid w:val="00E21417"/>
    <w:rsid w:val="00E21499"/>
    <w:rsid w:val="00E217C2"/>
    <w:rsid w:val="00E21EA3"/>
    <w:rsid w:val="00E21EAD"/>
    <w:rsid w:val="00E22B11"/>
    <w:rsid w:val="00E22D32"/>
    <w:rsid w:val="00E25754"/>
    <w:rsid w:val="00E26A92"/>
    <w:rsid w:val="00E26EEE"/>
    <w:rsid w:val="00E27578"/>
    <w:rsid w:val="00E27C96"/>
    <w:rsid w:val="00E3263D"/>
    <w:rsid w:val="00E34295"/>
    <w:rsid w:val="00E34BC5"/>
    <w:rsid w:val="00E35190"/>
    <w:rsid w:val="00E35245"/>
    <w:rsid w:val="00E367D7"/>
    <w:rsid w:val="00E411A9"/>
    <w:rsid w:val="00E41DF1"/>
    <w:rsid w:val="00E4206A"/>
    <w:rsid w:val="00E43162"/>
    <w:rsid w:val="00E44C16"/>
    <w:rsid w:val="00E4517A"/>
    <w:rsid w:val="00E54760"/>
    <w:rsid w:val="00E54D67"/>
    <w:rsid w:val="00E5530D"/>
    <w:rsid w:val="00E559A9"/>
    <w:rsid w:val="00E5665D"/>
    <w:rsid w:val="00E56BB3"/>
    <w:rsid w:val="00E60AB4"/>
    <w:rsid w:val="00E60D15"/>
    <w:rsid w:val="00E60F5E"/>
    <w:rsid w:val="00E6183A"/>
    <w:rsid w:val="00E6212C"/>
    <w:rsid w:val="00E62863"/>
    <w:rsid w:val="00E63F3E"/>
    <w:rsid w:val="00E64007"/>
    <w:rsid w:val="00E64111"/>
    <w:rsid w:val="00E655C7"/>
    <w:rsid w:val="00E65DE7"/>
    <w:rsid w:val="00E65EBA"/>
    <w:rsid w:val="00E70163"/>
    <w:rsid w:val="00E70E49"/>
    <w:rsid w:val="00E73397"/>
    <w:rsid w:val="00E739CE"/>
    <w:rsid w:val="00E73A19"/>
    <w:rsid w:val="00E741C7"/>
    <w:rsid w:val="00E77FC8"/>
    <w:rsid w:val="00E813F9"/>
    <w:rsid w:val="00E82CC2"/>
    <w:rsid w:val="00E840A6"/>
    <w:rsid w:val="00E84998"/>
    <w:rsid w:val="00E850D1"/>
    <w:rsid w:val="00E85CB4"/>
    <w:rsid w:val="00E86D7C"/>
    <w:rsid w:val="00E872C9"/>
    <w:rsid w:val="00E8745E"/>
    <w:rsid w:val="00E87E0A"/>
    <w:rsid w:val="00E90359"/>
    <w:rsid w:val="00E90B85"/>
    <w:rsid w:val="00E90E37"/>
    <w:rsid w:val="00E92B37"/>
    <w:rsid w:val="00E9475C"/>
    <w:rsid w:val="00E9513A"/>
    <w:rsid w:val="00EA1B57"/>
    <w:rsid w:val="00EA1EA1"/>
    <w:rsid w:val="00EA233B"/>
    <w:rsid w:val="00EA2FF2"/>
    <w:rsid w:val="00EA30E4"/>
    <w:rsid w:val="00EA33E4"/>
    <w:rsid w:val="00EA344B"/>
    <w:rsid w:val="00EA4571"/>
    <w:rsid w:val="00EA4E8B"/>
    <w:rsid w:val="00EA5830"/>
    <w:rsid w:val="00EA6038"/>
    <w:rsid w:val="00EA6DEA"/>
    <w:rsid w:val="00EB091E"/>
    <w:rsid w:val="00EB102A"/>
    <w:rsid w:val="00EB19C6"/>
    <w:rsid w:val="00EB2536"/>
    <w:rsid w:val="00EB2DF2"/>
    <w:rsid w:val="00EB2F58"/>
    <w:rsid w:val="00EB328B"/>
    <w:rsid w:val="00EB441A"/>
    <w:rsid w:val="00EB48C2"/>
    <w:rsid w:val="00EB4CAE"/>
    <w:rsid w:val="00EB4F55"/>
    <w:rsid w:val="00EB54D1"/>
    <w:rsid w:val="00EB56AA"/>
    <w:rsid w:val="00EB7CD1"/>
    <w:rsid w:val="00EC00F3"/>
    <w:rsid w:val="00EC0231"/>
    <w:rsid w:val="00EC1AE5"/>
    <w:rsid w:val="00EC1ED1"/>
    <w:rsid w:val="00EC4C32"/>
    <w:rsid w:val="00ED0BAB"/>
    <w:rsid w:val="00ED125E"/>
    <w:rsid w:val="00ED1620"/>
    <w:rsid w:val="00ED1AA1"/>
    <w:rsid w:val="00ED377F"/>
    <w:rsid w:val="00ED3A98"/>
    <w:rsid w:val="00ED4AF0"/>
    <w:rsid w:val="00EE0D5E"/>
    <w:rsid w:val="00EE34FE"/>
    <w:rsid w:val="00EE54B6"/>
    <w:rsid w:val="00EE5D2B"/>
    <w:rsid w:val="00EE6000"/>
    <w:rsid w:val="00EE7087"/>
    <w:rsid w:val="00EE7CC4"/>
    <w:rsid w:val="00EF0D8C"/>
    <w:rsid w:val="00EF1B52"/>
    <w:rsid w:val="00EF20DF"/>
    <w:rsid w:val="00EF3192"/>
    <w:rsid w:val="00EF41A2"/>
    <w:rsid w:val="00EF4CA2"/>
    <w:rsid w:val="00EF4EE7"/>
    <w:rsid w:val="00EF54CF"/>
    <w:rsid w:val="00EF65BB"/>
    <w:rsid w:val="00EF6F13"/>
    <w:rsid w:val="00EF7218"/>
    <w:rsid w:val="00F00CC4"/>
    <w:rsid w:val="00F012EE"/>
    <w:rsid w:val="00F0203E"/>
    <w:rsid w:val="00F029CF"/>
    <w:rsid w:val="00F04749"/>
    <w:rsid w:val="00F04905"/>
    <w:rsid w:val="00F05189"/>
    <w:rsid w:val="00F05AE5"/>
    <w:rsid w:val="00F05CEE"/>
    <w:rsid w:val="00F063C7"/>
    <w:rsid w:val="00F066DA"/>
    <w:rsid w:val="00F06B1E"/>
    <w:rsid w:val="00F110CE"/>
    <w:rsid w:val="00F11B8C"/>
    <w:rsid w:val="00F122C7"/>
    <w:rsid w:val="00F126DC"/>
    <w:rsid w:val="00F13B3F"/>
    <w:rsid w:val="00F1446D"/>
    <w:rsid w:val="00F14DDA"/>
    <w:rsid w:val="00F15706"/>
    <w:rsid w:val="00F1584A"/>
    <w:rsid w:val="00F16BD0"/>
    <w:rsid w:val="00F204DA"/>
    <w:rsid w:val="00F2054E"/>
    <w:rsid w:val="00F220A8"/>
    <w:rsid w:val="00F22C7D"/>
    <w:rsid w:val="00F2312A"/>
    <w:rsid w:val="00F2343B"/>
    <w:rsid w:val="00F239EB"/>
    <w:rsid w:val="00F24322"/>
    <w:rsid w:val="00F24937"/>
    <w:rsid w:val="00F257FE"/>
    <w:rsid w:val="00F25CEB"/>
    <w:rsid w:val="00F279DF"/>
    <w:rsid w:val="00F3013C"/>
    <w:rsid w:val="00F309BB"/>
    <w:rsid w:val="00F30E8A"/>
    <w:rsid w:val="00F3218D"/>
    <w:rsid w:val="00F335AE"/>
    <w:rsid w:val="00F3406C"/>
    <w:rsid w:val="00F34F49"/>
    <w:rsid w:val="00F3597A"/>
    <w:rsid w:val="00F35B3C"/>
    <w:rsid w:val="00F377EC"/>
    <w:rsid w:val="00F40504"/>
    <w:rsid w:val="00F4093B"/>
    <w:rsid w:val="00F40968"/>
    <w:rsid w:val="00F41080"/>
    <w:rsid w:val="00F42115"/>
    <w:rsid w:val="00F42851"/>
    <w:rsid w:val="00F42CA2"/>
    <w:rsid w:val="00F43216"/>
    <w:rsid w:val="00F43705"/>
    <w:rsid w:val="00F444B8"/>
    <w:rsid w:val="00F44CBF"/>
    <w:rsid w:val="00F454B7"/>
    <w:rsid w:val="00F456A8"/>
    <w:rsid w:val="00F45F14"/>
    <w:rsid w:val="00F46A89"/>
    <w:rsid w:val="00F50457"/>
    <w:rsid w:val="00F50C66"/>
    <w:rsid w:val="00F51437"/>
    <w:rsid w:val="00F51D42"/>
    <w:rsid w:val="00F53D40"/>
    <w:rsid w:val="00F54995"/>
    <w:rsid w:val="00F6054A"/>
    <w:rsid w:val="00F60AD9"/>
    <w:rsid w:val="00F60FD4"/>
    <w:rsid w:val="00F62A39"/>
    <w:rsid w:val="00F63410"/>
    <w:rsid w:val="00F64FE9"/>
    <w:rsid w:val="00F65329"/>
    <w:rsid w:val="00F659BD"/>
    <w:rsid w:val="00F65DF2"/>
    <w:rsid w:val="00F668CB"/>
    <w:rsid w:val="00F66C03"/>
    <w:rsid w:val="00F67714"/>
    <w:rsid w:val="00F71FD8"/>
    <w:rsid w:val="00F7287D"/>
    <w:rsid w:val="00F74482"/>
    <w:rsid w:val="00F74CD9"/>
    <w:rsid w:val="00F758F6"/>
    <w:rsid w:val="00F76700"/>
    <w:rsid w:val="00F76BD3"/>
    <w:rsid w:val="00F80470"/>
    <w:rsid w:val="00F810BF"/>
    <w:rsid w:val="00F814F6"/>
    <w:rsid w:val="00F828C4"/>
    <w:rsid w:val="00F86DBB"/>
    <w:rsid w:val="00F90F24"/>
    <w:rsid w:val="00F91660"/>
    <w:rsid w:val="00F92757"/>
    <w:rsid w:val="00F928F1"/>
    <w:rsid w:val="00F93CA6"/>
    <w:rsid w:val="00F94CA1"/>
    <w:rsid w:val="00F962D2"/>
    <w:rsid w:val="00F97680"/>
    <w:rsid w:val="00FA243E"/>
    <w:rsid w:val="00FA2D75"/>
    <w:rsid w:val="00FA3C84"/>
    <w:rsid w:val="00FA530A"/>
    <w:rsid w:val="00FA5C4D"/>
    <w:rsid w:val="00FA605C"/>
    <w:rsid w:val="00FA6D42"/>
    <w:rsid w:val="00FA6E59"/>
    <w:rsid w:val="00FB2F42"/>
    <w:rsid w:val="00FB326C"/>
    <w:rsid w:val="00FB44E3"/>
    <w:rsid w:val="00FB684F"/>
    <w:rsid w:val="00FB78F5"/>
    <w:rsid w:val="00FC0396"/>
    <w:rsid w:val="00FC0459"/>
    <w:rsid w:val="00FC16EE"/>
    <w:rsid w:val="00FC20CA"/>
    <w:rsid w:val="00FC3716"/>
    <w:rsid w:val="00FC373F"/>
    <w:rsid w:val="00FC39DF"/>
    <w:rsid w:val="00FC3BE4"/>
    <w:rsid w:val="00FC5106"/>
    <w:rsid w:val="00FC513C"/>
    <w:rsid w:val="00FC536D"/>
    <w:rsid w:val="00FC5480"/>
    <w:rsid w:val="00FC5E2C"/>
    <w:rsid w:val="00FC650C"/>
    <w:rsid w:val="00FC67D7"/>
    <w:rsid w:val="00FC75BD"/>
    <w:rsid w:val="00FC75CE"/>
    <w:rsid w:val="00FC7B05"/>
    <w:rsid w:val="00FD04DB"/>
    <w:rsid w:val="00FD0DEA"/>
    <w:rsid w:val="00FD1503"/>
    <w:rsid w:val="00FD1751"/>
    <w:rsid w:val="00FD2567"/>
    <w:rsid w:val="00FD310B"/>
    <w:rsid w:val="00FD3332"/>
    <w:rsid w:val="00FD3643"/>
    <w:rsid w:val="00FD3C2F"/>
    <w:rsid w:val="00FD53E7"/>
    <w:rsid w:val="00FD609E"/>
    <w:rsid w:val="00FD657E"/>
    <w:rsid w:val="00FD70A6"/>
    <w:rsid w:val="00FE0AD3"/>
    <w:rsid w:val="00FE10ED"/>
    <w:rsid w:val="00FE1709"/>
    <w:rsid w:val="00FE34EA"/>
    <w:rsid w:val="00FE3696"/>
    <w:rsid w:val="00FE4694"/>
    <w:rsid w:val="00FE4E3C"/>
    <w:rsid w:val="00FE5FB2"/>
    <w:rsid w:val="00FE6F0C"/>
    <w:rsid w:val="00FF3B77"/>
    <w:rsid w:val="00FF5ADC"/>
    <w:rsid w:val="01476DA7"/>
    <w:rsid w:val="016A6360"/>
    <w:rsid w:val="039B4170"/>
    <w:rsid w:val="03C513B4"/>
    <w:rsid w:val="043A667A"/>
    <w:rsid w:val="04C41063"/>
    <w:rsid w:val="04DF0B8D"/>
    <w:rsid w:val="05065E0B"/>
    <w:rsid w:val="05222BFA"/>
    <w:rsid w:val="0653767C"/>
    <w:rsid w:val="0918033B"/>
    <w:rsid w:val="09AA6FC2"/>
    <w:rsid w:val="09C25D56"/>
    <w:rsid w:val="0A41112A"/>
    <w:rsid w:val="0B6F383B"/>
    <w:rsid w:val="0D890548"/>
    <w:rsid w:val="0E725EF3"/>
    <w:rsid w:val="0F183D21"/>
    <w:rsid w:val="0F8D2ACC"/>
    <w:rsid w:val="10192C66"/>
    <w:rsid w:val="10223366"/>
    <w:rsid w:val="10244FB5"/>
    <w:rsid w:val="12750885"/>
    <w:rsid w:val="129E26C7"/>
    <w:rsid w:val="13FB37ED"/>
    <w:rsid w:val="15091D72"/>
    <w:rsid w:val="150B6F1A"/>
    <w:rsid w:val="155F5739"/>
    <w:rsid w:val="15C5452F"/>
    <w:rsid w:val="167B1B11"/>
    <w:rsid w:val="16D421A1"/>
    <w:rsid w:val="16E27472"/>
    <w:rsid w:val="16F41503"/>
    <w:rsid w:val="17312DC0"/>
    <w:rsid w:val="17F105B1"/>
    <w:rsid w:val="18655C0D"/>
    <w:rsid w:val="18FF1B36"/>
    <w:rsid w:val="1A350E8F"/>
    <w:rsid w:val="1ABF14E5"/>
    <w:rsid w:val="1AD531D6"/>
    <w:rsid w:val="1B8D5C48"/>
    <w:rsid w:val="1C502501"/>
    <w:rsid w:val="1D0912FC"/>
    <w:rsid w:val="1D88369B"/>
    <w:rsid w:val="1E3F0A97"/>
    <w:rsid w:val="1F9E1767"/>
    <w:rsid w:val="20206726"/>
    <w:rsid w:val="218F686A"/>
    <w:rsid w:val="219F348F"/>
    <w:rsid w:val="225718F4"/>
    <w:rsid w:val="243528A0"/>
    <w:rsid w:val="24526FE6"/>
    <w:rsid w:val="24B978E1"/>
    <w:rsid w:val="25387FB2"/>
    <w:rsid w:val="25DD716C"/>
    <w:rsid w:val="26DC6180"/>
    <w:rsid w:val="27780257"/>
    <w:rsid w:val="28396051"/>
    <w:rsid w:val="29D64CF7"/>
    <w:rsid w:val="2A4B050C"/>
    <w:rsid w:val="2A4D5218"/>
    <w:rsid w:val="2CC3290D"/>
    <w:rsid w:val="2D635057"/>
    <w:rsid w:val="2D702CD8"/>
    <w:rsid w:val="2D9D6D07"/>
    <w:rsid w:val="2DE40B17"/>
    <w:rsid w:val="2E025B80"/>
    <w:rsid w:val="2E6C3A23"/>
    <w:rsid w:val="2EFC74D4"/>
    <w:rsid w:val="2F034AD9"/>
    <w:rsid w:val="2F0C17AD"/>
    <w:rsid w:val="2F8C309E"/>
    <w:rsid w:val="31831FF1"/>
    <w:rsid w:val="31B53E04"/>
    <w:rsid w:val="335A0283"/>
    <w:rsid w:val="33D01914"/>
    <w:rsid w:val="34331995"/>
    <w:rsid w:val="35C94265"/>
    <w:rsid w:val="35FE5FAE"/>
    <w:rsid w:val="36C64AF7"/>
    <w:rsid w:val="37E54788"/>
    <w:rsid w:val="38065A32"/>
    <w:rsid w:val="38E773FC"/>
    <w:rsid w:val="39CC4C73"/>
    <w:rsid w:val="39FB01E5"/>
    <w:rsid w:val="3AC662CD"/>
    <w:rsid w:val="3BA1109A"/>
    <w:rsid w:val="3D330E78"/>
    <w:rsid w:val="3D4D1F9B"/>
    <w:rsid w:val="3DB6209E"/>
    <w:rsid w:val="3E52324D"/>
    <w:rsid w:val="3FF7B25D"/>
    <w:rsid w:val="40150045"/>
    <w:rsid w:val="420310EB"/>
    <w:rsid w:val="422B1986"/>
    <w:rsid w:val="42342F75"/>
    <w:rsid w:val="433634A9"/>
    <w:rsid w:val="433A1829"/>
    <w:rsid w:val="44F854AA"/>
    <w:rsid w:val="46F15AB9"/>
    <w:rsid w:val="47376CC5"/>
    <w:rsid w:val="47F43596"/>
    <w:rsid w:val="49207BFB"/>
    <w:rsid w:val="49566025"/>
    <w:rsid w:val="49A33915"/>
    <w:rsid w:val="49A35E1B"/>
    <w:rsid w:val="4ACE45AC"/>
    <w:rsid w:val="4AE3671A"/>
    <w:rsid w:val="4AE90AF8"/>
    <w:rsid w:val="4BDB33E5"/>
    <w:rsid w:val="4C350723"/>
    <w:rsid w:val="4D5669C8"/>
    <w:rsid w:val="4D573269"/>
    <w:rsid w:val="4DF56509"/>
    <w:rsid w:val="4FFBDF66"/>
    <w:rsid w:val="50756742"/>
    <w:rsid w:val="52530087"/>
    <w:rsid w:val="52B4054A"/>
    <w:rsid w:val="531C2F78"/>
    <w:rsid w:val="53F46AC1"/>
    <w:rsid w:val="54E56D0B"/>
    <w:rsid w:val="55E1066B"/>
    <w:rsid w:val="560926EF"/>
    <w:rsid w:val="568538A7"/>
    <w:rsid w:val="57C8732F"/>
    <w:rsid w:val="58896F0E"/>
    <w:rsid w:val="594F6EDE"/>
    <w:rsid w:val="59B44673"/>
    <w:rsid w:val="59B92757"/>
    <w:rsid w:val="5AE71097"/>
    <w:rsid w:val="5C677078"/>
    <w:rsid w:val="5E40480C"/>
    <w:rsid w:val="5F17465D"/>
    <w:rsid w:val="5F2C3E54"/>
    <w:rsid w:val="607246D5"/>
    <w:rsid w:val="609437C1"/>
    <w:rsid w:val="61942DE0"/>
    <w:rsid w:val="61AA2A5B"/>
    <w:rsid w:val="61E8359A"/>
    <w:rsid w:val="62C40A73"/>
    <w:rsid w:val="63EA681C"/>
    <w:rsid w:val="6635176D"/>
    <w:rsid w:val="66FF08BA"/>
    <w:rsid w:val="67E50E81"/>
    <w:rsid w:val="67EE47AC"/>
    <w:rsid w:val="69500E47"/>
    <w:rsid w:val="69C570CA"/>
    <w:rsid w:val="69CB00AC"/>
    <w:rsid w:val="69D430F1"/>
    <w:rsid w:val="6A3C4648"/>
    <w:rsid w:val="6AF51D11"/>
    <w:rsid w:val="6B93BD09"/>
    <w:rsid w:val="6BA93341"/>
    <w:rsid w:val="6C70079D"/>
    <w:rsid w:val="6D6A0ECA"/>
    <w:rsid w:val="6DD86011"/>
    <w:rsid w:val="6DEB43B8"/>
    <w:rsid w:val="6EB55B01"/>
    <w:rsid w:val="6F9945EE"/>
    <w:rsid w:val="71844105"/>
    <w:rsid w:val="71F8A46A"/>
    <w:rsid w:val="723E4509"/>
    <w:rsid w:val="73AE573F"/>
    <w:rsid w:val="73DF21EA"/>
    <w:rsid w:val="7442236B"/>
    <w:rsid w:val="74CE66FB"/>
    <w:rsid w:val="75A12739"/>
    <w:rsid w:val="762420CA"/>
    <w:rsid w:val="76510AE6"/>
    <w:rsid w:val="76D46658"/>
    <w:rsid w:val="775A7CAB"/>
    <w:rsid w:val="777F5ABE"/>
    <w:rsid w:val="77B8475E"/>
    <w:rsid w:val="7877B2E8"/>
    <w:rsid w:val="78C12B9D"/>
    <w:rsid w:val="795414C8"/>
    <w:rsid w:val="796E4346"/>
    <w:rsid w:val="79951602"/>
    <w:rsid w:val="79A40788"/>
    <w:rsid w:val="7A9D6C03"/>
    <w:rsid w:val="7ADF310F"/>
    <w:rsid w:val="7B02705B"/>
    <w:rsid w:val="7B1656DF"/>
    <w:rsid w:val="7B7C75E4"/>
    <w:rsid w:val="7BBA4975"/>
    <w:rsid w:val="7BDDAC0B"/>
    <w:rsid w:val="7BE53DF8"/>
    <w:rsid w:val="7BFA950E"/>
    <w:rsid w:val="7CA447E4"/>
    <w:rsid w:val="7CFD95C5"/>
    <w:rsid w:val="7DDBCFDD"/>
    <w:rsid w:val="7DF03A58"/>
    <w:rsid w:val="7EA66B4F"/>
    <w:rsid w:val="7F3A20BE"/>
    <w:rsid w:val="7FEE6DFC"/>
    <w:rsid w:val="957FFE39"/>
    <w:rsid w:val="AFFFFD4D"/>
    <w:rsid w:val="CD3EF529"/>
    <w:rsid w:val="E0F751E8"/>
    <w:rsid w:val="E97AB176"/>
    <w:rsid w:val="F36C83CF"/>
    <w:rsid w:val="FA7A6194"/>
    <w:rsid w:val="FBFFA857"/>
    <w:rsid w:val="FCD13642"/>
    <w:rsid w:val="FEF11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outlineLvl w:val="0"/>
    </w:pPr>
    <w:rPr>
      <w:rFonts w:ascii="楷体_GB2312" w:eastAsia="楷体_GB2312"/>
      <w:sz w:val="28"/>
      <w:szCs w:val="20"/>
    </w:rPr>
  </w:style>
  <w:style w:type="paragraph" w:styleId="3">
    <w:name w:val="heading 2"/>
    <w:basedOn w:val="1"/>
    <w:next w:val="1"/>
    <w:link w:val="67"/>
    <w:qFormat/>
    <w:uiPriority w:val="0"/>
    <w:pPr>
      <w:keepNext/>
      <w:keepLines/>
      <w:spacing w:before="260" w:after="260" w:line="416" w:lineRule="auto"/>
      <w:jc w:val="center"/>
      <w:outlineLvl w:val="1"/>
    </w:pPr>
    <w:rPr>
      <w:rFonts w:ascii="Arial" w:hAnsi="Arial" w:eastAsia="幼圆"/>
      <w:b/>
      <w:sz w:val="44"/>
      <w:szCs w:val="20"/>
    </w:rPr>
  </w:style>
  <w:style w:type="paragraph" w:styleId="4">
    <w:name w:val="heading 3"/>
    <w:basedOn w:val="1"/>
    <w:next w:val="1"/>
    <w:link w:val="68"/>
    <w:qFormat/>
    <w:uiPriority w:val="0"/>
    <w:pPr>
      <w:keepNext/>
      <w:keepLines/>
      <w:spacing w:before="260" w:after="260" w:line="416" w:lineRule="auto"/>
      <w:outlineLvl w:val="2"/>
    </w:pPr>
    <w:rPr>
      <w:b/>
      <w:sz w:val="32"/>
      <w:szCs w:val="20"/>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outlineLvl w:val="4"/>
    </w:pPr>
    <w:rPr>
      <w:rFonts w:ascii="宋体" w:hAnsi="宋体"/>
      <w:b/>
      <w:bCs/>
    </w:rPr>
  </w:style>
  <w:style w:type="paragraph" w:styleId="7">
    <w:name w:val="heading 6"/>
    <w:basedOn w:val="1"/>
    <w:next w:val="1"/>
    <w:link w:val="7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7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73"/>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74"/>
    <w:qFormat/>
    <w:uiPriority w:val="0"/>
    <w:pPr>
      <w:keepNext/>
      <w:keepLines/>
      <w:spacing w:before="240" w:after="64" w:line="317" w:lineRule="auto"/>
      <w:outlineLvl w:val="8"/>
    </w:pPr>
    <w:rPr>
      <w:rFonts w:ascii="Cambria" w:hAnsi="Cambria"/>
      <w:szCs w:val="21"/>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75"/>
    <w:qFormat/>
    <w:uiPriority w:val="0"/>
    <w:pPr>
      <w:ind w:firstLine="420"/>
    </w:pPr>
    <w:rPr>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6"/>
    <w:qFormat/>
    <w:uiPriority w:val="0"/>
    <w:pPr>
      <w:shd w:val="clear" w:color="auto" w:fill="000080"/>
    </w:p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77"/>
    <w:unhideWhenUsed/>
    <w:qFormat/>
    <w:uiPriority w:val="0"/>
    <w:pPr>
      <w:jc w:val="left"/>
    </w:pPr>
  </w:style>
  <w:style w:type="paragraph" w:styleId="17">
    <w:name w:val="Body Text 3"/>
    <w:basedOn w:val="1"/>
    <w:link w:val="78"/>
    <w:qFormat/>
    <w:uiPriority w:val="0"/>
    <w:rPr>
      <w:rFonts w:ascii="仿宋_GB2312" w:hAnsi="Arial" w:eastAsia="仿宋_GB2312"/>
      <w:sz w:val="32"/>
      <w:szCs w:val="20"/>
    </w:rPr>
  </w:style>
  <w:style w:type="paragraph" w:styleId="18">
    <w:name w:val="Body Text"/>
    <w:basedOn w:val="1"/>
    <w:link w:val="79"/>
    <w:qFormat/>
    <w:uiPriority w:val="0"/>
    <w:rPr>
      <w:rFonts w:ascii="楷体_GB2312" w:hAnsi="Arial" w:eastAsia="楷体_GB2312"/>
      <w:sz w:val="28"/>
      <w:szCs w:val="20"/>
    </w:rPr>
  </w:style>
  <w:style w:type="paragraph" w:styleId="19">
    <w:name w:val="Body Text Indent"/>
    <w:basedOn w:val="1"/>
    <w:link w:val="80"/>
    <w:qFormat/>
    <w:uiPriority w:val="0"/>
    <w:pPr>
      <w:ind w:firstLine="645"/>
    </w:pPr>
    <w:rPr>
      <w:rFonts w:ascii="楷体_GB2312" w:eastAsia="楷体_GB2312"/>
      <w:sz w:val="32"/>
      <w:szCs w:val="20"/>
    </w:rPr>
  </w:style>
  <w:style w:type="paragraph" w:styleId="20">
    <w:name w:val="Block Text"/>
    <w:basedOn w:val="1"/>
    <w:qFormat/>
    <w:uiPriority w:val="0"/>
    <w:pPr>
      <w:adjustRightInd w:val="0"/>
      <w:ind w:left="420" w:right="33"/>
      <w:jc w:val="left"/>
      <w:textAlignment w:val="baseline"/>
    </w:pPr>
    <w:rPr>
      <w:rFonts w:ascii="宋体"/>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1680" w:leftChars="800"/>
    </w:pPr>
  </w:style>
  <w:style w:type="paragraph" w:styleId="23">
    <w:name w:val="toc 3"/>
    <w:basedOn w:val="1"/>
    <w:next w:val="1"/>
    <w:qFormat/>
    <w:uiPriority w:val="39"/>
    <w:pPr>
      <w:tabs>
        <w:tab w:val="right" w:leader="dot" w:pos="9440"/>
      </w:tabs>
      <w:spacing w:line="240" w:lineRule="exact"/>
      <w:ind w:left="539"/>
      <w:jc w:val="left"/>
    </w:pPr>
    <w:rPr>
      <w:rFonts w:ascii="黑体" w:hAnsi="宋体" w:eastAsia="黑体"/>
      <w:bCs/>
      <w:iCs/>
      <w:sz w:val="18"/>
      <w:szCs w:val="32"/>
    </w:rPr>
  </w:style>
  <w:style w:type="paragraph" w:styleId="24">
    <w:name w:val="Plain Text"/>
    <w:basedOn w:val="1"/>
    <w:link w:val="81"/>
    <w:qFormat/>
    <w:uiPriority w:val="0"/>
    <w:rPr>
      <w:rFonts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82"/>
    <w:qFormat/>
    <w:uiPriority w:val="0"/>
    <w:rPr>
      <w:sz w:val="24"/>
      <w:szCs w:val="20"/>
    </w:rPr>
  </w:style>
  <w:style w:type="paragraph" w:styleId="27">
    <w:name w:val="Body Text Indent 2"/>
    <w:basedOn w:val="1"/>
    <w:link w:val="83"/>
    <w:qFormat/>
    <w:uiPriority w:val="0"/>
    <w:pPr>
      <w:ind w:firstLine="560" w:firstLineChars="200"/>
    </w:pPr>
    <w:rPr>
      <w:rFonts w:ascii="宋体" w:hAnsi="宋体"/>
      <w:sz w:val="28"/>
    </w:rPr>
  </w:style>
  <w:style w:type="paragraph" w:styleId="28">
    <w:name w:val="endnote text"/>
    <w:basedOn w:val="1"/>
    <w:link w:val="93"/>
    <w:qFormat/>
    <w:uiPriority w:val="0"/>
    <w:pPr>
      <w:widowControl/>
      <w:snapToGrid w:val="0"/>
      <w:jc w:val="left"/>
    </w:pPr>
    <w:rPr>
      <w:rFonts w:ascii="宋体"/>
      <w:kern w:val="0"/>
      <w:sz w:val="34"/>
      <w:szCs w:val="20"/>
    </w:rPr>
  </w:style>
  <w:style w:type="paragraph" w:styleId="29">
    <w:name w:val="Balloon Text"/>
    <w:basedOn w:val="1"/>
    <w:link w:val="85"/>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20"/>
    </w:rPr>
  </w:style>
  <w:style w:type="paragraph" w:styleId="31">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styleId="33">
    <w:name w:val="toc 4"/>
    <w:basedOn w:val="1"/>
    <w:next w:val="1"/>
    <w:qFormat/>
    <w:uiPriority w:val="0"/>
    <w:pPr>
      <w:ind w:left="1260" w:leftChars="600"/>
    </w:pPr>
  </w:style>
  <w:style w:type="paragraph" w:styleId="34">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ind w:left="200" w:hanging="200" w:hangingChars="200"/>
    </w:pPr>
  </w:style>
  <w:style w:type="paragraph" w:styleId="36">
    <w:name w:val="footnote text"/>
    <w:basedOn w:val="1"/>
    <w:link w:val="89"/>
    <w:qFormat/>
    <w:uiPriority w:val="0"/>
    <w:pPr>
      <w:adjustRightInd w:val="0"/>
      <w:spacing w:line="312" w:lineRule="atLeast"/>
      <w:jc w:val="left"/>
      <w:textAlignment w:val="baseline"/>
    </w:pPr>
    <w:rPr>
      <w:kern w:val="0"/>
      <w:sz w:val="18"/>
      <w:szCs w:val="20"/>
    </w:rPr>
  </w:style>
  <w:style w:type="paragraph" w:styleId="37">
    <w:name w:val="toc 6"/>
    <w:basedOn w:val="1"/>
    <w:next w:val="1"/>
    <w:qFormat/>
    <w:uiPriority w:val="0"/>
    <w:pPr>
      <w:ind w:left="2100" w:leftChars="1000"/>
    </w:pPr>
  </w:style>
  <w:style w:type="paragraph" w:styleId="38">
    <w:name w:val="Body Text Indent 3"/>
    <w:basedOn w:val="1"/>
    <w:link w:val="90"/>
    <w:qFormat/>
    <w:uiPriority w:val="0"/>
    <w:pPr>
      <w:ind w:firstLine="523"/>
    </w:pPr>
    <w:rPr>
      <w:rFonts w:ascii="仿宋_GB2312" w:hAnsi="宋体" w:eastAsia="仿宋_GB2312"/>
      <w:sz w:val="24"/>
    </w:rPr>
  </w:style>
  <w:style w:type="paragraph" w:styleId="39">
    <w:name w:val="toc 2"/>
    <w:basedOn w:val="1"/>
    <w:next w:val="1"/>
    <w:qFormat/>
    <w:uiPriority w:val="39"/>
    <w:pPr>
      <w:tabs>
        <w:tab w:val="right" w:leader="dot" w:pos="9440"/>
      </w:tabs>
      <w:spacing w:line="260" w:lineRule="exact"/>
      <w:jc w:val="left"/>
    </w:pPr>
    <w:rPr>
      <w:rFonts w:ascii="黑体" w:eastAsia="黑体"/>
      <w:b/>
      <w:bCs/>
      <w:smallCaps/>
      <w:sz w:val="18"/>
      <w:szCs w:val="44"/>
    </w:rPr>
  </w:style>
  <w:style w:type="paragraph" w:styleId="40">
    <w:name w:val="toc 9"/>
    <w:basedOn w:val="1"/>
    <w:next w:val="1"/>
    <w:qFormat/>
    <w:uiPriority w:val="0"/>
    <w:pPr>
      <w:ind w:left="3360" w:leftChars="1600"/>
    </w:pPr>
  </w:style>
  <w:style w:type="paragraph" w:styleId="41">
    <w:name w:val="Body Text 2"/>
    <w:basedOn w:val="1"/>
    <w:qFormat/>
    <w:uiPriority w:val="0"/>
    <w:pPr>
      <w:jc w:val="center"/>
    </w:pPr>
    <w:rPr>
      <w:rFonts w:ascii="仿宋_GB2312" w:eastAsia="仿宋_GB2312"/>
      <w:sz w:val="44"/>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rPr>
      <w:rFonts w:ascii="宋体" w:hAnsi="宋体"/>
      <w:szCs w:val="18"/>
    </w:rPr>
  </w:style>
  <w:style w:type="paragraph" w:styleId="45">
    <w:name w:val="Title"/>
    <w:basedOn w:val="1"/>
    <w:next w:val="1"/>
    <w:link w:val="91"/>
    <w:qFormat/>
    <w:uiPriority w:val="0"/>
    <w:pPr>
      <w:spacing w:before="240" w:after="60"/>
      <w:jc w:val="center"/>
      <w:outlineLvl w:val="0"/>
    </w:pPr>
    <w:rPr>
      <w:rFonts w:ascii="Cambria" w:hAnsi="Cambria"/>
      <w:b/>
      <w:bCs/>
      <w:sz w:val="32"/>
      <w:szCs w:val="32"/>
    </w:rPr>
  </w:style>
  <w:style w:type="paragraph" w:styleId="46">
    <w:name w:val="annotation subject"/>
    <w:basedOn w:val="16"/>
    <w:next w:val="16"/>
    <w:link w:val="92"/>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basedOn w:val="49"/>
    <w:qFormat/>
    <w:uiPriority w:val="0"/>
    <w:rPr>
      <w:color w:val="800080"/>
      <w:u w:val="none"/>
    </w:rPr>
  </w:style>
  <w:style w:type="character" w:styleId="54">
    <w:name w:val="Emphasis"/>
    <w:basedOn w:val="49"/>
    <w:qFormat/>
    <w:uiPriority w:val="20"/>
    <w:rPr>
      <w:b/>
      <w:bCs/>
    </w:rPr>
  </w:style>
  <w:style w:type="character" w:styleId="55">
    <w:name w:val="HTML Definition"/>
    <w:basedOn w:val="49"/>
    <w:qFormat/>
    <w:uiPriority w:val="0"/>
  </w:style>
  <w:style w:type="character" w:styleId="56">
    <w:name w:val="HTML Typewriter"/>
    <w:basedOn w:val="49"/>
    <w:qFormat/>
    <w:uiPriority w:val="0"/>
    <w:rPr>
      <w:rFonts w:hint="default" w:ascii="monospace" w:hAnsi="monospace" w:eastAsia="monospace" w:cs="monospace"/>
      <w:sz w:val="20"/>
    </w:rPr>
  </w:style>
  <w:style w:type="character" w:styleId="57">
    <w:name w:val="HTML Acronym"/>
    <w:basedOn w:val="49"/>
    <w:qFormat/>
    <w:uiPriority w:val="0"/>
    <w:rPr>
      <w:rFonts w:ascii="微软雅黑" w:hAnsi="微软雅黑" w:eastAsia="微软雅黑" w:cs="微软雅黑"/>
      <w:color w:val="FFFFFF"/>
      <w:sz w:val="14"/>
      <w:szCs w:val="14"/>
      <w:u w:val="none"/>
      <w:bdr w:val="single" w:color="DADADA" w:sz="2" w:space="0"/>
      <w:shd w:val="clear" w:color="auto" w:fill="59C2E6"/>
    </w:rPr>
  </w:style>
  <w:style w:type="character" w:styleId="58">
    <w:name w:val="HTML Variable"/>
    <w:basedOn w:val="49"/>
    <w:qFormat/>
    <w:uiPriority w:val="0"/>
    <w:rPr>
      <w:vanish/>
    </w:rPr>
  </w:style>
  <w:style w:type="character" w:styleId="59">
    <w:name w:val="Hyperlink"/>
    <w:basedOn w:val="49"/>
    <w:qFormat/>
    <w:uiPriority w:val="99"/>
    <w:rPr>
      <w:color w:val="0000FF"/>
      <w:u w:val="none"/>
    </w:rPr>
  </w:style>
  <w:style w:type="character" w:styleId="60">
    <w:name w:val="HTML Code"/>
    <w:basedOn w:val="49"/>
    <w:qFormat/>
    <w:uiPriority w:val="0"/>
    <w:rPr>
      <w:rFonts w:hint="default" w:ascii="monospace" w:hAnsi="monospace" w:eastAsia="monospace" w:cs="monospace"/>
      <w:sz w:val="20"/>
    </w:rPr>
  </w:style>
  <w:style w:type="character" w:styleId="61">
    <w:name w:val="annotation reference"/>
    <w:qFormat/>
    <w:uiPriority w:val="0"/>
    <w:rPr>
      <w:sz w:val="21"/>
      <w:szCs w:val="21"/>
    </w:rPr>
  </w:style>
  <w:style w:type="character" w:styleId="62">
    <w:name w:val="HTML Cite"/>
    <w:basedOn w:val="49"/>
    <w:qFormat/>
    <w:uiPriority w:val="0"/>
  </w:style>
  <w:style w:type="character" w:styleId="63">
    <w:name w:val="footnote reference"/>
    <w:basedOn w:val="49"/>
    <w:qFormat/>
    <w:uiPriority w:val="0"/>
    <w:rPr>
      <w:vertAlign w:val="superscript"/>
    </w:rPr>
  </w:style>
  <w:style w:type="character" w:styleId="64">
    <w:name w:val="HTML Keyboard"/>
    <w:basedOn w:val="49"/>
    <w:qFormat/>
    <w:uiPriority w:val="0"/>
    <w:rPr>
      <w:rFonts w:hint="default" w:ascii="monospace" w:hAnsi="monospace" w:eastAsia="monospace" w:cs="monospace"/>
      <w:sz w:val="20"/>
    </w:rPr>
  </w:style>
  <w:style w:type="character" w:styleId="65">
    <w:name w:val="HTML Sample"/>
    <w:basedOn w:val="49"/>
    <w:qFormat/>
    <w:uiPriority w:val="0"/>
    <w:rPr>
      <w:rFonts w:ascii="monospace" w:hAnsi="monospace" w:eastAsia="monospace" w:cs="monospace"/>
    </w:rPr>
  </w:style>
  <w:style w:type="character" w:customStyle="1" w:styleId="66">
    <w:name w:val="标题 1 Char"/>
    <w:link w:val="2"/>
    <w:qFormat/>
    <w:uiPriority w:val="0"/>
    <w:rPr>
      <w:rFonts w:ascii="楷体_GB2312" w:eastAsia="楷体_GB2312"/>
      <w:kern w:val="2"/>
      <w:sz w:val="28"/>
      <w:lang w:val="en-US" w:eastAsia="zh-CN" w:bidi="ar-SA"/>
    </w:rPr>
  </w:style>
  <w:style w:type="character" w:customStyle="1" w:styleId="67">
    <w:name w:val="标题 2 Char"/>
    <w:link w:val="3"/>
    <w:qFormat/>
    <w:uiPriority w:val="0"/>
    <w:rPr>
      <w:rFonts w:ascii="Arial" w:hAnsi="Arial" w:eastAsia="幼圆"/>
      <w:b/>
      <w:kern w:val="2"/>
      <w:sz w:val="44"/>
    </w:rPr>
  </w:style>
  <w:style w:type="character" w:customStyle="1" w:styleId="68">
    <w:name w:val="标题 3 Char"/>
    <w:link w:val="4"/>
    <w:qFormat/>
    <w:uiPriority w:val="0"/>
    <w:rPr>
      <w:b/>
      <w:kern w:val="2"/>
      <w:sz w:val="32"/>
    </w:rPr>
  </w:style>
  <w:style w:type="character" w:customStyle="1" w:styleId="69">
    <w:name w:val="标题 4 Char"/>
    <w:link w:val="5"/>
    <w:qFormat/>
    <w:uiPriority w:val="0"/>
    <w:rPr>
      <w:rFonts w:ascii="Arial" w:hAnsi="Arial" w:eastAsia="黑体"/>
      <w:b/>
      <w:bCs/>
      <w:kern w:val="2"/>
      <w:sz w:val="28"/>
      <w:szCs w:val="28"/>
    </w:rPr>
  </w:style>
  <w:style w:type="character" w:customStyle="1" w:styleId="70">
    <w:name w:val="标题 5 Char"/>
    <w:link w:val="6"/>
    <w:qFormat/>
    <w:uiPriority w:val="0"/>
    <w:rPr>
      <w:rFonts w:ascii="宋体" w:hAnsi="宋体"/>
      <w:b/>
      <w:bCs/>
      <w:kern w:val="2"/>
      <w:sz w:val="21"/>
      <w:szCs w:val="24"/>
    </w:rPr>
  </w:style>
  <w:style w:type="character" w:customStyle="1" w:styleId="71">
    <w:name w:val="标题 6 Char"/>
    <w:basedOn w:val="49"/>
    <w:link w:val="7"/>
    <w:qFormat/>
    <w:uiPriority w:val="0"/>
    <w:rPr>
      <w:rFonts w:ascii="Cambria" w:hAnsi="Cambria"/>
      <w:b/>
      <w:bCs/>
      <w:kern w:val="2"/>
      <w:sz w:val="24"/>
      <w:szCs w:val="24"/>
    </w:rPr>
  </w:style>
  <w:style w:type="character" w:customStyle="1" w:styleId="72">
    <w:name w:val="标题 7 Char"/>
    <w:basedOn w:val="49"/>
    <w:link w:val="8"/>
    <w:qFormat/>
    <w:uiPriority w:val="0"/>
    <w:rPr>
      <w:rFonts w:ascii="Calibri" w:hAnsi="Calibri"/>
      <w:b/>
      <w:bCs/>
      <w:kern w:val="2"/>
      <w:sz w:val="24"/>
      <w:szCs w:val="24"/>
    </w:rPr>
  </w:style>
  <w:style w:type="character" w:customStyle="1" w:styleId="73">
    <w:name w:val="标题 8 Char"/>
    <w:basedOn w:val="49"/>
    <w:link w:val="9"/>
    <w:qFormat/>
    <w:uiPriority w:val="0"/>
    <w:rPr>
      <w:rFonts w:ascii="Cambria" w:hAnsi="Cambria"/>
      <w:kern w:val="2"/>
      <w:sz w:val="24"/>
      <w:szCs w:val="24"/>
    </w:rPr>
  </w:style>
  <w:style w:type="character" w:customStyle="1" w:styleId="74">
    <w:name w:val="标题 9 Char"/>
    <w:basedOn w:val="49"/>
    <w:link w:val="10"/>
    <w:qFormat/>
    <w:uiPriority w:val="0"/>
    <w:rPr>
      <w:rFonts w:ascii="Cambria" w:hAnsi="Cambria"/>
      <w:kern w:val="2"/>
      <w:sz w:val="21"/>
      <w:szCs w:val="21"/>
    </w:rPr>
  </w:style>
  <w:style w:type="character" w:customStyle="1" w:styleId="75">
    <w:name w:val="正文缩进 Char"/>
    <w:link w:val="12"/>
    <w:qFormat/>
    <w:uiPriority w:val="0"/>
    <w:rPr>
      <w:rFonts w:eastAsia="宋体"/>
      <w:kern w:val="2"/>
      <w:sz w:val="21"/>
      <w:lang w:val="en-US" w:eastAsia="zh-CN" w:bidi="ar-SA"/>
    </w:rPr>
  </w:style>
  <w:style w:type="character" w:customStyle="1" w:styleId="76">
    <w:name w:val="文档结构图 Char"/>
    <w:link w:val="14"/>
    <w:qFormat/>
    <w:uiPriority w:val="0"/>
    <w:rPr>
      <w:kern w:val="2"/>
      <w:sz w:val="21"/>
      <w:szCs w:val="24"/>
      <w:shd w:val="clear" w:color="auto" w:fill="000080"/>
    </w:rPr>
  </w:style>
  <w:style w:type="character" w:customStyle="1" w:styleId="77">
    <w:name w:val="批注文字 Char3"/>
    <w:basedOn w:val="49"/>
    <w:link w:val="16"/>
    <w:qFormat/>
    <w:uiPriority w:val="0"/>
    <w:rPr>
      <w:kern w:val="2"/>
      <w:sz w:val="21"/>
      <w:szCs w:val="24"/>
    </w:rPr>
  </w:style>
  <w:style w:type="character" w:customStyle="1" w:styleId="78">
    <w:name w:val="正文文本 3 Char"/>
    <w:basedOn w:val="49"/>
    <w:link w:val="17"/>
    <w:qFormat/>
    <w:uiPriority w:val="0"/>
    <w:rPr>
      <w:rFonts w:ascii="仿宋_GB2312" w:hAnsi="Arial" w:eastAsia="仿宋_GB2312"/>
      <w:kern w:val="2"/>
      <w:sz w:val="32"/>
    </w:rPr>
  </w:style>
  <w:style w:type="character" w:customStyle="1" w:styleId="79">
    <w:name w:val="正文文本 Char"/>
    <w:link w:val="18"/>
    <w:qFormat/>
    <w:uiPriority w:val="0"/>
    <w:rPr>
      <w:rFonts w:ascii="楷体_GB2312" w:hAnsi="Arial" w:eastAsia="楷体_GB2312"/>
      <w:kern w:val="2"/>
      <w:sz w:val="28"/>
    </w:rPr>
  </w:style>
  <w:style w:type="character" w:customStyle="1" w:styleId="80">
    <w:name w:val="正文文本缩进 Char"/>
    <w:link w:val="19"/>
    <w:qFormat/>
    <w:uiPriority w:val="0"/>
    <w:rPr>
      <w:rFonts w:ascii="楷体_GB2312" w:eastAsia="楷体_GB2312"/>
      <w:kern w:val="2"/>
      <w:sz w:val="32"/>
    </w:rPr>
  </w:style>
  <w:style w:type="character" w:customStyle="1" w:styleId="81">
    <w:name w:val="纯文本 Char"/>
    <w:link w:val="24"/>
    <w:qFormat/>
    <w:uiPriority w:val="0"/>
    <w:rPr>
      <w:rFonts w:ascii="宋体" w:hAnsi="Courier New"/>
      <w:kern w:val="2"/>
      <w:sz w:val="21"/>
    </w:rPr>
  </w:style>
  <w:style w:type="character" w:customStyle="1" w:styleId="82">
    <w:name w:val="日期 Char"/>
    <w:link w:val="26"/>
    <w:qFormat/>
    <w:uiPriority w:val="0"/>
    <w:rPr>
      <w:kern w:val="2"/>
      <w:sz w:val="24"/>
    </w:rPr>
  </w:style>
  <w:style w:type="character" w:customStyle="1" w:styleId="83">
    <w:name w:val="正文文本缩进 2 Char"/>
    <w:link w:val="27"/>
    <w:qFormat/>
    <w:uiPriority w:val="0"/>
    <w:rPr>
      <w:rFonts w:ascii="宋体" w:hAnsi="宋体"/>
      <w:kern w:val="2"/>
      <w:sz w:val="28"/>
      <w:szCs w:val="24"/>
    </w:rPr>
  </w:style>
  <w:style w:type="character" w:customStyle="1" w:styleId="84">
    <w:name w:val="尾注文本 Char"/>
    <w:basedOn w:val="49"/>
    <w:link w:val="28"/>
    <w:qFormat/>
    <w:uiPriority w:val="0"/>
    <w:rPr>
      <w:rFonts w:ascii="宋体"/>
      <w:sz w:val="34"/>
    </w:rPr>
  </w:style>
  <w:style w:type="character" w:customStyle="1" w:styleId="85">
    <w:name w:val="批注框文本 Char"/>
    <w:link w:val="29"/>
    <w:qFormat/>
    <w:uiPriority w:val="0"/>
    <w:rPr>
      <w:kern w:val="2"/>
      <w:sz w:val="18"/>
      <w:szCs w:val="18"/>
    </w:rPr>
  </w:style>
  <w:style w:type="character" w:customStyle="1" w:styleId="86">
    <w:name w:val="页脚 Char"/>
    <w:link w:val="30"/>
    <w:qFormat/>
    <w:uiPriority w:val="0"/>
    <w:rPr>
      <w:kern w:val="2"/>
      <w:sz w:val="18"/>
    </w:rPr>
  </w:style>
  <w:style w:type="character" w:customStyle="1" w:styleId="87">
    <w:name w:val="页眉 Char"/>
    <w:link w:val="31"/>
    <w:qFormat/>
    <w:uiPriority w:val="0"/>
    <w:rPr>
      <w:kern w:val="2"/>
      <w:sz w:val="18"/>
      <w:szCs w:val="18"/>
    </w:rPr>
  </w:style>
  <w:style w:type="character" w:customStyle="1" w:styleId="88">
    <w:name w:val="副标题 Char2"/>
    <w:basedOn w:val="49"/>
    <w:link w:val="34"/>
    <w:qFormat/>
    <w:uiPriority w:val="0"/>
    <w:rPr>
      <w:rFonts w:ascii="Cambria" w:hAnsi="Cambria" w:cs="Times New Roman"/>
      <w:b/>
      <w:bCs/>
      <w:kern w:val="28"/>
      <w:sz w:val="32"/>
      <w:szCs w:val="32"/>
    </w:rPr>
  </w:style>
  <w:style w:type="character" w:customStyle="1" w:styleId="89">
    <w:name w:val="脚注文本 Char1"/>
    <w:basedOn w:val="49"/>
    <w:link w:val="36"/>
    <w:qFormat/>
    <w:uiPriority w:val="0"/>
    <w:rPr>
      <w:kern w:val="2"/>
      <w:sz w:val="18"/>
      <w:szCs w:val="18"/>
    </w:rPr>
  </w:style>
  <w:style w:type="character" w:customStyle="1" w:styleId="90">
    <w:name w:val="正文文本缩进 3 Char"/>
    <w:basedOn w:val="49"/>
    <w:link w:val="38"/>
    <w:qFormat/>
    <w:uiPriority w:val="0"/>
    <w:rPr>
      <w:rFonts w:ascii="仿宋_GB2312" w:hAnsi="宋体" w:eastAsia="仿宋_GB2312"/>
      <w:kern w:val="2"/>
      <w:sz w:val="24"/>
      <w:szCs w:val="24"/>
    </w:rPr>
  </w:style>
  <w:style w:type="character" w:customStyle="1" w:styleId="91">
    <w:name w:val="标题 Char3"/>
    <w:basedOn w:val="49"/>
    <w:link w:val="45"/>
    <w:qFormat/>
    <w:uiPriority w:val="0"/>
    <w:rPr>
      <w:rFonts w:ascii="Cambria" w:hAnsi="Cambria" w:cs="Times New Roman"/>
      <w:b/>
      <w:bCs/>
      <w:kern w:val="2"/>
      <w:sz w:val="32"/>
      <w:szCs w:val="32"/>
    </w:rPr>
  </w:style>
  <w:style w:type="character" w:customStyle="1" w:styleId="92">
    <w:name w:val="批注主题 Char3"/>
    <w:basedOn w:val="77"/>
    <w:link w:val="46"/>
    <w:qFormat/>
    <w:uiPriority w:val="0"/>
  </w:style>
  <w:style w:type="character" w:customStyle="1" w:styleId="93">
    <w:name w:val="尾注文本 Char2"/>
    <w:basedOn w:val="49"/>
    <w:link w:val="28"/>
    <w:qFormat/>
    <w:uiPriority w:val="0"/>
    <w:rPr>
      <w:kern w:val="2"/>
      <w:sz w:val="21"/>
      <w:szCs w:val="24"/>
    </w:rPr>
  </w:style>
  <w:style w:type="character" w:customStyle="1" w:styleId="94">
    <w:name w:val="副标题 Char"/>
    <w:qFormat/>
    <w:uiPriority w:val="0"/>
    <w:rPr>
      <w:rFonts w:ascii="Cambria" w:hAnsi="Cambria"/>
      <w:b/>
      <w:bCs/>
      <w:kern w:val="28"/>
      <w:sz w:val="32"/>
      <w:szCs w:val="32"/>
    </w:rPr>
  </w:style>
  <w:style w:type="character" w:customStyle="1" w:styleId="95">
    <w:name w:val="脚注文本 Char"/>
    <w:qFormat/>
    <w:uiPriority w:val="0"/>
    <w:rPr>
      <w:sz w:val="18"/>
    </w:rPr>
  </w:style>
  <w:style w:type="character" w:customStyle="1" w:styleId="96">
    <w:name w:val="标题 Char"/>
    <w:qFormat/>
    <w:uiPriority w:val="0"/>
    <w:rPr>
      <w:rFonts w:ascii="Cambria" w:hAnsi="Cambria"/>
      <w:b/>
      <w:bCs/>
      <w:kern w:val="2"/>
      <w:sz w:val="32"/>
      <w:szCs w:val="32"/>
    </w:rPr>
  </w:style>
  <w:style w:type="character" w:customStyle="1" w:styleId="97">
    <w:name w:val="批注主题 Char"/>
    <w:qFormat/>
    <w:uiPriority w:val="0"/>
    <w:rPr>
      <w:b/>
      <w:bCs/>
      <w:kern w:val="2"/>
      <w:sz w:val="21"/>
      <w:szCs w:val="24"/>
    </w:rPr>
  </w:style>
  <w:style w:type="paragraph" w:customStyle="1" w:styleId="98">
    <w:name w:val="附录1"/>
    <w:qFormat/>
    <w:uiPriority w:val="0"/>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9">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100">
    <w:name w:val="Char"/>
    <w:basedOn w:val="1"/>
    <w:qFormat/>
    <w:uiPriority w:val="0"/>
    <w:pPr>
      <w:tabs>
        <w:tab w:val="left" w:pos="360"/>
      </w:tabs>
    </w:pPr>
    <w:rPr>
      <w:color w:val="000000"/>
      <w:sz w:val="24"/>
    </w:rPr>
  </w:style>
  <w:style w:type="paragraph" w:customStyle="1" w:styleId="101">
    <w:name w:val="默认段落字体 Para Char Char Char Char Char Char Char Char Char1 Char Char Char Char Char Char Char"/>
    <w:basedOn w:val="14"/>
    <w:qFormat/>
    <w:uiPriority w:val="0"/>
    <w:rPr>
      <w:rFonts w:ascii="Tahoma" w:hAnsi="Tahoma"/>
      <w:sz w:val="24"/>
    </w:rPr>
  </w:style>
  <w:style w:type="paragraph" w:customStyle="1" w:styleId="102">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03">
    <w:name w:val="标题2"/>
    <w:basedOn w:val="1"/>
    <w:next w:val="1"/>
    <w:qFormat/>
    <w:uiPriority w:val="0"/>
    <w:pPr>
      <w:jc w:val="center"/>
    </w:pPr>
    <w:rPr>
      <w:rFonts w:eastAsia="方正楷体_GBK"/>
    </w:rPr>
  </w:style>
  <w:style w:type="paragraph" w:customStyle="1" w:styleId="104">
    <w:name w:val="标题3"/>
    <w:basedOn w:val="1"/>
    <w:next w:val="1"/>
    <w:qFormat/>
    <w:uiPriority w:val="0"/>
    <w:rPr>
      <w:rFonts w:eastAsia="方正黑体_GBK"/>
    </w:rPr>
  </w:style>
  <w:style w:type="character" w:customStyle="1" w:styleId="105">
    <w:name w:val="jj1"/>
    <w:qFormat/>
    <w:uiPriority w:val="0"/>
    <w:rPr>
      <w:sz w:val="20"/>
      <w:szCs w:val="20"/>
      <w:u w:val="none"/>
    </w:rPr>
  </w:style>
  <w:style w:type="character" w:customStyle="1" w:styleId="106">
    <w:name w:val="标题2 Char"/>
    <w:qFormat/>
    <w:uiPriority w:val="0"/>
    <w:rPr>
      <w:rFonts w:ascii="方正楷体_GBK" w:hAnsi="Book Antiqua" w:eastAsia="方正楷体_GBK"/>
      <w:snapToGrid w:val="0"/>
      <w:sz w:val="32"/>
      <w:lang w:val="en-US" w:eastAsia="zh-CN" w:bidi="ar-SA"/>
    </w:rPr>
  </w:style>
  <w:style w:type="paragraph" w:styleId="107">
    <w:name w:val="List Paragraph"/>
    <w:basedOn w:val="1"/>
    <w:qFormat/>
    <w:uiPriority w:val="0"/>
    <w:pPr>
      <w:ind w:firstLine="420" w:firstLineChars="200"/>
    </w:pPr>
    <w:rPr>
      <w:rFonts w:ascii="Calibri" w:hAnsi="Calibri"/>
      <w:szCs w:val="22"/>
    </w:rPr>
  </w:style>
  <w:style w:type="paragraph" w:customStyle="1" w:styleId="10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9">
    <w:name w:val="Char Char Char Char"/>
    <w:basedOn w:val="14"/>
    <w:qFormat/>
    <w:uiPriority w:val="0"/>
    <w:pPr>
      <w:adjustRightInd w:val="0"/>
      <w:snapToGrid w:val="0"/>
      <w:spacing w:line="360" w:lineRule="auto"/>
    </w:pPr>
    <w:rPr>
      <w:rFonts w:ascii="Tahoma" w:hAnsi="Tahoma"/>
      <w:sz w:val="24"/>
    </w:rPr>
  </w:style>
  <w:style w:type="paragraph" w:customStyle="1" w:styleId="110">
    <w:name w:val="普通正文"/>
    <w:basedOn w:val="1"/>
    <w:link w:val="11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11">
    <w:name w:val="普通正文 Char"/>
    <w:basedOn w:val="49"/>
    <w:link w:val="110"/>
    <w:qFormat/>
    <w:uiPriority w:val="0"/>
    <w:rPr>
      <w:rFonts w:ascii="Arial" w:hAnsi="Arial"/>
      <w:sz w:val="24"/>
      <w:szCs w:val="24"/>
    </w:rPr>
  </w:style>
  <w:style w:type="paragraph" w:customStyle="1" w:styleId="11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13">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114">
    <w:name w:val="Char11"/>
    <w:basedOn w:val="1"/>
    <w:qFormat/>
    <w:uiPriority w:val="0"/>
    <w:rPr>
      <w:rFonts w:ascii="Tahoma" w:hAnsi="Tahoma"/>
      <w:snapToGrid w:val="0"/>
      <w:sz w:val="24"/>
      <w:szCs w:val="20"/>
    </w:rPr>
  </w:style>
  <w:style w:type="paragraph" w:customStyle="1" w:styleId="115">
    <w:name w:val="BioQuote Tekst"/>
    <w:basedOn w:val="1"/>
    <w:qFormat/>
    <w:uiPriority w:val="0"/>
    <w:pPr>
      <w:ind w:right="-1"/>
    </w:pPr>
    <w:rPr>
      <w:rFonts w:ascii="Arial" w:hAnsi="Arial"/>
      <w:snapToGrid w:val="0"/>
      <w:kern w:val="0"/>
      <w:sz w:val="22"/>
      <w:szCs w:val="20"/>
      <w:lang w:eastAsia="en-US"/>
    </w:rPr>
  </w:style>
  <w:style w:type="paragraph" w:customStyle="1" w:styleId="116">
    <w:name w:val="Coms Alinea"/>
    <w:qFormat/>
    <w:uiPriority w:val="0"/>
    <w:pPr>
      <w:widowControl w:val="0"/>
    </w:pPr>
    <w:rPr>
      <w:rFonts w:ascii="Arial" w:hAnsi="Arial" w:eastAsia="宋体" w:cs="Arial"/>
      <w:lang w:val="en-US" w:eastAsia="zh-CN" w:bidi="ar-SA"/>
    </w:rPr>
  </w:style>
  <w:style w:type="paragraph" w:customStyle="1" w:styleId="117">
    <w:name w:val="Char Char Char Char1 Char Char Char"/>
    <w:basedOn w:val="14"/>
    <w:qFormat/>
    <w:uiPriority w:val="0"/>
    <w:pPr>
      <w:adjustRightInd w:val="0"/>
      <w:snapToGrid w:val="0"/>
      <w:spacing w:line="360" w:lineRule="auto"/>
    </w:pPr>
    <w:rPr>
      <w:rFonts w:ascii="Tahoma" w:hAnsi="Tahoma"/>
      <w:sz w:val="24"/>
    </w:rPr>
  </w:style>
  <w:style w:type="paragraph" w:customStyle="1" w:styleId="118">
    <w:name w:val="Char Char Char Char1 Char Char"/>
    <w:basedOn w:val="1"/>
    <w:qFormat/>
    <w:uiPriority w:val="0"/>
    <w:pPr>
      <w:tabs>
        <w:tab w:val="left" w:pos="360"/>
      </w:tabs>
    </w:pPr>
    <w:rPr>
      <w:sz w:val="24"/>
    </w:rPr>
  </w:style>
  <w:style w:type="character" w:customStyle="1" w:styleId="119">
    <w:name w:val="fontstyle11"/>
    <w:qFormat/>
    <w:uiPriority w:val="0"/>
    <w:rPr>
      <w:rFonts w:hint="eastAsia" w:ascii="宋体" w:hAnsi="宋体" w:eastAsia="宋体"/>
      <w:color w:val="000000"/>
      <w:sz w:val="22"/>
      <w:szCs w:val="22"/>
    </w:rPr>
  </w:style>
  <w:style w:type="character" w:customStyle="1" w:styleId="120">
    <w:name w:val="fontstyle01"/>
    <w:qFormat/>
    <w:uiPriority w:val="0"/>
    <w:rPr>
      <w:rFonts w:hint="default" w:ascii="Calibri-Bold" w:hAnsi="Calibri-Bold"/>
      <w:b/>
      <w:bCs/>
      <w:color w:val="000000"/>
      <w:sz w:val="22"/>
      <w:szCs w:val="22"/>
    </w:rPr>
  </w:style>
  <w:style w:type="paragraph" w:customStyle="1" w:styleId="121">
    <w:name w:val="正文_1_0"/>
    <w:basedOn w:val="1"/>
    <w:qFormat/>
    <w:uiPriority w:val="0"/>
  </w:style>
  <w:style w:type="paragraph" w:styleId="12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24">
    <w:name w:val="WPSOffice手动目录 1"/>
    <w:qFormat/>
    <w:uiPriority w:val="0"/>
    <w:rPr>
      <w:rFonts w:ascii="Times New Roman" w:hAnsi="Times New Roman" w:eastAsia="宋体" w:cs="Times New Roman"/>
      <w:lang w:val="en-US" w:eastAsia="zh-CN" w:bidi="ar-SA"/>
    </w:rPr>
  </w:style>
  <w:style w:type="character" w:customStyle="1" w:styleId="125">
    <w:name w:val="Char Char181"/>
    <w:qFormat/>
    <w:uiPriority w:val="0"/>
    <w:rPr>
      <w:b/>
      <w:bCs/>
      <w:kern w:val="44"/>
      <w:sz w:val="44"/>
      <w:szCs w:val="44"/>
    </w:rPr>
  </w:style>
  <w:style w:type="character" w:customStyle="1" w:styleId="126">
    <w:name w:val="Char Char"/>
    <w:basedOn w:val="49"/>
    <w:qFormat/>
    <w:uiPriority w:val="0"/>
    <w:rPr>
      <w:rFonts w:ascii="宋体" w:hAnsi="Courier New" w:eastAsia="宋体"/>
      <w:kern w:val="2"/>
      <w:sz w:val="21"/>
      <w:lang w:val="en-US" w:eastAsia="zh-CN" w:bidi="ar-SA"/>
    </w:rPr>
  </w:style>
  <w:style w:type="character" w:customStyle="1" w:styleId="127">
    <w:name w:val="_Style 126"/>
    <w:qFormat/>
    <w:uiPriority w:val="0"/>
    <w:rPr>
      <w:b/>
      <w:bCs/>
      <w:smallCaps/>
      <w:spacing w:val="5"/>
    </w:rPr>
  </w:style>
  <w:style w:type="character" w:customStyle="1" w:styleId="128">
    <w:name w:val="_Style 127"/>
    <w:qFormat/>
    <w:uiPriority w:val="0"/>
    <w:rPr>
      <w:i/>
      <w:iCs/>
      <w:color w:val="808080"/>
    </w:rPr>
  </w:style>
  <w:style w:type="character" w:customStyle="1" w:styleId="129">
    <w:name w:val="文档结构图 Char1"/>
    <w:qFormat/>
    <w:uiPriority w:val="0"/>
    <w:rPr>
      <w:rFonts w:ascii="宋体" w:hAnsi="Times New Roman" w:eastAsia="宋体" w:cs="Times New Roman"/>
      <w:sz w:val="18"/>
      <w:szCs w:val="18"/>
    </w:rPr>
  </w:style>
  <w:style w:type="character" w:customStyle="1" w:styleId="130">
    <w:name w:val="Header Char"/>
    <w:qFormat/>
    <w:uiPriority w:val="0"/>
    <w:rPr>
      <w:rFonts w:eastAsia="宋体"/>
      <w:kern w:val="2"/>
      <w:sz w:val="18"/>
      <w:szCs w:val="18"/>
      <w:lang w:val="en-US" w:eastAsia="zh-CN" w:bidi="ar-SA"/>
    </w:rPr>
  </w:style>
  <w:style w:type="character" w:customStyle="1" w:styleId="131">
    <w:name w:val="日期 Char1"/>
    <w:qFormat/>
    <w:uiPriority w:val="0"/>
    <w:rPr>
      <w:rFonts w:ascii="Times New Roman" w:hAnsi="Times New Roman" w:eastAsia="宋体" w:cs="Times New Roman"/>
      <w:szCs w:val="24"/>
    </w:rPr>
  </w:style>
  <w:style w:type="character" w:customStyle="1" w:styleId="132">
    <w:name w:val="明显引用 Char1"/>
    <w:link w:val="133"/>
    <w:qFormat/>
    <w:uiPriority w:val="30"/>
    <w:rPr>
      <w:b/>
      <w:bCs/>
      <w:i/>
      <w:iCs/>
      <w:color w:val="4F81BD"/>
      <w:szCs w:val="24"/>
    </w:rPr>
  </w:style>
  <w:style w:type="paragraph" w:customStyle="1" w:styleId="133">
    <w:name w:val="明显引用1"/>
    <w:basedOn w:val="1"/>
    <w:next w:val="1"/>
    <w:link w:val="132"/>
    <w:qFormat/>
    <w:uiPriority w:val="30"/>
    <w:pPr>
      <w:pBdr>
        <w:bottom w:val="single" w:color="4F81BD" w:sz="4" w:space="4"/>
      </w:pBdr>
      <w:spacing w:before="200" w:after="280"/>
      <w:ind w:left="936" w:right="936"/>
    </w:pPr>
    <w:rPr>
      <w:b/>
      <w:bCs/>
      <w:i/>
      <w:iCs/>
      <w:color w:val="4F81BD"/>
      <w:kern w:val="0"/>
      <w:sz w:val="20"/>
    </w:rPr>
  </w:style>
  <w:style w:type="character" w:customStyle="1" w:styleId="134">
    <w:name w:val="标题4 Char Char"/>
    <w:link w:val="135"/>
    <w:qFormat/>
    <w:uiPriority w:val="0"/>
    <w:rPr>
      <w:rFonts w:ascii="Arial" w:hAnsi="Arial"/>
      <w:b/>
      <w:bCs/>
      <w:sz w:val="24"/>
      <w:szCs w:val="32"/>
    </w:rPr>
  </w:style>
  <w:style w:type="paragraph" w:customStyle="1" w:styleId="135">
    <w:name w:val="标题4"/>
    <w:basedOn w:val="3"/>
    <w:next w:val="21"/>
    <w:link w:val="134"/>
    <w:qFormat/>
    <w:uiPriority w:val="0"/>
    <w:pPr>
      <w:spacing w:before="60" w:after="60" w:line="413" w:lineRule="auto"/>
      <w:jc w:val="both"/>
    </w:pPr>
    <w:rPr>
      <w:rFonts w:eastAsia="宋体"/>
      <w:bCs/>
      <w:kern w:val="0"/>
      <w:sz w:val="24"/>
      <w:szCs w:val="32"/>
    </w:rPr>
  </w:style>
  <w:style w:type="character" w:customStyle="1" w:styleId="136">
    <w:name w:val="明显引用 Char"/>
    <w:qFormat/>
    <w:uiPriority w:val="0"/>
    <w:rPr>
      <w:b/>
      <w:bCs/>
      <w:i/>
      <w:iCs/>
      <w:color w:val="4F81BD"/>
    </w:rPr>
  </w:style>
  <w:style w:type="paragraph" w:styleId="137">
    <w:name w:val="Intense Quote"/>
    <w:basedOn w:val="1"/>
    <w:next w:val="1"/>
    <w:link w:val="13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8">
    <w:name w:val="明显引用 Char2"/>
    <w:basedOn w:val="49"/>
    <w:link w:val="137"/>
    <w:qFormat/>
    <w:uiPriority w:val="99"/>
    <w:rPr>
      <w:b/>
      <w:bCs/>
      <w:i/>
      <w:iCs/>
      <w:color w:val="4F81BD"/>
      <w:kern w:val="2"/>
      <w:sz w:val="21"/>
      <w:szCs w:val="24"/>
    </w:rPr>
  </w:style>
  <w:style w:type="character" w:customStyle="1" w:styleId="139">
    <w:name w:val="Char Char9"/>
    <w:qFormat/>
    <w:uiPriority w:val="0"/>
    <w:rPr>
      <w:rFonts w:eastAsia="宋体"/>
      <w:b/>
      <w:bCs/>
      <w:kern w:val="44"/>
      <w:sz w:val="32"/>
      <w:szCs w:val="44"/>
      <w:lang w:val="en-US" w:eastAsia="zh-CN" w:bidi="ar-SA"/>
    </w:rPr>
  </w:style>
  <w:style w:type="character" w:customStyle="1" w:styleId="140">
    <w:name w:val="Heading 5 Char"/>
    <w:qFormat/>
    <w:uiPriority w:val="0"/>
    <w:rPr>
      <w:rFonts w:eastAsia="宋体"/>
      <w:b/>
      <w:bCs/>
      <w:kern w:val="2"/>
      <w:sz w:val="28"/>
      <w:szCs w:val="28"/>
      <w:lang w:val="en-US" w:eastAsia="zh-CN" w:bidi="ar-SA"/>
    </w:rPr>
  </w:style>
  <w:style w:type="character" w:customStyle="1" w:styleId="141">
    <w:name w:val="页脚 Char1"/>
    <w:basedOn w:val="49"/>
    <w:qFormat/>
    <w:uiPriority w:val="0"/>
    <w:rPr>
      <w:rFonts w:ascii="宋体"/>
      <w:sz w:val="18"/>
      <w:szCs w:val="18"/>
    </w:rPr>
  </w:style>
  <w:style w:type="character" w:customStyle="1" w:styleId="142">
    <w:name w:val="文档结构图 Char2"/>
    <w:basedOn w:val="49"/>
    <w:qFormat/>
    <w:uiPriority w:val="0"/>
    <w:rPr>
      <w:rFonts w:ascii="宋体"/>
      <w:sz w:val="18"/>
      <w:szCs w:val="18"/>
    </w:rPr>
  </w:style>
  <w:style w:type="character" w:customStyle="1" w:styleId="143">
    <w:name w:val="引用 Char1"/>
    <w:link w:val="144"/>
    <w:qFormat/>
    <w:uiPriority w:val="29"/>
    <w:rPr>
      <w:i/>
      <w:iCs/>
      <w:color w:val="000000"/>
      <w:szCs w:val="24"/>
    </w:rPr>
  </w:style>
  <w:style w:type="paragraph" w:customStyle="1" w:styleId="144">
    <w:name w:val="引用1"/>
    <w:basedOn w:val="1"/>
    <w:next w:val="1"/>
    <w:link w:val="143"/>
    <w:qFormat/>
    <w:uiPriority w:val="29"/>
    <w:rPr>
      <w:i/>
      <w:iCs/>
      <w:color w:val="000000"/>
      <w:kern w:val="0"/>
      <w:sz w:val="20"/>
    </w:rPr>
  </w:style>
  <w:style w:type="character" w:customStyle="1" w:styleId="145">
    <w:name w:val="Para head"/>
    <w:basedOn w:val="49"/>
    <w:qFormat/>
    <w:uiPriority w:val="0"/>
    <w:rPr>
      <w:rFonts w:ascii="Arial" w:hAnsi="Arial" w:eastAsia="Times New Roman"/>
      <w:sz w:val="20"/>
    </w:rPr>
  </w:style>
  <w:style w:type="character" w:customStyle="1" w:styleId="146">
    <w:name w:val="_Style 145"/>
    <w:qFormat/>
    <w:uiPriority w:val="0"/>
    <w:rPr>
      <w:b/>
      <w:bCs/>
      <w:smallCaps/>
      <w:color w:val="C0504D"/>
      <w:spacing w:val="5"/>
      <w:u w:val="single"/>
    </w:rPr>
  </w:style>
  <w:style w:type="character" w:customStyle="1" w:styleId="147">
    <w:name w:val="Char Char22"/>
    <w:qFormat/>
    <w:uiPriority w:val="0"/>
    <w:rPr>
      <w:rFonts w:ascii="Times New Roman" w:hAnsi="Times New Roman" w:eastAsia="宋体" w:cs="Times New Roman"/>
      <w:b/>
      <w:bCs/>
      <w:kern w:val="44"/>
      <w:sz w:val="32"/>
      <w:szCs w:val="44"/>
    </w:rPr>
  </w:style>
  <w:style w:type="character" w:customStyle="1" w:styleId="148">
    <w:name w:val="Char Char91"/>
    <w:qFormat/>
    <w:uiPriority w:val="0"/>
    <w:rPr>
      <w:rFonts w:eastAsia="宋体"/>
      <w:b/>
      <w:bCs/>
      <w:kern w:val="44"/>
      <w:sz w:val="32"/>
      <w:szCs w:val="44"/>
      <w:lang w:val="en-US" w:eastAsia="zh-CN" w:bidi="ar-SA"/>
    </w:rPr>
  </w:style>
  <w:style w:type="character" w:customStyle="1" w:styleId="149">
    <w:name w:val="尾注文本 Char1"/>
    <w:basedOn w:val="49"/>
    <w:qFormat/>
    <w:uiPriority w:val="0"/>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日期 Char2"/>
    <w:basedOn w:val="49"/>
    <w:qFormat/>
    <w:uiPriority w:val="0"/>
    <w:rPr>
      <w:rFonts w:ascii="宋体"/>
      <w:sz w:val="34"/>
    </w:rPr>
  </w:style>
  <w:style w:type="character" w:customStyle="1" w:styleId="152">
    <w:name w:val="_Style 151"/>
    <w:qFormat/>
    <w:uiPriority w:val="0"/>
    <w:rPr>
      <w:b/>
      <w:bCs/>
      <w:i/>
      <w:iCs/>
      <w:color w:val="4F81BD"/>
    </w:rPr>
  </w:style>
  <w:style w:type="character" w:customStyle="1" w:styleId="153">
    <w:name w:val="Char Char20"/>
    <w:qFormat/>
    <w:uiPriority w:val="0"/>
    <w:rPr>
      <w:rFonts w:ascii="Times New Roman" w:hAnsi="Times New Roman" w:eastAsia="宋体" w:cs="Times New Roman"/>
      <w:b/>
      <w:bCs/>
      <w:sz w:val="24"/>
      <w:szCs w:val="32"/>
    </w:rPr>
  </w:style>
  <w:style w:type="character" w:customStyle="1" w:styleId="154">
    <w:name w:val="标题 2 Char1"/>
    <w:qFormat/>
    <w:uiPriority w:val="0"/>
    <w:rPr>
      <w:rFonts w:ascii="Arial" w:hAnsi="Arial" w:eastAsia="黑体" w:cs="Calibri"/>
      <w:b/>
      <w:kern w:val="0"/>
      <w:sz w:val="32"/>
      <w:szCs w:val="20"/>
    </w:rPr>
  </w:style>
  <w:style w:type="character" w:customStyle="1" w:styleId="155">
    <w:name w:val="Char Char19"/>
    <w:qFormat/>
    <w:uiPriority w:val="0"/>
    <w:rPr>
      <w:rFonts w:ascii="Arial" w:hAnsi="Arial" w:eastAsia="宋体" w:cs="Times New Roman"/>
      <w:b/>
      <w:bCs/>
      <w:szCs w:val="28"/>
    </w:rPr>
  </w:style>
  <w:style w:type="character" w:customStyle="1" w:styleId="156">
    <w:name w:val="书籍标题1"/>
    <w:qFormat/>
    <w:uiPriority w:val="0"/>
    <w:rPr>
      <w:b/>
      <w:bCs/>
      <w:smallCaps/>
      <w:spacing w:val="5"/>
    </w:rPr>
  </w:style>
  <w:style w:type="character" w:customStyle="1" w:styleId="157">
    <w:name w:val="Char Char24"/>
    <w:qFormat/>
    <w:uiPriority w:val="0"/>
    <w:rPr>
      <w:rFonts w:eastAsia="宋体"/>
      <w:b/>
      <w:bCs/>
      <w:kern w:val="44"/>
      <w:sz w:val="32"/>
      <w:szCs w:val="44"/>
      <w:lang w:val="en-US" w:eastAsia="zh-CN" w:bidi="ar-SA"/>
    </w:rPr>
  </w:style>
  <w:style w:type="character" w:customStyle="1" w:styleId="158">
    <w:name w:val="Body Text Indent Char"/>
    <w:qFormat/>
    <w:uiPriority w:val="0"/>
    <w:rPr>
      <w:rFonts w:ascii="宋体" w:hAnsi="宋体" w:eastAsia="宋体"/>
      <w:kern w:val="2"/>
      <w:sz w:val="21"/>
      <w:lang w:val="en-US" w:eastAsia="zh-CN" w:bidi="ar-SA"/>
    </w:rPr>
  </w:style>
  <w:style w:type="character" w:customStyle="1" w:styleId="159">
    <w:name w:val="样式 Char"/>
    <w:link w:val="160"/>
    <w:qFormat/>
    <w:locked/>
    <w:uiPriority w:val="0"/>
    <w:rPr>
      <w:rFonts w:ascii="宋体" w:hAnsi="宋体" w:cs="宋体"/>
      <w:sz w:val="24"/>
      <w:szCs w:val="24"/>
      <w:lang w:val="en-US" w:eastAsia="zh-CN" w:bidi="ar-SA"/>
    </w:rPr>
  </w:style>
  <w:style w:type="paragraph" w:customStyle="1" w:styleId="160">
    <w:name w:val="样式"/>
    <w:link w:val="159"/>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1">
    <w:name w:val="批注文字 Char"/>
    <w:qFormat/>
    <w:uiPriority w:val="0"/>
    <w:rPr>
      <w:kern w:val="2"/>
      <w:sz w:val="21"/>
      <w:szCs w:val="24"/>
    </w:rPr>
  </w:style>
  <w:style w:type="character" w:customStyle="1" w:styleId="162">
    <w:name w:val="明显强调1"/>
    <w:qFormat/>
    <w:uiPriority w:val="0"/>
    <w:rPr>
      <w:b/>
      <w:bCs/>
      <w:i/>
      <w:iCs/>
      <w:color w:val="4F81BD"/>
    </w:rPr>
  </w:style>
  <w:style w:type="character" w:customStyle="1" w:styleId="163">
    <w:name w:val="Comment Text Char1"/>
    <w:qFormat/>
    <w:uiPriority w:val="0"/>
    <w:rPr>
      <w:sz w:val="24"/>
      <w:lang w:bidi="ar-SA"/>
    </w:rPr>
  </w:style>
  <w:style w:type="character" w:customStyle="1" w:styleId="164">
    <w:name w:val="副标题 Char1"/>
    <w:qFormat/>
    <w:uiPriority w:val="0"/>
    <w:rPr>
      <w:rFonts w:hint="default" w:ascii="Cambria" w:hAnsi="Cambria" w:cs="Times New Roman"/>
      <w:b/>
      <w:bCs/>
      <w:kern w:val="28"/>
      <w:sz w:val="32"/>
      <w:szCs w:val="32"/>
    </w:rPr>
  </w:style>
  <w:style w:type="character" w:customStyle="1" w:styleId="165">
    <w:name w:val="_Style 164"/>
    <w:qFormat/>
    <w:uiPriority w:val="0"/>
    <w:rPr>
      <w:smallCaps/>
      <w:color w:val="C0504D"/>
      <w:u w:val="single"/>
    </w:rPr>
  </w:style>
  <w:style w:type="character" w:customStyle="1" w:styleId="166">
    <w:name w:val="Char Char6"/>
    <w:qFormat/>
    <w:uiPriority w:val="0"/>
    <w:rPr>
      <w:rFonts w:eastAsia="宋体"/>
      <w:b/>
      <w:bCs/>
      <w:kern w:val="44"/>
      <w:sz w:val="32"/>
      <w:szCs w:val="44"/>
      <w:lang w:val="en-US" w:eastAsia="zh-CN" w:bidi="ar-SA"/>
    </w:rPr>
  </w:style>
  <w:style w:type="character" w:customStyle="1" w:styleId="167">
    <w:name w:val="批注文字 Char2"/>
    <w:qFormat/>
    <w:uiPriority w:val="0"/>
    <w:rPr>
      <w:rFonts w:eastAsia="宋体"/>
      <w:kern w:val="2"/>
      <w:sz w:val="21"/>
      <w:szCs w:val="24"/>
      <w:lang w:val="en-US" w:eastAsia="zh-CN" w:bidi="ar-SA"/>
    </w:rPr>
  </w:style>
  <w:style w:type="character" w:customStyle="1" w:styleId="168">
    <w:name w:val="Comment Subject Char"/>
    <w:qFormat/>
    <w:uiPriority w:val="0"/>
    <w:rPr>
      <w:b/>
      <w:sz w:val="24"/>
      <w:lang w:bidi="ar-SA"/>
    </w:rPr>
  </w:style>
  <w:style w:type="character" w:customStyle="1" w:styleId="169">
    <w:name w:val="Char Char23"/>
    <w:qFormat/>
    <w:uiPriority w:val="0"/>
    <w:rPr>
      <w:rFonts w:eastAsia="宋体"/>
      <w:b/>
      <w:bCs/>
      <w:kern w:val="44"/>
      <w:sz w:val="32"/>
      <w:szCs w:val="44"/>
      <w:lang w:val="en-US" w:eastAsia="zh-CN" w:bidi="ar-SA"/>
    </w:rPr>
  </w:style>
  <w:style w:type="character" w:customStyle="1" w:styleId="170">
    <w:name w:val="标题 3 Char1"/>
    <w:qFormat/>
    <w:uiPriority w:val="0"/>
    <w:rPr>
      <w:rFonts w:ascii="Calibri" w:hAnsi="Calibri" w:eastAsia="宋体" w:cs="Arial"/>
      <w:b/>
      <w:kern w:val="0"/>
      <w:sz w:val="32"/>
      <w:szCs w:val="20"/>
    </w:rPr>
  </w:style>
  <w:style w:type="character" w:customStyle="1" w:styleId="171">
    <w:name w:val="Char Char18"/>
    <w:qFormat/>
    <w:uiPriority w:val="0"/>
    <w:rPr>
      <w:rFonts w:ascii="Times New Roman" w:hAnsi="Times New Roman" w:eastAsia="宋体" w:cs="Times New Roman"/>
      <w:b/>
      <w:bCs/>
      <w:sz w:val="28"/>
      <w:szCs w:val="28"/>
    </w:rPr>
  </w:style>
  <w:style w:type="character" w:customStyle="1" w:styleId="172">
    <w:name w:val="正文文本 Char2"/>
    <w:basedOn w:val="49"/>
    <w:qFormat/>
    <w:uiPriority w:val="0"/>
    <w:rPr>
      <w:rFonts w:ascii="宋体"/>
      <w:sz w:val="34"/>
    </w:rPr>
  </w:style>
  <w:style w:type="character" w:customStyle="1" w:styleId="173">
    <w:name w:val="Char Char21"/>
    <w:qFormat/>
    <w:uiPriority w:val="0"/>
    <w:rPr>
      <w:rFonts w:ascii="Arial" w:hAnsi="Arial" w:eastAsia="黑体" w:cs="Times New Roman"/>
      <w:b/>
      <w:bCs/>
      <w:sz w:val="32"/>
      <w:szCs w:val="32"/>
    </w:rPr>
  </w:style>
  <w:style w:type="character" w:customStyle="1" w:styleId="174">
    <w:name w:val="textcontents"/>
    <w:qFormat/>
    <w:uiPriority w:val="0"/>
    <w:rPr>
      <w:rFonts w:cs="Times New Roman"/>
    </w:rPr>
  </w:style>
  <w:style w:type="character" w:customStyle="1" w:styleId="175">
    <w:name w:val="超链接_0"/>
    <w:qFormat/>
    <w:uiPriority w:val="99"/>
    <w:rPr>
      <w:rFonts w:ascii="Calibri" w:hAnsi="Calibri" w:cs="Times New Roman"/>
      <w:color w:val="0000FF"/>
      <w:u w:val="single"/>
    </w:rPr>
  </w:style>
  <w:style w:type="character" w:customStyle="1" w:styleId="176">
    <w:name w:val="标题 1 Char1"/>
    <w:qFormat/>
    <w:uiPriority w:val="0"/>
    <w:rPr>
      <w:rFonts w:ascii="Calibri" w:hAnsi="Calibri" w:eastAsia="宋体" w:cs="Arial"/>
      <w:b/>
      <w:kern w:val="44"/>
      <w:sz w:val="44"/>
      <w:szCs w:val="20"/>
    </w:rPr>
  </w:style>
  <w:style w:type="character" w:customStyle="1" w:styleId="177">
    <w:name w:val="明显参考1"/>
    <w:qFormat/>
    <w:uiPriority w:val="0"/>
    <w:rPr>
      <w:b/>
      <w:bCs/>
      <w:smallCaps/>
      <w:color w:val="C0504D"/>
      <w:spacing w:val="5"/>
      <w:u w:val="single"/>
    </w:rPr>
  </w:style>
  <w:style w:type="character" w:customStyle="1" w:styleId="178">
    <w:name w:val="Heading 3 Char1"/>
    <w:qFormat/>
    <w:uiPriority w:val="0"/>
    <w:rPr>
      <w:rFonts w:eastAsia="宋体"/>
      <w:b/>
      <w:bCs/>
      <w:kern w:val="2"/>
      <w:sz w:val="24"/>
      <w:szCs w:val="32"/>
      <w:lang w:val="en-US" w:eastAsia="zh-CN" w:bidi="ar-SA"/>
    </w:rPr>
  </w:style>
  <w:style w:type="character" w:customStyle="1" w:styleId="179">
    <w:name w:val="Heading 4 Char"/>
    <w:qFormat/>
    <w:uiPriority w:val="0"/>
    <w:rPr>
      <w:rFonts w:ascii="Arial" w:hAnsi="Arial" w:eastAsia="宋体"/>
      <w:b/>
      <w:bCs/>
      <w:kern w:val="2"/>
      <w:sz w:val="21"/>
      <w:szCs w:val="28"/>
      <w:lang w:val="en-US" w:eastAsia="zh-CN" w:bidi="ar-SA"/>
    </w:rPr>
  </w:style>
  <w:style w:type="character" w:customStyle="1" w:styleId="180">
    <w:name w:val="Body Text Indent 2 Char"/>
    <w:qFormat/>
    <w:uiPriority w:val="0"/>
    <w:rPr>
      <w:rFonts w:eastAsia="宋体"/>
      <w:kern w:val="2"/>
      <w:sz w:val="21"/>
      <w:szCs w:val="24"/>
      <w:lang w:val="en-US" w:eastAsia="zh-CN" w:bidi="ar-SA"/>
    </w:rPr>
  </w:style>
  <w:style w:type="character" w:customStyle="1" w:styleId="181">
    <w:name w:val="不明显强调1"/>
    <w:qFormat/>
    <w:uiPriority w:val="0"/>
    <w:rPr>
      <w:i/>
      <w:iCs/>
      <w:color w:val="808080"/>
    </w:rPr>
  </w:style>
  <w:style w:type="character" w:customStyle="1" w:styleId="182">
    <w:name w:val="标题 Char2"/>
    <w:qFormat/>
    <w:uiPriority w:val="0"/>
    <w:rPr>
      <w:rFonts w:ascii="Cambria" w:hAnsi="Cambria" w:eastAsia="宋体" w:cs="Times New Roman"/>
      <w:b/>
      <w:bCs/>
      <w:sz w:val="32"/>
      <w:szCs w:val="32"/>
    </w:rPr>
  </w:style>
  <w:style w:type="character" w:customStyle="1" w:styleId="183">
    <w:name w:val="Title Char"/>
    <w:qFormat/>
    <w:uiPriority w:val="0"/>
    <w:rPr>
      <w:rFonts w:ascii="Cambria" w:hAnsi="Cambria"/>
      <w:b/>
      <w:sz w:val="32"/>
      <w:lang w:bidi="ar-SA"/>
    </w:rPr>
  </w:style>
  <w:style w:type="character" w:customStyle="1" w:styleId="184">
    <w:name w:val="不明显参考1"/>
    <w:qFormat/>
    <w:uiPriority w:val="0"/>
    <w:rPr>
      <w:smallCaps/>
      <w:color w:val="C0504D"/>
      <w:u w:val="single"/>
    </w:rPr>
  </w:style>
  <w:style w:type="character" w:customStyle="1" w:styleId="185">
    <w:name w:val="Heading 1 Char"/>
    <w:qFormat/>
    <w:uiPriority w:val="0"/>
    <w:rPr>
      <w:rFonts w:eastAsia="宋体"/>
      <w:b/>
      <w:bCs/>
      <w:kern w:val="44"/>
      <w:sz w:val="32"/>
      <w:szCs w:val="44"/>
      <w:lang w:val="en-US" w:eastAsia="zh-CN" w:bidi="ar-SA"/>
    </w:rPr>
  </w:style>
  <w:style w:type="character" w:customStyle="1" w:styleId="186">
    <w:name w:val="Footer Char"/>
    <w:qFormat/>
    <w:uiPriority w:val="0"/>
    <w:rPr>
      <w:rFonts w:eastAsia="宋体"/>
      <w:kern w:val="2"/>
      <w:sz w:val="18"/>
      <w:szCs w:val="18"/>
      <w:lang w:val="en-US" w:eastAsia="zh-CN" w:bidi="ar-SA"/>
    </w:rPr>
  </w:style>
  <w:style w:type="character" w:customStyle="1" w:styleId="187">
    <w:name w:val="批注框文本 Char1"/>
    <w:qFormat/>
    <w:uiPriority w:val="0"/>
    <w:rPr>
      <w:rFonts w:ascii="Times New Roman" w:hAnsi="Times New Roman" w:eastAsia="宋体" w:cs="Times New Roman"/>
      <w:sz w:val="18"/>
      <w:szCs w:val="18"/>
    </w:rPr>
  </w:style>
  <w:style w:type="character" w:customStyle="1" w:styleId="188">
    <w:name w:val="Comment Text Char"/>
    <w:qFormat/>
    <w:uiPriority w:val="0"/>
    <w:rPr>
      <w:rFonts w:cs="Times New Roman"/>
      <w:sz w:val="24"/>
      <w:szCs w:val="24"/>
    </w:rPr>
  </w:style>
  <w:style w:type="character" w:customStyle="1" w:styleId="189">
    <w:name w:val="Heading 2 Char"/>
    <w:qFormat/>
    <w:uiPriority w:val="0"/>
    <w:rPr>
      <w:rFonts w:ascii="Arial" w:hAnsi="Arial" w:eastAsia="黑体"/>
      <w:b/>
      <w:bCs/>
      <w:kern w:val="2"/>
      <w:sz w:val="32"/>
      <w:szCs w:val="32"/>
      <w:lang w:val="en-US" w:eastAsia="zh-CN" w:bidi="ar-SA"/>
    </w:rPr>
  </w:style>
  <w:style w:type="character" w:customStyle="1" w:styleId="190">
    <w:name w:val="批注主题 Char1"/>
    <w:qFormat/>
    <w:uiPriority w:val="0"/>
    <w:rPr>
      <w:rFonts w:ascii="Times New Roman" w:hAnsi="Times New Roman" w:eastAsia="宋体" w:cs="Times New Roman"/>
      <w:b/>
      <w:bCs/>
      <w:szCs w:val="24"/>
    </w:rPr>
  </w:style>
  <w:style w:type="character" w:customStyle="1" w:styleId="191">
    <w:name w:val="Footnote Text Char"/>
    <w:qFormat/>
    <w:uiPriority w:val="0"/>
    <w:rPr>
      <w:rFonts w:eastAsia="宋体"/>
      <w:sz w:val="18"/>
      <w:lang w:val="en-US" w:eastAsia="zh-CN" w:bidi="ar-SA"/>
    </w:rPr>
  </w:style>
  <w:style w:type="character" w:customStyle="1" w:styleId="192">
    <w:name w:val="Variable"/>
    <w:qFormat/>
    <w:uiPriority w:val="0"/>
    <w:rPr>
      <w:i/>
    </w:rPr>
  </w:style>
  <w:style w:type="character" w:customStyle="1" w:styleId="193">
    <w:name w:val="Balloon Text Char"/>
    <w:qFormat/>
    <w:uiPriority w:val="0"/>
    <w:rPr>
      <w:sz w:val="18"/>
      <w:lang w:bidi="ar-SA"/>
    </w:rPr>
  </w:style>
  <w:style w:type="character" w:customStyle="1" w:styleId="194">
    <w:name w:val="引用 Char"/>
    <w:qFormat/>
    <w:uiPriority w:val="0"/>
    <w:rPr>
      <w:i/>
      <w:iCs/>
      <w:color w:val="000000"/>
    </w:rPr>
  </w:style>
  <w:style w:type="paragraph" w:styleId="195">
    <w:name w:val="Quote"/>
    <w:basedOn w:val="1"/>
    <w:next w:val="1"/>
    <w:link w:val="196"/>
    <w:qFormat/>
    <w:uiPriority w:val="0"/>
    <w:rPr>
      <w:i/>
      <w:iCs/>
      <w:color w:val="000000"/>
      <w:kern w:val="0"/>
      <w:sz w:val="20"/>
      <w:szCs w:val="20"/>
    </w:rPr>
  </w:style>
  <w:style w:type="character" w:customStyle="1" w:styleId="196">
    <w:name w:val="引用 Char2"/>
    <w:basedOn w:val="49"/>
    <w:link w:val="195"/>
    <w:qFormat/>
    <w:uiPriority w:val="99"/>
    <w:rPr>
      <w:i/>
      <w:iCs/>
      <w:color w:val="000000"/>
      <w:kern w:val="2"/>
      <w:sz w:val="21"/>
      <w:szCs w:val="24"/>
    </w:rPr>
  </w:style>
  <w:style w:type="character" w:customStyle="1" w:styleId="197">
    <w:name w:val="标题 Char1"/>
    <w:qFormat/>
    <w:uiPriority w:val="0"/>
    <w:rPr>
      <w:rFonts w:ascii="Cambria" w:hAnsi="Cambria" w:eastAsia="宋体" w:cs="Times New Roman"/>
      <w:b/>
      <w:bCs/>
      <w:sz w:val="32"/>
      <w:szCs w:val="32"/>
    </w:rPr>
  </w:style>
  <w:style w:type="character" w:customStyle="1" w:styleId="198">
    <w:name w:val="批注文字 Char Char"/>
    <w:qFormat/>
    <w:uiPriority w:val="0"/>
    <w:rPr>
      <w:rFonts w:ascii="宋体" w:hAnsi="Times New Roman" w:eastAsia="宋体" w:cs="Times New Roman"/>
      <w:sz w:val="28"/>
      <w:szCs w:val="20"/>
    </w:rPr>
  </w:style>
  <w:style w:type="character" w:customStyle="1" w:styleId="199">
    <w:name w:val="批注主题 Char2"/>
    <w:basedOn w:val="200"/>
    <w:qFormat/>
    <w:uiPriority w:val="0"/>
    <w:rPr>
      <w:rFonts w:ascii="宋体"/>
      <w:b/>
      <w:bCs/>
      <w:sz w:val="34"/>
    </w:rPr>
  </w:style>
  <w:style w:type="character" w:customStyle="1" w:styleId="200">
    <w:name w:val="批注文字 Char1"/>
    <w:qFormat/>
    <w:uiPriority w:val="0"/>
    <w:rPr>
      <w:rFonts w:ascii="Times New Roman" w:hAnsi="Times New Roman" w:eastAsia="宋体" w:cs="Times New Roman"/>
      <w:szCs w:val="24"/>
    </w:rPr>
  </w:style>
  <w:style w:type="character" w:customStyle="1" w:styleId="201">
    <w:name w:val="Date Char"/>
    <w:qFormat/>
    <w:uiPriority w:val="0"/>
    <w:rPr>
      <w:rFonts w:eastAsia="宋体"/>
      <w:kern w:val="2"/>
      <w:sz w:val="21"/>
      <w:szCs w:val="24"/>
      <w:lang w:val="en-US" w:eastAsia="zh-CN" w:bidi="ar-SA"/>
    </w:rPr>
  </w:style>
  <w:style w:type="character" w:customStyle="1" w:styleId="202">
    <w:name w:val="Plain Text Char"/>
    <w:qFormat/>
    <w:uiPriority w:val="0"/>
    <w:rPr>
      <w:rFonts w:ascii="宋体" w:hAnsi="Courier New" w:eastAsia="宋体"/>
      <w:sz w:val="24"/>
      <w:lang w:bidi="ar-SA"/>
    </w:rPr>
  </w:style>
  <w:style w:type="character" w:customStyle="1" w:styleId="203">
    <w:name w:val="Document Map Char"/>
    <w:qFormat/>
    <w:uiPriority w:val="0"/>
    <w:rPr>
      <w:rFonts w:eastAsia="宋体"/>
      <w:kern w:val="2"/>
      <w:sz w:val="21"/>
      <w:szCs w:val="24"/>
      <w:lang w:val="en-US" w:eastAsia="zh-CN" w:bidi="ar-SA"/>
    </w:rPr>
  </w:style>
  <w:style w:type="character" w:customStyle="1" w:styleId="204">
    <w:name w:val="Heading 3 Char"/>
    <w:qFormat/>
    <w:uiPriority w:val="0"/>
    <w:rPr>
      <w:rFonts w:cs="Times New Roman"/>
      <w:b/>
      <w:bCs/>
      <w:kern w:val="2"/>
      <w:sz w:val="32"/>
      <w:szCs w:val="32"/>
    </w:rPr>
  </w:style>
  <w:style w:type="character" w:customStyle="1" w:styleId="205">
    <w:name w:val="正文文本 Char1"/>
    <w:qFormat/>
    <w:uiPriority w:val="0"/>
    <w:rPr>
      <w:kern w:val="2"/>
      <w:sz w:val="21"/>
      <w:szCs w:val="22"/>
    </w:rPr>
  </w:style>
  <w:style w:type="character" w:customStyle="1" w:styleId="206">
    <w:name w:val="正文文本缩进 3 Char1"/>
    <w:basedOn w:val="49"/>
    <w:qFormat/>
    <w:uiPriority w:val="0"/>
    <w:rPr>
      <w:kern w:val="2"/>
      <w:sz w:val="16"/>
      <w:szCs w:val="16"/>
    </w:rPr>
  </w:style>
  <w:style w:type="character" w:customStyle="1" w:styleId="207">
    <w:name w:val="标题5 Char Char"/>
    <w:link w:val="208"/>
    <w:qFormat/>
    <w:uiPriority w:val="0"/>
    <w:rPr>
      <w:rFonts w:ascii="Arial" w:hAnsi="Arial"/>
      <w:b/>
      <w:bCs/>
      <w:sz w:val="24"/>
      <w:szCs w:val="32"/>
    </w:rPr>
  </w:style>
  <w:style w:type="paragraph" w:customStyle="1" w:styleId="208">
    <w:name w:val="标题5"/>
    <w:basedOn w:val="4"/>
    <w:link w:val="207"/>
    <w:qFormat/>
    <w:uiPriority w:val="0"/>
    <w:pPr>
      <w:spacing w:line="413" w:lineRule="auto"/>
    </w:pPr>
    <w:rPr>
      <w:rFonts w:ascii="Arial" w:hAnsi="Arial"/>
      <w:bCs/>
      <w:kern w:val="0"/>
      <w:sz w:val="24"/>
      <w:szCs w:val="32"/>
    </w:rPr>
  </w:style>
  <w:style w:type="character" w:customStyle="1" w:styleId="209">
    <w:name w:val="页眉 Char1"/>
    <w:basedOn w:val="49"/>
    <w:qFormat/>
    <w:uiPriority w:val="0"/>
    <w:rPr>
      <w:rFonts w:ascii="宋体"/>
      <w:sz w:val="18"/>
      <w:szCs w:val="18"/>
    </w:rPr>
  </w:style>
  <w:style w:type="paragraph" w:customStyle="1" w:styleId="210">
    <w:name w:val="p0"/>
    <w:basedOn w:val="1"/>
    <w:qFormat/>
    <w:uiPriority w:val="0"/>
    <w:pPr>
      <w:widowControl/>
    </w:pPr>
    <w:rPr>
      <w:rFonts w:ascii="Calibri" w:hAnsi="Calibri" w:cs="宋体"/>
      <w:kern w:val="0"/>
      <w:szCs w:val="21"/>
    </w:rPr>
  </w:style>
  <w:style w:type="paragraph" w:customStyle="1" w:styleId="21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Char Char Char Char Char Char Char"/>
    <w:basedOn w:val="1"/>
    <w:qFormat/>
    <w:uiPriority w:val="0"/>
    <w:pPr>
      <w:widowControl/>
      <w:spacing w:after="160" w:line="240" w:lineRule="exact"/>
      <w:jc w:val="left"/>
    </w:pPr>
  </w:style>
  <w:style w:type="paragraph" w:customStyle="1" w:styleId="213">
    <w:name w:val="菲页1"/>
    <w:basedOn w:val="3"/>
    <w:qFormat/>
    <w:uiPriority w:val="0"/>
    <w:pPr>
      <w:widowControl/>
      <w:spacing w:line="480" w:lineRule="exact"/>
    </w:pPr>
    <w:rPr>
      <w:rFonts w:ascii="黑体" w:hAnsi="宋体" w:eastAsia="黑体"/>
      <w:b w:val="0"/>
      <w:bCs/>
      <w:color w:val="000000"/>
      <w:kern w:val="0"/>
      <w:sz w:val="52"/>
      <w:szCs w:val="32"/>
    </w:rPr>
  </w:style>
  <w:style w:type="paragraph" w:customStyle="1" w:styleId="21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15">
    <w:name w:val="标题 4_0"/>
    <w:basedOn w:val="211"/>
    <w:next w:val="211"/>
    <w:qFormat/>
    <w:uiPriority w:val="0"/>
    <w:pPr>
      <w:keepNext/>
      <w:keepLines/>
      <w:spacing w:before="280" w:after="290" w:line="372" w:lineRule="auto"/>
      <w:outlineLvl w:val="3"/>
    </w:pPr>
    <w:rPr>
      <w:rFonts w:ascii="Cambria" w:hAnsi="Cambria"/>
      <w:b/>
      <w:bCs/>
      <w:sz w:val="28"/>
      <w:szCs w:val="28"/>
    </w:rPr>
  </w:style>
  <w:style w:type="paragraph" w:customStyle="1" w:styleId="216">
    <w:name w:val="2-2ji"/>
    <w:basedOn w:val="3"/>
    <w:qFormat/>
    <w:uiPriority w:val="0"/>
    <w:pPr>
      <w:spacing w:before="0" w:after="0" w:line="360" w:lineRule="auto"/>
    </w:pPr>
    <w:rPr>
      <w:rFonts w:ascii="宋体" w:hAnsi="宋体" w:eastAsia="宋体"/>
      <w:bCs/>
      <w:sz w:val="36"/>
      <w:szCs w:val="24"/>
    </w:rPr>
  </w:style>
  <w:style w:type="paragraph" w:customStyle="1" w:styleId="21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9">
    <w:name w:val="默认段落字体 Para Char Char Char Char"/>
    <w:basedOn w:val="1"/>
    <w:qFormat/>
    <w:uiPriority w:val="0"/>
    <w:rPr>
      <w:rFonts w:ascii="宋体"/>
    </w:rPr>
  </w:style>
  <w:style w:type="paragraph" w:customStyle="1" w:styleId="220">
    <w:name w:val="菲页(卷)"/>
    <w:basedOn w:val="2"/>
    <w:next w:val="218"/>
    <w:qFormat/>
    <w:uiPriority w:val="0"/>
    <w:pPr>
      <w:widowControl/>
      <w:tabs>
        <w:tab w:val="left" w:pos="432"/>
      </w:tabs>
      <w:ind w:left="432" w:hanging="432"/>
      <w:jc w:val="center"/>
      <w:outlineLvl w:val="1"/>
    </w:pPr>
    <w:rPr>
      <w:rFonts w:ascii="黑体" w:eastAsia="黑体"/>
      <w:kern w:val="0"/>
      <w:sz w:val="52"/>
    </w:rPr>
  </w:style>
  <w:style w:type="paragraph" w:customStyle="1" w:styleId="221">
    <w:name w:val="菲页2"/>
    <w:basedOn w:val="4"/>
    <w:qFormat/>
    <w:uiPriority w:val="0"/>
    <w:pPr>
      <w:widowControl/>
      <w:tabs>
        <w:tab w:val="left" w:pos="720"/>
      </w:tabs>
      <w:spacing w:before="120" w:after="120" w:line="360" w:lineRule="auto"/>
      <w:ind w:left="720" w:hanging="720"/>
      <w:jc w:val="center"/>
    </w:pPr>
    <w:rPr>
      <w:rFonts w:ascii="黑体" w:hAnsi="宋体" w:eastAsia="黑体"/>
      <w:b w:val="0"/>
      <w:kern w:val="0"/>
      <w:sz w:val="44"/>
    </w:rPr>
  </w:style>
  <w:style w:type="paragraph" w:customStyle="1" w:styleId="222">
    <w:name w:val="列出段落1"/>
    <w:basedOn w:val="1"/>
    <w:qFormat/>
    <w:uiPriority w:val="0"/>
    <w:pPr>
      <w:ind w:firstLine="420" w:firstLineChars="200"/>
    </w:pPr>
    <w:rPr>
      <w:rFonts w:ascii="Calibri" w:hAnsi="Calibri"/>
      <w:szCs w:val="22"/>
    </w:rPr>
  </w:style>
  <w:style w:type="paragraph" w:customStyle="1" w:styleId="2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34"/>
      <w:szCs w:val="20"/>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目录文字"/>
    <w:basedOn w:val="1"/>
    <w:qFormat/>
    <w:uiPriority w:val="0"/>
    <w:pPr>
      <w:widowControl/>
      <w:spacing w:line="480" w:lineRule="auto"/>
      <w:jc w:val="left"/>
    </w:pPr>
    <w:rPr>
      <w:rFonts w:ascii="宋体" w:hAnsi="宋体"/>
      <w:kern w:val="0"/>
      <w:sz w:val="24"/>
      <w:szCs w:val="20"/>
    </w:rPr>
  </w:style>
  <w:style w:type="paragraph" w:customStyle="1" w:styleId="2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
    <w:name w:val="1"/>
    <w:basedOn w:val="1"/>
    <w:next w:val="1"/>
    <w:qFormat/>
    <w:uiPriority w:val="0"/>
  </w:style>
  <w:style w:type="paragraph" w:customStyle="1" w:styleId="22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29">
    <w:name w:val="标题 3_0"/>
    <w:basedOn w:val="211"/>
    <w:next w:val="211"/>
    <w:qFormat/>
    <w:uiPriority w:val="0"/>
    <w:pPr>
      <w:keepNext/>
      <w:keepLines/>
      <w:spacing w:before="260" w:after="260" w:line="413" w:lineRule="auto"/>
      <w:outlineLvl w:val="2"/>
    </w:pPr>
    <w:rPr>
      <w:rFonts w:ascii="Times New Roman" w:hAnsi="Times New Roman"/>
      <w:b/>
      <w:bCs/>
      <w:sz w:val="32"/>
      <w:szCs w:val="32"/>
    </w:rPr>
  </w:style>
  <w:style w:type="paragraph" w:customStyle="1" w:styleId="230">
    <w:name w:val="_Style 229"/>
    <w:qFormat/>
    <w:uiPriority w:val="0"/>
    <w:rPr>
      <w:rFonts w:ascii="Times New Roman" w:hAnsi="Times New Roman" w:eastAsia="宋体" w:cs="Times New Roman"/>
      <w:kern w:val="2"/>
      <w:sz w:val="21"/>
      <w:szCs w:val="24"/>
      <w:lang w:val="en-US" w:eastAsia="zh-CN" w:bidi="ar-SA"/>
    </w:rPr>
  </w:style>
  <w:style w:type="paragraph" w:customStyle="1" w:styleId="231">
    <w:name w:val="正文缩进_0"/>
    <w:basedOn w:val="232"/>
    <w:qFormat/>
    <w:uiPriority w:val="0"/>
    <w:pPr>
      <w:widowControl w:val="0"/>
      <w:ind w:firstLine="420"/>
      <w:jc w:val="both"/>
    </w:pPr>
    <w:rPr>
      <w:kern w:val="2"/>
      <w:u w:val="single"/>
    </w:rPr>
  </w:style>
  <w:style w:type="paragraph" w:customStyle="1" w:styleId="232">
    <w:name w:val="正文_1"/>
    <w:qFormat/>
    <w:uiPriority w:val="0"/>
    <w:rPr>
      <w:rFonts w:ascii="Times New Roman" w:hAnsi="Times New Roman" w:eastAsia="宋体" w:cs="Times New Roman"/>
      <w:sz w:val="21"/>
      <w:szCs w:val="22"/>
      <w:lang w:val="en-US" w:eastAsia="zh-CN" w:bidi="ar-SA"/>
    </w:rPr>
  </w:style>
  <w:style w:type="paragraph" w:customStyle="1" w:styleId="233">
    <w:name w:val="TOC 标题1"/>
    <w:basedOn w:val="2"/>
    <w:next w:val="1"/>
    <w:qFormat/>
    <w:uiPriority w:val="0"/>
    <w:pPr>
      <w:keepLines/>
      <w:tabs>
        <w:tab w:val="left" w:pos="432"/>
      </w:tabs>
      <w:spacing w:before="340" w:after="330" w:line="576" w:lineRule="auto"/>
      <w:outlineLvl w:val="9"/>
    </w:pPr>
    <w:rPr>
      <w:rFonts w:ascii="Calibri" w:hAnsi="Calibri" w:eastAsia="宋体"/>
      <w:b/>
      <w:bCs/>
      <w:kern w:val="44"/>
      <w:sz w:val="44"/>
      <w:szCs w:val="44"/>
    </w:rPr>
  </w:style>
  <w:style w:type="paragraph" w:customStyle="1" w:styleId="234">
    <w:name w:val="目录"/>
    <w:basedOn w:val="1"/>
    <w:qFormat/>
    <w:uiPriority w:val="0"/>
    <w:pPr>
      <w:widowControl/>
      <w:jc w:val="center"/>
    </w:pPr>
    <w:rPr>
      <w:rFonts w:ascii="宋体"/>
      <w:b/>
      <w:kern w:val="0"/>
      <w:sz w:val="36"/>
      <w:szCs w:val="20"/>
    </w:rPr>
  </w:style>
  <w:style w:type="paragraph" w:customStyle="1" w:styleId="235">
    <w:name w:val="样式1"/>
    <w:basedOn w:val="1"/>
    <w:next w:val="5"/>
    <w:qFormat/>
    <w:uiPriority w:val="0"/>
    <w:pPr>
      <w:spacing w:line="360" w:lineRule="auto"/>
      <w:ind w:firstLine="420" w:firstLineChars="200"/>
    </w:pPr>
    <w:rPr>
      <w:rFonts w:ascii="宋体" w:hAnsi="宋体"/>
      <w:szCs w:val="21"/>
    </w:rPr>
  </w:style>
  <w:style w:type="paragraph" w:customStyle="1" w:styleId="236">
    <w:name w:val="标题 1_0"/>
    <w:basedOn w:val="211"/>
    <w:next w:val="211"/>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237">
    <w:name w:val="TOC 标题_0"/>
    <w:basedOn w:val="236"/>
    <w:next w:val="211"/>
    <w:qFormat/>
    <w:uiPriority w:val="0"/>
    <w:pPr>
      <w:outlineLvl w:val="9"/>
    </w:pPr>
    <w:rPr>
      <w:rFonts w:ascii="Calibri" w:hAnsi="Calibri"/>
    </w:rPr>
  </w:style>
  <w:style w:type="paragraph" w:customStyle="1" w:styleId="23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9">
    <w:name w:val="正文文本_0"/>
    <w:basedOn w:val="211"/>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40">
    <w:name w:val="样式 标题 3 + (中文) 黑体 小四 非加粗 段前: 7.8 磅 段后: 0 磅 行距: 固定值 20 磅"/>
    <w:basedOn w:val="4"/>
    <w:qFormat/>
    <w:uiPriority w:val="0"/>
    <w:pPr>
      <w:spacing w:before="0" w:after="0" w:line="400" w:lineRule="exact"/>
    </w:pPr>
    <w:rPr>
      <w:rFonts w:eastAsia="黑体" w:cs="宋体"/>
      <w:b w:val="0"/>
      <w:sz w:val="21"/>
    </w:rPr>
  </w:style>
  <w:style w:type="paragraph" w:customStyle="1" w:styleId="241">
    <w:name w:val="_Style 37"/>
    <w:basedOn w:val="1"/>
    <w:next w:val="1"/>
    <w:qFormat/>
    <w:uiPriority w:val="0"/>
  </w:style>
  <w:style w:type="paragraph" w:customStyle="1" w:styleId="242">
    <w:name w:val="Char1"/>
    <w:basedOn w:val="1"/>
    <w:qFormat/>
    <w:uiPriority w:val="0"/>
    <w:pPr>
      <w:widowControl/>
      <w:spacing w:after="160" w:line="240" w:lineRule="exact"/>
      <w:jc w:val="left"/>
    </w:pPr>
  </w:style>
  <w:style w:type="paragraph" w:customStyle="1" w:styleId="24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rPr>
  </w:style>
  <w:style w:type="paragraph" w:customStyle="1" w:styleId="244">
    <w:name w:val="flType"/>
    <w:basedOn w:val="1"/>
    <w:qFormat/>
    <w:uiPriority w:val="0"/>
    <w:pPr>
      <w:adjustRightInd w:val="0"/>
      <w:spacing w:after="284" w:line="113" w:lineRule="atLeast"/>
      <w:jc w:val="center"/>
    </w:pPr>
    <w:rPr>
      <w:rFonts w:ascii="宋体"/>
      <w:kern w:val="0"/>
      <w:sz w:val="24"/>
      <w:szCs w:val="20"/>
    </w:rPr>
  </w:style>
  <w:style w:type="paragraph" w:customStyle="1" w:styleId="245">
    <w:name w:val="Blockquote"/>
    <w:basedOn w:val="1"/>
    <w:qFormat/>
    <w:uiPriority w:val="0"/>
    <w:pPr>
      <w:autoSpaceDE w:val="0"/>
      <w:autoSpaceDN w:val="0"/>
      <w:adjustRightInd w:val="0"/>
      <w:spacing w:before="100" w:after="100"/>
      <w:ind w:left="360" w:right="360"/>
      <w:jc w:val="left"/>
    </w:pPr>
    <w:rPr>
      <w:rFonts w:ascii="宋体"/>
      <w:kern w:val="0"/>
      <w:sz w:val="24"/>
      <w:szCs w:val="20"/>
    </w:rPr>
  </w:style>
  <w:style w:type="paragraph" w:customStyle="1" w:styleId="246">
    <w:name w:val="_Style 245"/>
    <w:basedOn w:val="2"/>
    <w:next w:val="1"/>
    <w:qFormat/>
    <w:uiPriority w:val="0"/>
    <w:pPr>
      <w:keepLines/>
      <w:spacing w:before="340" w:after="330" w:line="576" w:lineRule="auto"/>
      <w:outlineLvl w:val="9"/>
    </w:pPr>
    <w:rPr>
      <w:rFonts w:ascii="Calibri" w:hAnsi="Calibri" w:eastAsia="黑体"/>
      <w:b/>
      <w:bCs/>
      <w:kern w:val="44"/>
      <w:sz w:val="44"/>
      <w:szCs w:val="44"/>
    </w:rPr>
  </w:style>
  <w:style w:type="paragraph" w:customStyle="1" w:styleId="247">
    <w:name w:val="标题_0"/>
    <w:basedOn w:val="232"/>
    <w:qFormat/>
    <w:uiPriority w:val="0"/>
    <w:pPr>
      <w:spacing w:before="120" w:after="120" w:line="360" w:lineRule="auto"/>
      <w:jc w:val="center"/>
      <w:outlineLvl w:val="0"/>
    </w:pPr>
    <w:rPr>
      <w:rFonts w:ascii="黑体" w:hAnsi="Arial" w:eastAsia="黑体"/>
      <w:b/>
      <w:bCs/>
      <w:kern w:val="2"/>
      <w:sz w:val="32"/>
      <w:szCs w:val="32"/>
    </w:rPr>
  </w:style>
  <w:style w:type="paragraph" w:customStyle="1" w:styleId="248">
    <w:name w:val="Address"/>
    <w:basedOn w:val="1"/>
    <w:next w:val="1"/>
    <w:qFormat/>
    <w:uiPriority w:val="0"/>
    <w:pPr>
      <w:autoSpaceDE w:val="0"/>
      <w:autoSpaceDN w:val="0"/>
      <w:adjustRightInd w:val="0"/>
      <w:jc w:val="left"/>
    </w:pPr>
    <w:rPr>
      <w:i/>
      <w:kern w:val="0"/>
      <w:sz w:val="24"/>
      <w:szCs w:val="20"/>
    </w:rPr>
  </w:style>
  <w:style w:type="character" w:customStyle="1" w:styleId="249">
    <w:name w:val="批注框文本 Char2"/>
    <w:qFormat/>
    <w:uiPriority w:val="0"/>
    <w:rPr>
      <w:kern w:val="2"/>
      <w:sz w:val="18"/>
      <w:szCs w:val="18"/>
    </w:rPr>
  </w:style>
  <w:style w:type="character" w:customStyle="1" w:styleId="250">
    <w:name w:val="Char Char1"/>
    <w:qFormat/>
    <w:uiPriority w:val="0"/>
    <w:rPr>
      <w:rFonts w:ascii="宋体" w:hAnsi="Courier New" w:eastAsia="宋体"/>
      <w:kern w:val="2"/>
      <w:sz w:val="21"/>
      <w:lang w:val="en-US" w:eastAsia="zh-CN" w:bidi="ar-SA"/>
    </w:rPr>
  </w:style>
  <w:style w:type="character" w:customStyle="1" w:styleId="251">
    <w:name w:val="Char Char27"/>
    <w:qFormat/>
    <w:uiPriority w:val="0"/>
    <w:rPr>
      <w:rFonts w:eastAsia="黑体"/>
      <w:b/>
      <w:bCs/>
      <w:kern w:val="2"/>
      <w:sz w:val="21"/>
      <w:szCs w:val="32"/>
      <w:lang w:bidi="ar-SA"/>
    </w:rPr>
  </w:style>
  <w:style w:type="character" w:customStyle="1" w:styleId="252">
    <w:name w:val="Char Char29"/>
    <w:qFormat/>
    <w:uiPriority w:val="0"/>
    <w:rPr>
      <w:rFonts w:eastAsia="黑体"/>
      <w:b/>
      <w:bCs/>
      <w:kern w:val="44"/>
      <w:sz w:val="32"/>
      <w:szCs w:val="44"/>
      <w:lang w:bidi="ar-SA"/>
    </w:rPr>
  </w:style>
  <w:style w:type="character" w:customStyle="1" w:styleId="253">
    <w:name w:val="Char Char28"/>
    <w:qFormat/>
    <w:uiPriority w:val="0"/>
    <w:rPr>
      <w:rFonts w:ascii="Arial" w:hAnsi="Arial" w:eastAsia="黑体"/>
      <w:b/>
      <w:bCs/>
      <w:kern w:val="2"/>
      <w:sz w:val="21"/>
      <w:szCs w:val="32"/>
      <w:lang w:bidi="ar-SA"/>
    </w:rPr>
  </w:style>
  <w:style w:type="character" w:customStyle="1" w:styleId="254">
    <w:name w:val="apple-converted-space"/>
    <w:basedOn w:val="49"/>
    <w:qFormat/>
    <w:uiPriority w:val="0"/>
  </w:style>
  <w:style w:type="character" w:customStyle="1" w:styleId="255">
    <w:name w:val="bigfont"/>
    <w:basedOn w:val="49"/>
    <w:qFormat/>
    <w:uiPriority w:val="0"/>
  </w:style>
  <w:style w:type="character" w:customStyle="1" w:styleId="256">
    <w:name w:val="正文文本 3 Char1"/>
    <w:basedOn w:val="49"/>
    <w:qFormat/>
    <w:uiPriority w:val="0"/>
    <w:rPr>
      <w:kern w:val="2"/>
      <w:sz w:val="16"/>
      <w:szCs w:val="16"/>
    </w:rPr>
  </w:style>
  <w:style w:type="paragraph" w:customStyle="1" w:styleId="257">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8">
    <w:name w:val="reader-word-layer reader-word-s11-9"/>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reader-word-layer reader-word-s1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reader-word-layer reader-word-s12-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reader-word-layer reader-word-s12-12 reader-word-s12-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reader-word-layer reader-word-s10-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Char Char Char1"/>
    <w:basedOn w:val="1"/>
    <w:qFormat/>
    <w:uiPriority w:val="0"/>
    <w:rPr>
      <w:rFonts w:ascii="Tahoma" w:hAnsi="Tahoma"/>
      <w:sz w:val="24"/>
      <w:szCs w:val="20"/>
    </w:rPr>
  </w:style>
  <w:style w:type="paragraph" w:customStyle="1" w:styleId="264">
    <w:name w:val="Char Char Char"/>
    <w:basedOn w:val="1"/>
    <w:qFormat/>
    <w:uiPriority w:val="0"/>
    <w:rPr>
      <w:rFonts w:ascii="Tahoma" w:hAnsi="Tahoma"/>
      <w:sz w:val="24"/>
      <w:szCs w:val="20"/>
    </w:rPr>
  </w:style>
  <w:style w:type="paragraph" w:customStyle="1" w:styleId="265">
    <w:name w:val="Char Char Char2"/>
    <w:basedOn w:val="1"/>
    <w:qFormat/>
    <w:uiPriority w:val="0"/>
    <w:rPr>
      <w:rFonts w:ascii="Tahoma" w:hAnsi="Tahoma"/>
      <w:sz w:val="24"/>
      <w:szCs w:val="20"/>
    </w:rPr>
  </w:style>
  <w:style w:type="paragraph" w:customStyle="1" w:styleId="266">
    <w:name w:val="xl2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7">
    <w:name w:val="reader-word-layer reader-word-s10-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8">
    <w:name w:val="reader-word-layer reader-word-s12-0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9">
    <w:name w:val="reader-word-layer reader-word-s10-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70">
    <w:name w:val="Text under heading"/>
    <w:basedOn w:val="1"/>
    <w:qFormat/>
    <w:uiPriority w:val="0"/>
    <w:pPr>
      <w:tabs>
        <w:tab w:val="right" w:pos="1200"/>
        <w:tab w:val="right" w:pos="2400"/>
        <w:tab w:val="right" w:pos="4800"/>
        <w:tab w:val="right" w:pos="7200"/>
        <w:tab w:val="right" w:pos="9600"/>
      </w:tabs>
      <w:spacing w:beforeLines="100" w:afterLines="100"/>
      <w:ind w:left="851"/>
      <w:jc w:val="left"/>
    </w:pPr>
    <w:rPr>
      <w:rFonts w:ascii="Century Gothic" w:hAnsi="Century Gothic" w:cs="Century Gothic"/>
      <w:sz w:val="20"/>
      <w:szCs w:val="20"/>
      <w:lang w:eastAsia="en-US"/>
    </w:rPr>
  </w:style>
  <w:style w:type="paragraph" w:customStyle="1" w:styleId="271">
    <w:name w:val="reader-word-layer reader-word-s1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2">
    <w:name w:val="reader-word-layer reader-word-s1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reader-word-layer reader-word-s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reader-word-layer reader-word-s11-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reader-word-layer reader-word-s1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reader-word-layer reader-word-s12-0 reader-word-s1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reader-word-layer reader-word-s1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reader-word-layer reader-word-s12-9"/>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reader-word-layer reader-word-s10-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reader-word-layer reader-word-s10-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reader-word-layer reader-word-s12-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83">
    <w:name w:val="reader-word-layer reader-word-s1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
    <w:name w:val="reader-word-layer reader-word-s12-0 reader-word-s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285">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reader-word-layer reader-word-s12-0 reader-word-s1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reader-word-layer reader-word-s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88">
    <w:name w:val="reader-word-layer reader-word-s1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9">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reader-word-layer reader-word-s1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91">
    <w:name w:val="reader-word-layer reader-word-s1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2">
    <w:name w:val="默认段落字体 Para Char"/>
    <w:basedOn w:val="1"/>
    <w:qFormat/>
    <w:uiPriority w:val="0"/>
    <w:pPr>
      <w:spacing w:line="360" w:lineRule="auto"/>
      <w:ind w:firstLine="200" w:firstLineChars="200"/>
    </w:pPr>
    <w:rPr>
      <w:rFonts w:ascii="宋体" w:hAnsi="宋体" w:cs="宋体"/>
      <w:sz w:val="24"/>
    </w:rPr>
  </w:style>
  <w:style w:type="paragraph" w:customStyle="1" w:styleId="293">
    <w:name w:val="样式 标题3 + 宋体"/>
    <w:basedOn w:val="1"/>
    <w:qFormat/>
    <w:uiPriority w:val="0"/>
    <w:pPr>
      <w:spacing w:before="120" w:after="120" w:line="560" w:lineRule="exact"/>
      <w:jc w:val="left"/>
      <w:outlineLvl w:val="2"/>
    </w:pPr>
    <w:rPr>
      <w:rFonts w:ascii="宋体" w:hAnsi="宋体" w:cs="Arial"/>
      <w:b/>
      <w:bCs/>
      <w:sz w:val="28"/>
      <w:szCs w:val="32"/>
    </w:rPr>
  </w:style>
  <w:style w:type="paragraph" w:customStyle="1" w:styleId="294">
    <w:name w:val="reader-word-layer reader-word-s11-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p19"/>
    <w:basedOn w:val="1"/>
    <w:qFormat/>
    <w:uiPriority w:val="0"/>
    <w:pPr>
      <w:spacing w:line="399" w:lineRule="atLeast"/>
      <w:jc w:val="left"/>
    </w:pPr>
    <w:rPr>
      <w:rFonts w:ascii="Calibri" w:hAnsi="Calibri"/>
      <w:color w:val="050505"/>
      <w:kern w:val="0"/>
      <w:sz w:val="27"/>
      <w:szCs w:val="27"/>
    </w:rPr>
  </w:style>
  <w:style w:type="table" w:customStyle="1" w:styleId="296">
    <w:name w:val="网格型1"/>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7">
    <w:name w:val="正文缩进1"/>
    <w:basedOn w:val="1"/>
    <w:qFormat/>
    <w:uiPriority w:val="99"/>
    <w:pPr>
      <w:autoSpaceDE w:val="0"/>
      <w:autoSpaceDN w:val="0"/>
      <w:ind w:firstLine="420"/>
      <w:jc w:val="left"/>
    </w:pPr>
    <w:rPr>
      <w:sz w:val="24"/>
    </w:rPr>
  </w:style>
  <w:style w:type="table" w:customStyle="1" w:styleId="29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44</Pages>
  <Words>27212</Words>
  <Characters>29303</Characters>
  <Lines>228</Lines>
  <Paragraphs>64</Paragraphs>
  <TotalTime>30</TotalTime>
  <ScaleCrop>false</ScaleCrop>
  <LinksUpToDate>false</LinksUpToDate>
  <CharactersWithSpaces>30591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2024-03-15T04:40:00Z</dcterms:created>
  <dc:creator>cgzx</dc:creator>
  <cp:lastModifiedBy>易明</cp:lastModifiedBy>
  <cp:lastPrinted>2010-03-25T08:30:00Z</cp:lastPrinted>
  <dcterms:modified xsi:type="dcterms:W3CDTF">2025-09-23T07:55:58Z</dcterms:modified>
  <dc:title>总  目  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6FFD00A6CD3845F5BCEA5A75F56EBC86_13</vt:lpwstr>
  </property>
  <property fmtid="{D5CDD505-2E9C-101B-9397-08002B2CF9AE}" pid="4" name="KSOTemplateDocerSaveRecord">
    <vt:lpwstr>eyJoZGlkIjoiNDU1YjE0YWRjNGIwZGQ3NDFkNWM2NDRkZWJkNGEzYjkiLCJ1c2VySWQiOiI2ODg0MTg4MjEifQ==</vt:lpwstr>
  </property>
</Properties>
</file>