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</w:rPr>
        <w:t>关于组织申报通州区知识产权保护明星企业项目（第</w:t>
      </w: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</w:rPr>
        <w:t>批）的通知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312" w:beforeLines="100" w:line="560" w:lineRule="exact"/>
        <w:jc w:val="left"/>
        <w:textAlignment w:val="auto"/>
        <w:rPr>
          <w:rFonts w:hint="eastAsia" w:ascii="方正仿宋_GBK" w:eastAsia="方正仿宋_GBK"/>
          <w:color w:val="000000"/>
          <w:kern w:val="0"/>
          <w:sz w:val="31"/>
          <w:szCs w:val="31"/>
        </w:rPr>
      </w:pP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南通高新区管委会，各镇（街道）人民政府（办事处），</w:t>
      </w:r>
      <w:r>
        <w:rPr>
          <w:rFonts w:hint="eastAsia" w:ascii="方正仿宋_GBK" w:eastAsia="方正仿宋_GBK"/>
          <w:color w:val="000000"/>
          <w:kern w:val="0"/>
          <w:sz w:val="31"/>
          <w:szCs w:val="31"/>
          <w:lang w:eastAsia="zh-CN"/>
        </w:rPr>
        <w:t>各相关企业</w:t>
      </w: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</w:rPr>
        <w:t>为贯彻落实《知识产权强国建设纲要（2021-2035年）》《江苏省知识产权强省建设纲要（2021-2035年）》，根据《通州区江苏省知识产权保护示范区建设工作方案（2022-2025年）》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</w:rPr>
        <w:t>文件精神，为全方位推进通州区企业知识产权保护工作，形成一批知识产权风险防范能力强，知识产权综合实力突出，具有行业影响力和示范引领作用的企业，我局拟组织开展通州区知识产权保护明星企业项目（第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</w:rPr>
        <w:t>批）申报认定，现将有关事项通知如下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  <w:shd w:val="clear" w:color="auto" w:fill="FFFFFF"/>
        </w:rPr>
        <w:t>一、申报对象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仿宋_GBK" w:eastAsia="方正仿宋_GBK"/>
          <w:color w:val="000000"/>
          <w:kern w:val="0"/>
          <w:sz w:val="31"/>
          <w:szCs w:val="31"/>
          <w:lang w:eastAsia="zh-CN"/>
        </w:rPr>
      </w:pP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本区注册的具有独立法人资格的企业</w:t>
      </w:r>
      <w:r>
        <w:rPr>
          <w:rFonts w:hint="eastAsia" w:ascii="方正仿宋_GBK" w:eastAsia="方正仿宋_GBK"/>
          <w:color w:val="000000"/>
          <w:kern w:val="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kern w:val="0"/>
          <w:sz w:val="32"/>
          <w:szCs w:val="32"/>
          <w:shd w:val="clear" w:color="auto" w:fill="FFFFFF"/>
        </w:rPr>
        <w:t>二、申报条件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方正仿宋_GBK" w:eastAsia="方正仿宋_GBK"/>
          <w:color w:val="000000"/>
          <w:sz w:val="31"/>
          <w:szCs w:val="31"/>
        </w:rPr>
      </w:pP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>1.具有良好的知识产权工作基础，已开展企业知识产权管理标准化工作，知识产权管理制度健全，设立知识产权管理机构，知识产权专兼职管理人员不少于3人</w:t>
      </w:r>
      <w:r>
        <w:rPr>
          <w:rFonts w:hint="eastAsia" w:ascii="方正仿宋_GBK" w:eastAsia="方正仿宋_GBK"/>
          <w:color w:val="000000"/>
          <w:sz w:val="31"/>
          <w:szCs w:val="31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方正仿宋_GBK" w:eastAsia="方正仿宋_GBK"/>
          <w:color w:val="auto"/>
          <w:sz w:val="31"/>
          <w:szCs w:val="31"/>
        </w:rPr>
      </w:pP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>2.重视技术创新，上一年度研发投入占营业收入比例达3%以上，拥有有效专利不少</w:t>
      </w: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于30件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或</w:t>
      </w: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有效发明专利不少于10件</w:t>
      </w:r>
      <w:r>
        <w:rPr>
          <w:rFonts w:hint="eastAsia" w:ascii="方正仿宋_GBK" w:eastAsia="方正仿宋_GBK"/>
          <w:color w:val="auto"/>
          <w:sz w:val="31"/>
          <w:szCs w:val="31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3.经营状况良好，原则上202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年度实现盈利；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方正仿宋_GBK" w:eastAsia="方正仿宋_GBK"/>
          <w:color w:val="auto"/>
          <w:sz w:val="31"/>
          <w:szCs w:val="31"/>
        </w:rPr>
      </w:pP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4.企业重视知识产权保护工作，建立知识产权侵权预警、维权体系和风险防范工作机制</w:t>
      </w:r>
      <w:r>
        <w:rPr>
          <w:rFonts w:hint="eastAsia" w:ascii="方正仿宋_GBK" w:eastAsia="方正仿宋_GBK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方正仿宋_GBK" w:eastAsia="方正仿宋_GBK"/>
          <w:color w:val="auto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5.</w:t>
      </w:r>
      <w:r>
        <w:rPr>
          <w:rFonts w:hint="eastAsia" w:ascii="方正仿宋_GBK" w:eastAsia="方正仿宋_GBK"/>
          <w:color w:val="auto"/>
          <w:sz w:val="31"/>
          <w:szCs w:val="31"/>
          <w:lang w:val="en-US" w:eastAsia="zh-CN"/>
        </w:rPr>
        <w:t>已获得通州区知识产权保护明星企业认定的企业不再参与申报。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  <w:t>三、评定程序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（一）自主申报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本项目采用推荐方式申报，由南通高新区、各镇（街道）市场监管分局作为推荐单位推荐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，推荐名额见附件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申报单位填写申报表，同时附上有关证明材料，向推荐单位提出申报。申报材料严禁弄虚作假，一经发现，取消申报资格或项目承担资格，并将不良记录记入公共信用信息系统。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（二）审核推荐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市场监管分局负责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申请业务的指导、材料受理工作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，将符合条件的企业申报资料送区市场监管局（知识产权局）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（三）评审认定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材料受理后，我局将组织专家评审，经局党组核准、公示无异议后，确定认定单位名单。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（四）政策支持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对认定的通州区知识产权保护明星企业，每家拨付资金</w:t>
      </w:r>
      <w:r>
        <w:rPr>
          <w:rFonts w:hint="eastAsia"/>
          <w:color w:val="auto"/>
          <w:sz w:val="32"/>
          <w:szCs w:val="32"/>
        </w:rPr>
        <w:t>5</w:t>
      </w:r>
      <w:r>
        <w:rPr>
          <w:rFonts w:hint="eastAsia" w:ascii="方正仿宋_GBK" w:eastAsia="方正仿宋_GBK"/>
          <w:color w:val="auto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eastAsia="方正仿宋_GBK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/>
          <w:sz w:val="32"/>
          <w:szCs w:val="32"/>
        </w:rPr>
        <w:t>项目验收。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获评企业根据区市场监督管理局（知识产权局）要求，在</w:t>
      </w:r>
      <w:r>
        <w:rPr>
          <w:rFonts w:hint="eastAsia" w:eastAsia="方正仿宋_GBK"/>
          <w:sz w:val="32"/>
          <w:szCs w:val="32"/>
          <w:lang w:val="en-US" w:eastAsia="zh-CN"/>
        </w:rPr>
        <w:t>1年后围绕绩效目标</w:t>
      </w:r>
      <w:r>
        <w:rPr>
          <w:rFonts w:hint="default" w:eastAsia="方正仿宋_GBK"/>
          <w:sz w:val="32"/>
          <w:szCs w:val="32"/>
        </w:rPr>
        <w:t>提交项目总结报告</w:t>
      </w:r>
      <w:r>
        <w:rPr>
          <w:rFonts w:hint="eastAsia" w:eastAsia="方正仿宋_GBK"/>
          <w:sz w:val="32"/>
          <w:szCs w:val="32"/>
          <w:lang w:val="en-US" w:eastAsia="zh-CN"/>
        </w:rPr>
        <w:t>以及项目资金使用情况，单笔支出超过2万的需要提供发票及合同</w:t>
      </w:r>
      <w:r>
        <w:rPr>
          <w:rFonts w:hint="default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四、绩效目标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（一）企业知识产权保护意识进一步提升、知识产权保护机制进一步完善，维权能力进一步增强。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（二）深入贯彻实施企业知识产权管理规范，通过贯标省绩效评价或第三方认证并保持持续运行。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（三）重视知识产权创造，年度新增发明专利申请比上一年度增加10%。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（四）与知识产权优质服务机构建立紧密的合作关系。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eastAsia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（五）围绕企业核心知识产权，加强市场监测，对发现的侵权行为有效应对，形成知识产权维权案例，发挥示范引领作用。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  <w:t>、材料清单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1.</w:t>
      </w:r>
      <w:r>
        <w:rPr>
          <w:rFonts w:ascii="方正仿宋_GBK" w:hAnsi="Times New Roman" w:eastAsia="方正仿宋_GBK"/>
          <w:color w:val="auto"/>
          <w:sz w:val="32"/>
          <w:szCs w:val="32"/>
        </w:rPr>
        <w:t>营业执照复印件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2.</w:t>
      </w:r>
      <w:r>
        <w:rPr>
          <w:rFonts w:ascii="方正仿宋_GBK" w:hAnsi="Times New Roman" w:eastAsia="方正仿宋_GBK"/>
          <w:color w:val="auto"/>
          <w:sz w:val="32"/>
          <w:szCs w:val="32"/>
        </w:rPr>
        <w:t>信用承诺书（见附件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ascii="方正仿宋_GBK" w:hAnsi="Times New Roman" w:eastAsia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3.</w:t>
      </w:r>
      <w:r>
        <w:rPr>
          <w:rFonts w:ascii="方正仿宋_GBK" w:hAnsi="Times New Roman" w:eastAsia="方正仿宋_GBK"/>
          <w:color w:val="auto"/>
          <w:sz w:val="32"/>
          <w:szCs w:val="32"/>
        </w:rPr>
        <w:t>通州区知识产权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保护明星企业</w:t>
      </w:r>
      <w:r>
        <w:rPr>
          <w:rFonts w:ascii="方正仿宋_GBK" w:hAnsi="Times New Roman" w:eastAsia="方正仿宋_GBK"/>
          <w:color w:val="auto"/>
          <w:sz w:val="32"/>
          <w:szCs w:val="32"/>
        </w:rPr>
        <w:t>认定申请表（见附件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ascii="方正仿宋_GBK" w:hAnsi="Times New Roman" w:eastAsia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企业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知识产权战略规划文件、专兼职管理人员任命书、知识产权专业人员资质证明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5.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知识产权贯标相关证明材料复印件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6.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有效注册商标、有效专利、版权清单等证明文件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7.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已经实施的知识产权管理制度复印件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8.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专利数据库使用证明材料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9.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知识产权运营情况证明材料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10.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知识产权纠纷应对证明材料；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11.202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年度单位财务报表，知识产权经费投入、研发经费投入证明材料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12.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单位相关荣誉证明材料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方正黑体_GBK" w:eastAsia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  <w:t>、工作要求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1.</w:t>
      </w:r>
      <w:r>
        <w:rPr>
          <w:rFonts w:hint="eastAsia" w:eastAsia="方正仿宋_GBK"/>
          <w:color w:val="000000"/>
          <w:sz w:val="32"/>
          <w:szCs w:val="32"/>
        </w:rPr>
        <w:t>项目申报单位登录“万事好通</w:t>
      </w:r>
      <w:r>
        <w:rPr>
          <w:rFonts w:hint="eastAsia" w:ascii="宋体" w:hAnsi="宋体" w:cs="宋体"/>
          <w:color w:val="000000"/>
          <w:sz w:val="32"/>
          <w:szCs w:val="32"/>
        </w:rPr>
        <w:t>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惠企通”（网址</w:t>
      </w:r>
      <w:r>
        <w:rPr>
          <w:rFonts w:hint="eastAsia" w:eastAsia="方正仿宋_GBK"/>
          <w:color w:val="000000"/>
          <w:sz w:val="32"/>
          <w:szCs w:val="32"/>
        </w:rPr>
        <w:t>https://hqt.nantong.gov.cn）进行网上注册填报，组织好申报材料，签订信用承诺书，并将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申请表</w:t>
      </w:r>
      <w:r>
        <w:rPr>
          <w:rFonts w:hint="eastAsia" w:eastAsia="方正仿宋_GBK"/>
          <w:color w:val="000000"/>
          <w:sz w:val="32"/>
          <w:szCs w:val="32"/>
        </w:rPr>
        <w:t>及附件PDF件上传。同时，将项目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申请表</w:t>
      </w:r>
      <w:r>
        <w:rPr>
          <w:rFonts w:hint="eastAsia" w:eastAsia="方正仿宋_GBK"/>
          <w:color w:val="000000"/>
          <w:sz w:val="32"/>
          <w:szCs w:val="32"/>
        </w:rPr>
        <w:t>用A4纸打印，加盖单位公章后，按项目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申请表</w:t>
      </w:r>
      <w:r>
        <w:rPr>
          <w:rFonts w:hint="eastAsia" w:eastAsia="方正仿宋_GBK"/>
          <w:color w:val="000000"/>
          <w:sz w:val="32"/>
          <w:szCs w:val="32"/>
        </w:rPr>
        <w:t>、附件材料顺序装订成册，一式两份（纸质封面，平装订）提交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属地市场监管分局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2.</w:t>
      </w:r>
      <w:r>
        <w:rPr>
          <w:rFonts w:hint="default" w:eastAsia="方正仿宋_GBK"/>
          <w:sz w:val="32"/>
          <w:szCs w:val="32"/>
        </w:rPr>
        <w:t>获评单位要切实加强</w:t>
      </w:r>
      <w:r>
        <w:rPr>
          <w:rFonts w:hint="eastAsia" w:eastAsia="方正仿宋_GBK"/>
          <w:sz w:val="32"/>
          <w:szCs w:val="32"/>
          <w:lang w:val="en-US" w:eastAsia="zh-CN"/>
        </w:rPr>
        <w:t>专项</w:t>
      </w:r>
      <w:r>
        <w:rPr>
          <w:rFonts w:hint="default" w:eastAsia="方正仿宋_GBK"/>
          <w:sz w:val="32"/>
          <w:szCs w:val="32"/>
        </w:rPr>
        <w:t>经费管理，确保专款专用，专项资金支出用途包括：知识产权保护制度建设，知识产权信息管理平台建设，知识产权申请、代理、维护、评估、鉴定、诉讼等支出，知识产权培训活动等。不得列支人员费用、办公经费以及办公软件购置等与项目无关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经认定的明星企业要及时总结企业强化知识产权保护，推动企业高质量发展的经验，积极报送典型案例，区市场监管局（知识产权局）将择优进行宣传和推广，并优先支持企业其他知识产权项目申报。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对存在未处理的非正常专利申请行为的企业，取消申报资格。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 xml:space="preserve">. 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申报时间</w:t>
      </w:r>
      <w:r>
        <w:rPr>
          <w:rFonts w:hint="eastAsia" w:ascii="方正仿宋_GBK" w:hAnsi="Times New Roman" w:eastAsia="方正仿宋_GBK"/>
          <w:color w:val="auto"/>
          <w:sz w:val="32"/>
          <w:szCs w:val="32"/>
          <w:lang w:eastAsia="zh-CN"/>
        </w:rPr>
        <w:t>截止6月</w:t>
      </w: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日，逾期不予受理，</w:t>
      </w:r>
      <w:r>
        <w:rPr>
          <w:rFonts w:ascii="方正仿宋_GBK" w:hAnsi="Times New Roman" w:eastAsia="方正仿宋_GBK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 xml:space="preserve">区市场监管局  知识产权科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0513-86116636</w:t>
      </w:r>
    </w:p>
    <w:p>
      <w:pPr>
        <w:spacing w:line="560" w:lineRule="exact"/>
        <w:ind w:firstLine="2880" w:firstLineChars="9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东社分局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18360008126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石港分局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18360008143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西亭分局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18360008233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兴东分局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18360008552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平潮分局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18360000507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兴仁分局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18360008542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刘桥分局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18360008534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先锋分局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18360008265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二甲分局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18360008589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金沙分局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18360000399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高新区分局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18360008047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十总分局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18360008393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川姜分局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18360008365</w:t>
      </w:r>
    </w:p>
    <w:p>
      <w:pPr>
        <w:spacing w:line="560" w:lineRule="exact"/>
        <w:ind w:firstLine="2886" w:firstLineChars="90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五接分局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18360008392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 xml:space="preserve"> </w:t>
      </w:r>
      <w:r>
        <w:rPr>
          <w:rFonts w:ascii="方正仿宋_GBK" w:hAnsi="Times New Roman" w:eastAsia="方正仿宋_GBK"/>
          <w:color w:val="auto"/>
          <w:sz w:val="32"/>
          <w:szCs w:val="32"/>
        </w:rPr>
        <w:t xml:space="preserve">                      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南</w:t>
      </w:r>
      <w:r>
        <w:rPr>
          <w:rFonts w:ascii="Times New Roman" w:hAnsi="Times New Roman" w:eastAsia="方正仿宋_GBK"/>
          <w:color w:val="auto"/>
          <w:sz w:val="32"/>
          <w:szCs w:val="32"/>
        </w:rPr>
        <w:t>通市通州区市场监督管理局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方正仿宋_GBK" w:hAnsi="Times New Roman" w:eastAsia="方正仿宋_GBK"/>
          <w:color w:val="auto"/>
          <w:sz w:val="32"/>
          <w:szCs w:val="32"/>
        </w:rPr>
        <w:sectPr>
          <w:pgSz w:w="11906" w:h="16838"/>
          <w:pgMar w:top="2098" w:right="1474" w:bottom="1928" w:left="158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187"/>
        <w:gridCol w:w="1938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color w:val="auto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auto"/>
                <w:sz w:val="40"/>
                <w:szCs w:val="40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统一社会信用代码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通州区知识产权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保护明星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企业申报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申报依据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《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通州区江苏省知识产权保护示范区建设工作方案（</w:t>
            </w: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2021-2025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年）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》（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通政发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〔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3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〕</w:t>
            </w: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4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5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项目责任人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项目申报单位承诺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1.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2.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申报的所有材料均依据相关项目申报要求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,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3.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4.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单位负责人（签名）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8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hint="eastAsia" w:ascii="Times New Roman" w:hAnsi="Times New Roman" w:eastAsia="方正仿宋_GBK"/>
          <w:color w:val="auto"/>
          <w:sz w:val="44"/>
          <w:szCs w:val="44"/>
          <w:lang w:eastAsia="zh-CN"/>
        </w:rPr>
      </w:pPr>
      <w:r>
        <w:rPr>
          <w:rFonts w:ascii="方正仿宋_GBK" w:hAnsi="Times New Roman" w:eastAsia="方正仿宋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eastAsia="方正小标宋_GBK"/>
          <w:color w:val="auto"/>
          <w:sz w:val="40"/>
          <w:szCs w:val="40"/>
        </w:rPr>
      </w:pPr>
      <w:r>
        <w:rPr>
          <w:rFonts w:hint="eastAsia" w:ascii="方正小标宋_GBK" w:eastAsia="方正小标宋_GBK"/>
          <w:color w:val="auto"/>
          <w:sz w:val="40"/>
          <w:szCs w:val="40"/>
        </w:rPr>
        <w:t>通州区知识产权保护明星企业认定申请表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652"/>
        <w:gridCol w:w="770"/>
        <w:gridCol w:w="500"/>
        <w:gridCol w:w="404"/>
        <w:gridCol w:w="993"/>
        <w:gridCol w:w="526"/>
        <w:gridCol w:w="18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法定代表人姓名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法定代表人身份证号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开户行名称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项目申报单位总体情况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（主要填写本企业在行业中的位置、主要竞争对手、主要市场分布情况、主导产品的市场占有率及市场销售排名、经济效益等情况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Times New Roman" w:hAnsi="Times New Roman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</w:rPr>
              <w:t>所属产业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汽车及零部件□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新一代信息技术□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、智能装备□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4、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纺织服装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5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、建筑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、生物医药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7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、新材料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8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、新能源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、绿色环保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10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、5G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、物联网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eastAsia="zh-CN"/>
              </w:rPr>
              <w:t>、第三代半导体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13、其他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黑体_GBK" w:hAnsi="Times New Roman" w:eastAsia="方正黑体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  <w:lang w:val="zh-CN"/>
              </w:rPr>
              <w:t>市场占有率</w:t>
            </w: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  <w:lang w:val="en-US"/>
              </w:rPr>
              <w:t>排名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exact"/>
              <w:ind w:firstLine="480" w:firstLineChars="20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</w:rPr>
              <w:t>企业</w:t>
            </w:r>
            <w:r>
              <w:rPr>
                <w:rFonts w:ascii="方正黑体_GBK" w:hAnsi="Times New Roman" w:eastAsia="方正黑体_GBK"/>
                <w:color w:val="auto"/>
                <w:sz w:val="24"/>
                <w:szCs w:val="24"/>
              </w:rPr>
              <w:t>贯标情况</w:t>
            </w:r>
          </w:p>
        </w:tc>
        <w:tc>
          <w:tcPr>
            <w:tcW w:w="292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已开展贯标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通过认证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绩效评价合格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未开展贯标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高新技术企业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 xml:space="preserve">龙头骨干企业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</w:t>
            </w:r>
          </w:p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 xml:space="preserve">规模以上企业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国家</w:t>
            </w:r>
            <w:r>
              <w:rPr>
                <w:rFonts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知识产权优势企业</w:t>
            </w:r>
            <w:r>
              <w:rPr>
                <w:rFonts w:ascii="Times New Roman" w:hAnsi="Times New Roman" w:eastAsia="方正仿宋_GBK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lang w:eastAsia="zh-CN"/>
              </w:rPr>
              <w:t>□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国家</w:t>
            </w:r>
            <w:r>
              <w:rPr>
                <w:rFonts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知识产权示范企业</w:t>
            </w:r>
            <w:r>
              <w:rPr>
                <w:rFonts w:ascii="Times New Roman" w:hAnsi="Times New Roman" w:eastAsia="方正仿宋_GBK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pacing w:val="-1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通州区知识产权强企培育入库等级</w:t>
            </w:r>
          </w:p>
        </w:tc>
        <w:tc>
          <w:tcPr>
            <w:tcW w:w="2922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hint="default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起航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远航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领航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</w:p>
        </w:tc>
        <w:tc>
          <w:tcPr>
            <w:tcW w:w="13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国家级专精特新企业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</w:p>
          <w:p>
            <w:pPr>
              <w:autoSpaceDE w:val="0"/>
              <w:spacing w:line="28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省级专精特新企业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企业重视知识产权工作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是否制定知识产权发展规划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有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□    </w:t>
            </w: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年知识产权经费投入（万元）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企业研发人数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年研发投入及占营业收入比例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年营业收入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年营业利润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以及纳税额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知识产权及研发基础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专门的知识产权部门</w:t>
            </w:r>
          </w:p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独立机构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部门内设机构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负责人职务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人员数量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专利信息利用网络办公系统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有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 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专利检索人员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购买商业化专利数据库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有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  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数据库名称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产学研情况及合作方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国家或省部级重大科技攻关项目承担情况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知识产权创造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近三年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申请件数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近三年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授权件数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明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实用新型和外观设计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PCT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或国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外专利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自主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维持10年以上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专利件数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获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国家、省、市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专利奖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申请商标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注册商标数量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马德里商标或国（境）外商标数量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软件著作权拥有量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知识产权运营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已授权发明专利实施率（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%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知识产权产品主营业务收入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知识产权许可、转让收入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知识产权质押融资金额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知识产权保险金额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知识产权保护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知识产权案件纠纷数量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胜诉或和解</w:t>
            </w:r>
          </w:p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知识产权保护工作经验及典型案例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</w:rPr>
              <w:t>（知识产权保护制度建设情况、条件保障情况和执行情况；为获得市场竞争优势，在专利、商标、版权保护方面采取的措施及成效；开展知识产权风险防范，重视商业秘密保护，近三年通过行政、司法、民事、调解等应对知识产权纠纷，维护自身合法权益情况；强化知识产权保护产生的经济效益和社会效益；重视知识产权对行业、产业及上下游等方面示范引领作用的具体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绩效目标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方正仿宋_GBK" w:hAnsi="Times New Roman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申报单位意见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法定代表人（签字）：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申报单位（盖章）：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市场监管分局意见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负责人（签字）：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单位（盖章）：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right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                           年      月 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color w:val="auto"/>
        </w:rPr>
        <w:t xml:space="preserve"> </w:t>
      </w:r>
    </w:p>
    <w:p>
      <w:pPr>
        <w:rPr>
          <w:color w:val="auto"/>
        </w:rPr>
      </w:pPr>
    </w:p>
    <w:sectPr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ZjIzZjczNjVkZWI0ZmQ3YmVmMjUzZGQ1YWQ3ZjMifQ=="/>
  </w:docVars>
  <w:rsids>
    <w:rsidRoot w:val="00F61F20"/>
    <w:rsid w:val="00151436"/>
    <w:rsid w:val="002D1CAE"/>
    <w:rsid w:val="009019D4"/>
    <w:rsid w:val="00EE4C00"/>
    <w:rsid w:val="00F61F20"/>
    <w:rsid w:val="07B802E9"/>
    <w:rsid w:val="07CF4A18"/>
    <w:rsid w:val="10B164DB"/>
    <w:rsid w:val="15A46CAB"/>
    <w:rsid w:val="17420875"/>
    <w:rsid w:val="175A01E1"/>
    <w:rsid w:val="1EE267D0"/>
    <w:rsid w:val="20FA3192"/>
    <w:rsid w:val="256A4D56"/>
    <w:rsid w:val="3B2C154E"/>
    <w:rsid w:val="3C0A5BBA"/>
    <w:rsid w:val="40AC5DD2"/>
    <w:rsid w:val="41341D0C"/>
    <w:rsid w:val="428840AC"/>
    <w:rsid w:val="448E35BB"/>
    <w:rsid w:val="4ACF2F16"/>
    <w:rsid w:val="4DD0575F"/>
    <w:rsid w:val="58DE3C22"/>
    <w:rsid w:val="5BCA58E3"/>
    <w:rsid w:val="619B6CB4"/>
    <w:rsid w:val="72B72DE4"/>
    <w:rsid w:val="7AA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3026</Words>
  <Characters>3316</Characters>
  <Lines>22</Lines>
  <Paragraphs>6</Paragraphs>
  <TotalTime>37</TotalTime>
  <ScaleCrop>false</ScaleCrop>
  <LinksUpToDate>false</LinksUpToDate>
  <CharactersWithSpaces>3618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2023-06-10T07:54:00Z</dcterms:created>
  <dc:creator>c xn</dc:creator>
  <cp:lastModifiedBy>@vi</cp:lastModifiedBy>
  <dcterms:modified xsi:type="dcterms:W3CDTF">2024-05-22T01:35:09Z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11D0AAA51957460588472689E6B5042D_12</vt:lpwstr>
  </property>
</Properties>
</file>