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2D347">
      <w:pPr>
        <w:spacing w:line="360" w:lineRule="auto"/>
        <w:jc w:val="center"/>
        <w:rPr>
          <w:rFonts w:ascii="宋体" w:hAnsi="宋体" w:cs="宋体"/>
          <w:b/>
          <w:bCs/>
          <w:color w:val="595959"/>
          <w:sz w:val="52"/>
          <w:szCs w:val="52"/>
        </w:rPr>
      </w:pPr>
    </w:p>
    <w:p w14:paraId="4CEDDAF8">
      <w:pPr>
        <w:spacing w:line="360" w:lineRule="auto"/>
        <w:jc w:val="center"/>
        <w:rPr>
          <w:rFonts w:ascii="宋体" w:hAnsi="宋体" w:cs="宋体"/>
          <w:b/>
          <w:bCs/>
          <w:color w:val="595959"/>
          <w:sz w:val="32"/>
          <w:szCs w:val="32"/>
        </w:rPr>
      </w:pPr>
      <w:r>
        <w:rPr>
          <w:rFonts w:hint="eastAsia" w:ascii="宋体" w:hAnsi="宋体" w:cs="宋体"/>
          <w:b/>
          <w:bCs/>
          <w:sz w:val="32"/>
          <w:szCs w:val="32"/>
        </w:rPr>
        <w:t>南通市通州区市场监督管理局惠民工程（一期、二期、三期）运行维护项目</w:t>
      </w:r>
    </w:p>
    <w:p w14:paraId="4DB2F751">
      <w:pPr>
        <w:spacing w:line="360" w:lineRule="auto"/>
        <w:rPr>
          <w:rFonts w:ascii="宋体"/>
          <w:color w:val="595959"/>
          <w:sz w:val="24"/>
          <w:szCs w:val="24"/>
        </w:rPr>
      </w:pPr>
    </w:p>
    <w:p w14:paraId="6ACF49C2">
      <w:pPr>
        <w:spacing w:line="360" w:lineRule="auto"/>
        <w:rPr>
          <w:rFonts w:ascii="宋体"/>
          <w:color w:val="595959"/>
          <w:sz w:val="24"/>
          <w:szCs w:val="24"/>
        </w:rPr>
      </w:pPr>
    </w:p>
    <w:p w14:paraId="5BE267ED">
      <w:pPr>
        <w:spacing w:line="360" w:lineRule="auto"/>
        <w:rPr>
          <w:rFonts w:ascii="宋体"/>
          <w:color w:val="595959"/>
          <w:sz w:val="24"/>
          <w:szCs w:val="24"/>
        </w:rPr>
      </w:pPr>
    </w:p>
    <w:p w14:paraId="5052F78D">
      <w:pPr>
        <w:spacing w:line="360" w:lineRule="auto"/>
        <w:jc w:val="center"/>
        <w:rPr>
          <w:rFonts w:ascii="宋体"/>
          <w:b/>
          <w:bCs/>
          <w:color w:val="595959"/>
          <w:sz w:val="84"/>
          <w:szCs w:val="84"/>
        </w:rPr>
      </w:pPr>
      <w:r>
        <w:rPr>
          <w:rFonts w:hint="eastAsia" w:ascii="宋体" w:hAnsi="宋体" w:cs="宋体"/>
          <w:b/>
          <w:bCs/>
          <w:color w:val="595959"/>
          <w:sz w:val="84"/>
          <w:szCs w:val="84"/>
        </w:rPr>
        <w:t>招标文件</w:t>
      </w:r>
    </w:p>
    <w:p w14:paraId="01F3B8DC">
      <w:pPr>
        <w:spacing w:line="360" w:lineRule="auto"/>
        <w:jc w:val="center"/>
        <w:rPr>
          <w:rFonts w:ascii="宋体"/>
          <w:b/>
          <w:bCs/>
          <w:color w:val="595959"/>
          <w:sz w:val="36"/>
          <w:szCs w:val="36"/>
        </w:rPr>
      </w:pPr>
      <w:r>
        <w:rPr>
          <w:rFonts w:hint="eastAsia" w:ascii="宋体" w:hAnsi="宋体" w:cs="宋体"/>
          <w:b/>
          <w:bCs/>
          <w:color w:val="595959"/>
          <w:sz w:val="36"/>
          <w:szCs w:val="36"/>
        </w:rPr>
        <w:t>（资格后审）</w:t>
      </w:r>
    </w:p>
    <w:p w14:paraId="75AFEF57">
      <w:pPr>
        <w:spacing w:line="360" w:lineRule="auto"/>
        <w:rPr>
          <w:rFonts w:ascii="宋体"/>
          <w:color w:val="595959"/>
          <w:sz w:val="24"/>
          <w:szCs w:val="24"/>
        </w:rPr>
      </w:pPr>
    </w:p>
    <w:p w14:paraId="54471E11">
      <w:pPr>
        <w:spacing w:line="360" w:lineRule="auto"/>
        <w:rPr>
          <w:rFonts w:ascii="宋体"/>
          <w:color w:val="595959"/>
          <w:sz w:val="24"/>
          <w:szCs w:val="24"/>
        </w:rPr>
      </w:pPr>
    </w:p>
    <w:p w14:paraId="7C45A127">
      <w:pPr>
        <w:spacing w:line="360" w:lineRule="auto"/>
        <w:rPr>
          <w:rFonts w:ascii="宋体"/>
          <w:color w:val="595959"/>
          <w:sz w:val="24"/>
          <w:szCs w:val="24"/>
        </w:rPr>
      </w:pPr>
    </w:p>
    <w:p w14:paraId="26FDB5C8">
      <w:pPr>
        <w:spacing w:line="360" w:lineRule="auto"/>
        <w:rPr>
          <w:rFonts w:ascii="宋体"/>
          <w:color w:val="595959"/>
          <w:sz w:val="24"/>
          <w:szCs w:val="24"/>
        </w:rPr>
      </w:pPr>
    </w:p>
    <w:p w14:paraId="713E2B29">
      <w:pPr>
        <w:spacing w:line="360" w:lineRule="auto"/>
        <w:rPr>
          <w:rFonts w:ascii="宋体"/>
          <w:color w:val="595959"/>
          <w:sz w:val="24"/>
          <w:szCs w:val="24"/>
        </w:rPr>
      </w:pPr>
    </w:p>
    <w:p w14:paraId="35DD5138">
      <w:pPr>
        <w:spacing w:line="360" w:lineRule="auto"/>
        <w:rPr>
          <w:rFonts w:ascii="宋体"/>
          <w:color w:val="595959"/>
          <w:sz w:val="24"/>
          <w:szCs w:val="24"/>
        </w:rPr>
      </w:pPr>
    </w:p>
    <w:p w14:paraId="083D03EC">
      <w:pPr>
        <w:spacing w:line="360" w:lineRule="auto"/>
        <w:rPr>
          <w:rFonts w:ascii="宋体"/>
          <w:color w:val="595959"/>
          <w:sz w:val="24"/>
          <w:szCs w:val="24"/>
        </w:rPr>
      </w:pPr>
    </w:p>
    <w:p w14:paraId="1CA8BE58">
      <w:pPr>
        <w:spacing w:line="360" w:lineRule="auto"/>
        <w:rPr>
          <w:rFonts w:ascii="宋体"/>
          <w:color w:val="595959"/>
          <w:sz w:val="24"/>
          <w:szCs w:val="24"/>
        </w:rPr>
      </w:pPr>
    </w:p>
    <w:p w14:paraId="5A22516E">
      <w:pPr>
        <w:spacing w:line="360" w:lineRule="auto"/>
        <w:rPr>
          <w:rFonts w:ascii="宋体"/>
          <w:color w:val="595959"/>
          <w:sz w:val="24"/>
          <w:szCs w:val="24"/>
        </w:rPr>
      </w:pPr>
    </w:p>
    <w:p w14:paraId="2360BD19">
      <w:pPr>
        <w:spacing w:line="360" w:lineRule="auto"/>
        <w:rPr>
          <w:rFonts w:ascii="宋体"/>
          <w:color w:val="595959"/>
          <w:sz w:val="24"/>
          <w:szCs w:val="24"/>
        </w:rPr>
      </w:pPr>
    </w:p>
    <w:p w14:paraId="7FCAF5AF">
      <w:pPr>
        <w:spacing w:line="360" w:lineRule="auto"/>
        <w:rPr>
          <w:rFonts w:ascii="宋体"/>
          <w:color w:val="595959"/>
          <w:sz w:val="24"/>
          <w:szCs w:val="24"/>
        </w:rPr>
      </w:pPr>
    </w:p>
    <w:p w14:paraId="351232EB">
      <w:pPr>
        <w:spacing w:line="360" w:lineRule="auto"/>
        <w:jc w:val="center"/>
        <w:rPr>
          <w:rFonts w:ascii="宋体"/>
          <w:b/>
          <w:bCs/>
          <w:color w:val="595959"/>
          <w:sz w:val="30"/>
          <w:szCs w:val="30"/>
        </w:rPr>
      </w:pPr>
      <w:r>
        <w:rPr>
          <w:rFonts w:hint="eastAsia" w:ascii="宋体" w:hAnsi="宋体" w:cs="宋体"/>
          <w:b/>
          <w:bCs/>
          <w:color w:val="595959"/>
          <w:sz w:val="30"/>
          <w:szCs w:val="30"/>
        </w:rPr>
        <w:t>招标人</w:t>
      </w:r>
      <w:r>
        <w:rPr>
          <w:rFonts w:ascii="宋体" w:hAnsi="宋体" w:cs="宋体"/>
          <w:b/>
          <w:bCs/>
          <w:color w:val="595959"/>
          <w:sz w:val="30"/>
          <w:szCs w:val="30"/>
        </w:rPr>
        <w:t>:</w:t>
      </w:r>
      <w:r>
        <w:rPr>
          <w:rFonts w:hint="eastAsia" w:ascii="宋体" w:hAnsi="宋体" w:cs="宋体"/>
          <w:b/>
          <w:bCs/>
          <w:color w:val="595959"/>
          <w:sz w:val="30"/>
          <w:szCs w:val="30"/>
        </w:rPr>
        <w:t>南通市通州区市场监督管理局</w:t>
      </w:r>
    </w:p>
    <w:p w14:paraId="6B1E4ADA">
      <w:pPr>
        <w:spacing w:line="360" w:lineRule="auto"/>
        <w:jc w:val="center"/>
        <w:rPr>
          <w:rFonts w:ascii="宋体"/>
          <w:b/>
          <w:bCs/>
          <w:color w:val="595959"/>
          <w:sz w:val="30"/>
          <w:szCs w:val="30"/>
        </w:rPr>
      </w:pPr>
      <w:r>
        <w:rPr>
          <w:rFonts w:hint="eastAsia" w:ascii="宋体" w:hAnsi="宋体" w:cs="宋体"/>
          <w:b/>
          <w:bCs/>
          <w:color w:val="595959"/>
          <w:sz w:val="30"/>
          <w:szCs w:val="30"/>
        </w:rPr>
        <w:t>招标代理：江苏衡晟项目管理咨询有限公司</w:t>
      </w:r>
    </w:p>
    <w:p w14:paraId="2FB2759C">
      <w:pPr>
        <w:spacing w:line="360" w:lineRule="auto"/>
        <w:jc w:val="center"/>
        <w:rPr>
          <w:rFonts w:ascii="宋体" w:hAnsi="宋体" w:cs="宋体"/>
          <w:b/>
          <w:bCs/>
          <w:color w:val="595959"/>
          <w:sz w:val="32"/>
          <w:szCs w:val="32"/>
        </w:rPr>
      </w:pPr>
      <w:r>
        <w:rPr>
          <w:rFonts w:hint="eastAsia" w:ascii="宋体" w:hAnsi="宋体" w:cs="宋体"/>
          <w:b/>
          <w:bCs/>
          <w:color w:val="595959"/>
          <w:sz w:val="32"/>
          <w:szCs w:val="32"/>
        </w:rPr>
        <w:t>2026年1月</w:t>
      </w:r>
    </w:p>
    <w:p w14:paraId="65407368">
      <w:pPr>
        <w:pStyle w:val="7"/>
      </w:pPr>
    </w:p>
    <w:p w14:paraId="557D1E90"/>
    <w:p w14:paraId="69E17E1C"/>
    <w:p w14:paraId="43B465DA">
      <w:pPr>
        <w:spacing w:line="360" w:lineRule="auto"/>
        <w:jc w:val="center"/>
        <w:rPr>
          <w:rFonts w:ascii="宋体"/>
          <w:b/>
          <w:bCs/>
          <w:color w:val="595959"/>
          <w:sz w:val="32"/>
          <w:szCs w:val="32"/>
        </w:rPr>
      </w:pPr>
    </w:p>
    <w:p w14:paraId="2DF550D7">
      <w:pPr>
        <w:spacing w:line="520" w:lineRule="exact"/>
        <w:jc w:val="center"/>
        <w:rPr>
          <w:rFonts w:ascii="宋体" w:hAnsi="宋体"/>
          <w:sz w:val="30"/>
          <w:szCs w:val="30"/>
        </w:rPr>
      </w:pPr>
      <w:r>
        <w:rPr>
          <w:rFonts w:hint="eastAsia" w:ascii="宋体" w:hAnsi="宋体"/>
          <w:sz w:val="30"/>
          <w:szCs w:val="30"/>
        </w:rPr>
        <w:t>招标文件备案表</w:t>
      </w:r>
    </w:p>
    <w:p w14:paraId="382AB769">
      <w:pPr>
        <w:spacing w:line="520" w:lineRule="exact"/>
        <w:jc w:val="center"/>
        <w:rPr>
          <w:rFonts w:ascii="宋体" w:hAnsi="宋体"/>
          <w:sz w:val="30"/>
          <w:szCs w:val="30"/>
        </w:rPr>
      </w:pPr>
    </w:p>
    <w:tbl>
      <w:tblPr>
        <w:tblStyle w:val="12"/>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14:paraId="3110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7" w:type="dxa"/>
            <w:tcBorders>
              <w:top w:val="single" w:color="auto" w:sz="4" w:space="0"/>
              <w:left w:val="single" w:color="auto" w:sz="4" w:space="0"/>
              <w:bottom w:val="single" w:color="auto" w:sz="4" w:space="0"/>
              <w:right w:val="single" w:color="auto" w:sz="4" w:space="0"/>
            </w:tcBorders>
          </w:tcPr>
          <w:p w14:paraId="0A9BFA0E">
            <w:pPr>
              <w:adjustRightInd w:val="0"/>
              <w:snapToGrid w:val="0"/>
              <w:spacing w:line="360" w:lineRule="auto"/>
              <w:rPr>
                <w:sz w:val="28"/>
                <w:szCs w:val="28"/>
              </w:rPr>
            </w:pPr>
          </w:p>
          <w:p w14:paraId="1E752E30">
            <w:pPr>
              <w:adjustRightInd w:val="0"/>
              <w:snapToGrid w:val="0"/>
              <w:spacing w:line="360" w:lineRule="auto"/>
              <w:rPr>
                <w:sz w:val="28"/>
                <w:szCs w:val="28"/>
              </w:rPr>
            </w:pPr>
            <w:r>
              <w:rPr>
                <w:rFonts w:hint="eastAsia" w:ascii="宋体" w:hAnsi="宋体" w:cs="宋体"/>
                <w:sz w:val="28"/>
                <w:szCs w:val="28"/>
              </w:rPr>
              <w:t>招标代理：</w:t>
            </w:r>
            <w:r>
              <w:rPr>
                <w:sz w:val="28"/>
                <w:szCs w:val="28"/>
              </w:rPr>
              <w:t>(</w:t>
            </w:r>
            <w:r>
              <w:rPr>
                <w:rFonts w:hint="eastAsia" w:ascii="宋体" w:hAnsi="宋体" w:cs="宋体"/>
                <w:sz w:val="28"/>
                <w:szCs w:val="28"/>
              </w:rPr>
              <w:t>盖章</w:t>
            </w:r>
            <w:r>
              <w:rPr>
                <w:sz w:val="28"/>
                <w:szCs w:val="28"/>
              </w:rPr>
              <w:t>)</w:t>
            </w:r>
          </w:p>
          <w:p w14:paraId="3E31D933">
            <w:pPr>
              <w:adjustRightInd w:val="0"/>
              <w:snapToGrid w:val="0"/>
              <w:spacing w:line="360" w:lineRule="auto"/>
              <w:rPr>
                <w:sz w:val="28"/>
                <w:szCs w:val="28"/>
              </w:rPr>
            </w:pPr>
          </w:p>
          <w:p w14:paraId="6FC669DD">
            <w:pPr>
              <w:adjustRightInd w:val="0"/>
              <w:snapToGrid w:val="0"/>
              <w:spacing w:line="360" w:lineRule="auto"/>
              <w:rPr>
                <w:sz w:val="28"/>
                <w:szCs w:val="28"/>
              </w:rPr>
            </w:pPr>
          </w:p>
          <w:p w14:paraId="451D2705">
            <w:pPr>
              <w:adjustRightInd w:val="0"/>
              <w:snapToGrid w:val="0"/>
              <w:spacing w:line="360" w:lineRule="auto"/>
              <w:rPr>
                <w:sz w:val="28"/>
                <w:szCs w:val="28"/>
              </w:rPr>
            </w:pPr>
          </w:p>
          <w:p w14:paraId="22808737">
            <w:pPr>
              <w:adjustRightInd w:val="0"/>
              <w:snapToGrid w:val="0"/>
              <w:spacing w:line="360" w:lineRule="auto"/>
              <w:rPr>
                <w:sz w:val="28"/>
                <w:szCs w:val="28"/>
              </w:rPr>
            </w:pPr>
            <w:r>
              <w:rPr>
                <w:rFonts w:hint="eastAsia" w:ascii="宋体" w:hAnsi="宋体" w:cs="宋体"/>
                <w:sz w:val="28"/>
                <w:szCs w:val="28"/>
              </w:rPr>
              <w:t>编制人：</w:t>
            </w:r>
          </w:p>
          <w:p w14:paraId="150D49E3">
            <w:pPr>
              <w:adjustRightInd w:val="0"/>
              <w:snapToGrid w:val="0"/>
              <w:spacing w:line="360" w:lineRule="auto"/>
              <w:rPr>
                <w:sz w:val="28"/>
                <w:szCs w:val="28"/>
              </w:rPr>
            </w:pPr>
          </w:p>
          <w:p w14:paraId="2F788807">
            <w:pPr>
              <w:adjustRightInd w:val="0"/>
              <w:snapToGrid w:val="0"/>
              <w:spacing w:line="360" w:lineRule="auto"/>
              <w:jc w:val="center"/>
              <w:rPr>
                <w:sz w:val="28"/>
                <w:szCs w:val="28"/>
              </w:rPr>
            </w:pPr>
          </w:p>
          <w:p w14:paraId="718EFA52">
            <w:pPr>
              <w:adjustRightInd w:val="0"/>
              <w:snapToGrid w:val="0"/>
              <w:spacing w:line="360" w:lineRule="auto"/>
              <w:rPr>
                <w:rFonts w:ascii="宋体" w:hAnsi="宋体" w:cs="宋体"/>
                <w:sz w:val="28"/>
                <w:szCs w:val="28"/>
              </w:rPr>
            </w:pPr>
            <w:r>
              <w:rPr>
                <w:rFonts w:hint="eastAsia" w:ascii="宋体" w:hAnsi="宋体" w:cs="宋体"/>
                <w:sz w:val="28"/>
                <w:szCs w:val="28"/>
              </w:rPr>
              <w:t>日期：</w:t>
            </w:r>
          </w:p>
          <w:p w14:paraId="3768A23C">
            <w:pPr>
              <w:adjustRightInd w:val="0"/>
              <w:snapToGrid w:val="0"/>
              <w:spacing w:line="360" w:lineRule="auto"/>
              <w:rPr>
                <w:rFonts w:ascii="宋体" w:hAnsi="宋体" w:cs="宋体"/>
                <w:sz w:val="28"/>
                <w:szCs w:val="28"/>
              </w:rPr>
            </w:pPr>
          </w:p>
        </w:tc>
      </w:tr>
      <w:tr w14:paraId="1416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87" w:type="dxa"/>
            <w:tcBorders>
              <w:top w:val="single" w:color="auto" w:sz="4" w:space="0"/>
              <w:left w:val="single" w:color="auto" w:sz="4" w:space="0"/>
              <w:bottom w:val="single" w:color="auto" w:sz="4" w:space="0"/>
              <w:right w:val="single" w:color="auto" w:sz="4" w:space="0"/>
            </w:tcBorders>
          </w:tcPr>
          <w:p w14:paraId="69AB661B">
            <w:pPr>
              <w:adjustRightInd w:val="0"/>
              <w:snapToGrid w:val="0"/>
              <w:spacing w:line="360" w:lineRule="auto"/>
              <w:rPr>
                <w:sz w:val="28"/>
                <w:szCs w:val="28"/>
              </w:rPr>
            </w:pPr>
          </w:p>
          <w:p w14:paraId="73860EA5">
            <w:pPr>
              <w:adjustRightInd w:val="0"/>
              <w:snapToGrid w:val="0"/>
              <w:spacing w:line="360" w:lineRule="auto"/>
              <w:rPr>
                <w:rFonts w:ascii="宋体" w:hAnsi="宋体" w:cs="宋体"/>
                <w:sz w:val="28"/>
                <w:szCs w:val="28"/>
              </w:rPr>
            </w:pPr>
            <w:r>
              <w:rPr>
                <w:rFonts w:hint="eastAsia" w:ascii="宋体" w:hAnsi="宋体" w:cs="宋体"/>
                <w:sz w:val="28"/>
                <w:szCs w:val="28"/>
              </w:rPr>
              <w:t>招标人：</w:t>
            </w:r>
            <w:r>
              <w:rPr>
                <w:sz w:val="28"/>
                <w:szCs w:val="28"/>
              </w:rPr>
              <w:t>(</w:t>
            </w:r>
            <w:r>
              <w:rPr>
                <w:rFonts w:hint="eastAsia" w:ascii="宋体" w:hAnsi="宋体" w:cs="宋体"/>
                <w:sz w:val="28"/>
                <w:szCs w:val="28"/>
              </w:rPr>
              <w:t>盖章</w:t>
            </w:r>
            <w:r>
              <w:rPr>
                <w:sz w:val="28"/>
                <w:szCs w:val="28"/>
              </w:rPr>
              <w:t xml:space="preserve">)        </w:t>
            </w:r>
          </w:p>
          <w:p w14:paraId="2DE76A68">
            <w:pPr>
              <w:adjustRightInd w:val="0"/>
              <w:snapToGrid w:val="0"/>
              <w:spacing w:line="360" w:lineRule="auto"/>
              <w:rPr>
                <w:rFonts w:ascii="宋体" w:hAnsi="宋体" w:cs="宋体"/>
                <w:sz w:val="28"/>
                <w:szCs w:val="28"/>
              </w:rPr>
            </w:pPr>
          </w:p>
          <w:p w14:paraId="7966C573">
            <w:pPr>
              <w:adjustRightInd w:val="0"/>
              <w:snapToGrid w:val="0"/>
              <w:spacing w:line="360" w:lineRule="auto"/>
              <w:rPr>
                <w:rFonts w:ascii="宋体" w:hAnsi="宋体" w:cs="宋体"/>
                <w:sz w:val="28"/>
                <w:szCs w:val="28"/>
              </w:rPr>
            </w:pPr>
          </w:p>
          <w:p w14:paraId="60A77B17">
            <w:pPr>
              <w:adjustRightInd w:val="0"/>
              <w:snapToGrid w:val="0"/>
              <w:spacing w:line="360" w:lineRule="auto"/>
              <w:rPr>
                <w:rFonts w:ascii="宋体" w:hAnsi="宋体" w:cs="宋体"/>
                <w:sz w:val="28"/>
                <w:szCs w:val="28"/>
              </w:rPr>
            </w:pPr>
          </w:p>
          <w:p w14:paraId="6D58DC2C">
            <w:pPr>
              <w:adjustRightInd w:val="0"/>
              <w:snapToGrid w:val="0"/>
              <w:spacing w:line="360" w:lineRule="auto"/>
              <w:rPr>
                <w:rFonts w:ascii="宋体" w:hAnsi="宋体" w:cs="宋体"/>
                <w:sz w:val="28"/>
                <w:szCs w:val="28"/>
              </w:rPr>
            </w:pPr>
            <w:r>
              <w:rPr>
                <w:rFonts w:hint="eastAsia" w:ascii="宋体" w:hAnsi="宋体" w:cs="宋体"/>
                <w:sz w:val="28"/>
                <w:szCs w:val="28"/>
              </w:rPr>
              <w:t>审阅人（签字）：</w:t>
            </w:r>
          </w:p>
          <w:p w14:paraId="41C637C2">
            <w:pPr>
              <w:adjustRightInd w:val="0"/>
              <w:snapToGrid w:val="0"/>
              <w:spacing w:line="360" w:lineRule="auto"/>
              <w:rPr>
                <w:rFonts w:ascii="宋体" w:hAnsi="宋体" w:cs="宋体"/>
                <w:sz w:val="28"/>
                <w:szCs w:val="28"/>
              </w:rPr>
            </w:pPr>
          </w:p>
          <w:p w14:paraId="6897AD20">
            <w:pPr>
              <w:adjustRightInd w:val="0"/>
              <w:snapToGrid w:val="0"/>
              <w:spacing w:line="360" w:lineRule="auto"/>
              <w:rPr>
                <w:rFonts w:ascii="宋体" w:hAnsi="宋体" w:cs="宋体"/>
                <w:sz w:val="28"/>
                <w:szCs w:val="28"/>
              </w:rPr>
            </w:pPr>
          </w:p>
          <w:p w14:paraId="3E03C317">
            <w:pPr>
              <w:adjustRightInd w:val="0"/>
              <w:snapToGrid w:val="0"/>
              <w:spacing w:line="360" w:lineRule="auto"/>
              <w:rPr>
                <w:rFonts w:ascii="宋体" w:hAnsi="宋体" w:cs="宋体"/>
                <w:sz w:val="24"/>
                <w:szCs w:val="24"/>
              </w:rPr>
            </w:pPr>
            <w:r>
              <w:rPr>
                <w:rFonts w:hint="eastAsia" w:ascii="宋体" w:hAnsi="宋体" w:cs="宋体"/>
                <w:sz w:val="28"/>
                <w:szCs w:val="28"/>
              </w:rPr>
              <w:t>日期：</w:t>
            </w:r>
          </w:p>
          <w:p w14:paraId="64E5127E">
            <w:pPr>
              <w:adjustRightInd w:val="0"/>
              <w:snapToGrid w:val="0"/>
              <w:spacing w:line="360" w:lineRule="auto"/>
              <w:rPr>
                <w:rFonts w:ascii="宋体" w:hAnsi="宋体" w:cs="宋体"/>
                <w:sz w:val="28"/>
                <w:szCs w:val="28"/>
              </w:rPr>
            </w:pPr>
          </w:p>
        </w:tc>
      </w:tr>
    </w:tbl>
    <w:p w14:paraId="3962F065">
      <w:pPr>
        <w:pStyle w:val="18"/>
        <w:widowControl/>
        <w:numPr>
          <w:ilvl w:val="0"/>
          <w:numId w:val="1"/>
        </w:numPr>
        <w:spacing w:line="310" w:lineRule="atLeast"/>
        <w:ind w:firstLineChars="0"/>
        <w:jc w:val="center"/>
        <w:rPr>
          <w:rFonts w:ascii="宋体"/>
          <w:b/>
          <w:bCs/>
          <w:color w:val="595959"/>
          <w:sz w:val="32"/>
          <w:szCs w:val="32"/>
        </w:rPr>
      </w:pPr>
      <w:r>
        <w:rPr>
          <w:rFonts w:ascii="宋体"/>
          <w:b/>
          <w:bCs/>
          <w:color w:val="595959"/>
          <w:sz w:val="32"/>
          <w:szCs w:val="32"/>
        </w:rPr>
        <w:br w:type="page"/>
      </w:r>
      <w:bookmarkStart w:id="0" w:name="OLE_LINK2"/>
      <w:bookmarkStart w:id="1" w:name="OLE_LINK1"/>
      <w:r>
        <w:rPr>
          <w:rFonts w:hint="eastAsia" w:ascii="宋体" w:hAnsi="宋体" w:cs="宋体"/>
          <w:b/>
          <w:bCs/>
          <w:color w:val="595959"/>
          <w:sz w:val="36"/>
          <w:szCs w:val="36"/>
        </w:rPr>
        <w:t>招标公告</w:t>
      </w:r>
    </w:p>
    <w:p w14:paraId="67EB54B5">
      <w:pPr>
        <w:spacing w:line="360" w:lineRule="auto"/>
        <w:jc w:val="center"/>
        <w:rPr>
          <w:rFonts w:ascii="??" w:hAnsi="??" w:cs="宋体"/>
          <w:b/>
          <w:bCs/>
          <w:color w:val="000000"/>
          <w:kern w:val="0"/>
          <w:sz w:val="32"/>
          <w:szCs w:val="32"/>
        </w:rPr>
      </w:pPr>
      <w:bookmarkStart w:id="2" w:name="OLE_LINK5"/>
      <w:r>
        <w:rPr>
          <w:rFonts w:hint="eastAsia" w:ascii="??" w:hAnsi="??" w:cs="宋体"/>
          <w:b/>
          <w:bCs/>
          <w:color w:val="000000"/>
          <w:kern w:val="0"/>
          <w:sz w:val="32"/>
          <w:szCs w:val="32"/>
        </w:rPr>
        <w:t>南通市通州区市场监督管理局惠民工程（一期、二期、三期）运行维护项目</w:t>
      </w:r>
    </w:p>
    <w:p w14:paraId="6DA6856F">
      <w:pPr>
        <w:spacing w:line="360" w:lineRule="auto"/>
        <w:jc w:val="center"/>
        <w:rPr>
          <w:rFonts w:ascii="??" w:hAnsi="??" w:cs="宋体"/>
          <w:b/>
          <w:bCs/>
          <w:color w:val="000000"/>
          <w:kern w:val="0"/>
          <w:sz w:val="28"/>
          <w:szCs w:val="28"/>
        </w:rPr>
      </w:pPr>
      <w:r>
        <w:rPr>
          <w:rFonts w:hint="eastAsia" w:ascii="??" w:hAnsi="??" w:cs="宋体"/>
          <w:b/>
          <w:bCs/>
          <w:color w:val="000000"/>
          <w:kern w:val="0"/>
          <w:sz w:val="28"/>
          <w:szCs w:val="28"/>
        </w:rPr>
        <w:t>招标公告（资格后审）</w:t>
      </w:r>
    </w:p>
    <w:p w14:paraId="66B4D89C">
      <w:pPr>
        <w:spacing w:line="480" w:lineRule="exact"/>
        <w:ind w:firstLine="480" w:firstLineChars="200"/>
        <w:rPr>
          <w:rFonts w:ascii="宋体" w:hAnsi="宋体" w:cs="宋体"/>
          <w:sz w:val="24"/>
          <w:szCs w:val="24"/>
        </w:rPr>
      </w:pPr>
      <w:r>
        <w:rPr>
          <w:rFonts w:hint="eastAsia" w:ascii="宋体" w:hAnsi="宋体" w:cs="宋体"/>
          <w:sz w:val="24"/>
          <w:szCs w:val="24"/>
        </w:rPr>
        <w:t>江苏衡晟项目管理咨询有限公司受南通市通州区市场监督管理局委托,依据《中华人民共和国政府采购法》和其他有关法律、法规及规章的规定，就南通市通州区市场监督管理局惠民工程（一期、二期、三期）运行维护项目进行公开招标，具体负责相关招标事宜。</w:t>
      </w:r>
    </w:p>
    <w:p w14:paraId="43002201">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sz w:val="24"/>
          <w:szCs w:val="24"/>
        </w:rPr>
      </w:pPr>
      <w:r>
        <w:rPr>
          <w:rFonts w:hint="eastAsia" w:ascii="宋体" w:hAnsi="宋体" w:cs="宋体"/>
          <w:sz w:val="24"/>
        </w:rPr>
        <w:t>项目概况</w:t>
      </w:r>
      <w:r>
        <w:rPr>
          <w:rFonts w:ascii="宋体" w:hAnsi="宋体" w:cs="宋体"/>
          <w:sz w:val="24"/>
        </w:rPr>
        <w:t>：</w:t>
      </w:r>
      <w:r>
        <w:rPr>
          <w:rFonts w:hint="eastAsia" w:ascii="宋体" w:hAnsi="宋体" w:cs="宋体"/>
          <w:sz w:val="24"/>
          <w:szCs w:val="24"/>
        </w:rPr>
        <w:t>南通市通州区市场监督管理局惠民工程（一期、二期、三期）运行维护项目</w:t>
      </w:r>
      <w:r>
        <w:rPr>
          <w:rFonts w:hint="eastAsia" w:ascii="宋体" w:hAnsi="宋体" w:cs="宋体"/>
          <w:sz w:val="24"/>
        </w:rPr>
        <w:t>的潜在供应商可在“南通市通州区人民政府网（http://www.tongzhou.gov.cn/）—政府信息公开—区市场监督管理局—法定主动公开内容—公告信息—下载公告及文件。并于2026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日14点</w:t>
      </w:r>
      <w:r>
        <w:rPr>
          <w:rFonts w:hint="eastAsia" w:ascii="宋体" w:hAnsi="宋体" w:cs="宋体"/>
          <w:sz w:val="24"/>
        </w:rPr>
        <w:t>00分（北京时间）前提交响应文件。</w:t>
      </w:r>
    </w:p>
    <w:p w14:paraId="5F836EDA">
      <w:pPr>
        <w:spacing w:line="480" w:lineRule="exact"/>
        <w:ind w:firstLine="480" w:firstLineChars="200"/>
        <w:rPr>
          <w:rFonts w:ascii="宋体" w:hAnsi="宋体" w:cs="宋体"/>
          <w:sz w:val="24"/>
          <w:szCs w:val="24"/>
        </w:rPr>
      </w:pPr>
      <w:r>
        <w:rPr>
          <w:rFonts w:hint="eastAsia" w:ascii="宋体" w:hAnsi="宋体" w:cs="宋体"/>
          <w:sz w:val="24"/>
          <w:szCs w:val="24"/>
        </w:rPr>
        <w:t>一、采购项目名称及采购人名称：</w:t>
      </w:r>
    </w:p>
    <w:p w14:paraId="43A1762F">
      <w:pPr>
        <w:spacing w:line="480" w:lineRule="exact"/>
        <w:ind w:firstLine="480" w:firstLineChars="200"/>
        <w:rPr>
          <w:rFonts w:ascii="宋体" w:hAnsi="宋体" w:cs="宋体"/>
          <w:sz w:val="24"/>
          <w:szCs w:val="24"/>
        </w:rPr>
      </w:pPr>
      <w:r>
        <w:rPr>
          <w:rFonts w:hint="eastAsia" w:ascii="宋体" w:hAnsi="宋体" w:cs="宋体"/>
          <w:sz w:val="24"/>
          <w:szCs w:val="24"/>
        </w:rPr>
        <w:t>项目名称：南通市通州区市场监督管理局惠民工程（一期、二期、三期）运行维护项目</w:t>
      </w:r>
    </w:p>
    <w:p w14:paraId="6137FA64">
      <w:pPr>
        <w:spacing w:line="480" w:lineRule="exact"/>
        <w:ind w:firstLine="480" w:firstLineChars="200"/>
        <w:rPr>
          <w:rFonts w:ascii="宋体" w:hAnsi="宋体" w:cs="宋体"/>
          <w:sz w:val="24"/>
          <w:szCs w:val="24"/>
        </w:rPr>
      </w:pPr>
      <w:r>
        <w:rPr>
          <w:rFonts w:hint="eastAsia" w:ascii="宋体" w:hAnsi="宋体" w:cs="宋体"/>
          <w:sz w:val="24"/>
          <w:szCs w:val="24"/>
        </w:rPr>
        <w:t>采购人名称：南通市通州区市场监督管理局</w:t>
      </w:r>
    </w:p>
    <w:p w14:paraId="1675BDCB">
      <w:pPr>
        <w:spacing w:line="480" w:lineRule="exact"/>
        <w:ind w:firstLine="480" w:firstLineChars="200"/>
        <w:rPr>
          <w:rFonts w:ascii="宋体" w:hAnsi="宋体" w:cs="宋体"/>
          <w:sz w:val="24"/>
          <w:szCs w:val="24"/>
        </w:rPr>
      </w:pPr>
      <w:r>
        <w:rPr>
          <w:rFonts w:hint="eastAsia" w:ascii="宋体" w:hAnsi="宋体" w:cs="宋体"/>
          <w:sz w:val="24"/>
          <w:szCs w:val="24"/>
        </w:rPr>
        <w:t>资金来源：财政资金</w:t>
      </w:r>
    </w:p>
    <w:p w14:paraId="7945858C">
      <w:pPr>
        <w:spacing w:line="480" w:lineRule="exact"/>
        <w:ind w:firstLine="480" w:firstLineChars="200"/>
        <w:rPr>
          <w:rFonts w:ascii="宋体" w:hAnsi="宋体" w:cs="宋体"/>
          <w:sz w:val="24"/>
          <w:szCs w:val="24"/>
        </w:rPr>
      </w:pPr>
      <w:r>
        <w:rPr>
          <w:rFonts w:hint="eastAsia" w:ascii="宋体" w:hAnsi="宋体" w:cs="宋体"/>
          <w:sz w:val="24"/>
          <w:szCs w:val="24"/>
        </w:rPr>
        <w:t>二、项目情况：</w:t>
      </w:r>
    </w:p>
    <w:p w14:paraId="32C3E225">
      <w:pPr>
        <w:spacing w:line="360" w:lineRule="auto"/>
        <w:ind w:firstLine="480"/>
        <w:rPr>
          <w:rFonts w:ascii="宋体" w:hAnsi="宋体" w:cs="宋体"/>
          <w:sz w:val="24"/>
        </w:rPr>
      </w:pPr>
      <w:r>
        <w:rPr>
          <w:rFonts w:hint="eastAsia" w:ascii="宋体" w:hAnsi="宋体" w:cs="宋体"/>
          <w:sz w:val="24"/>
        </w:rPr>
        <w:t>1.本项目</w:t>
      </w:r>
      <w:r>
        <w:rPr>
          <w:rFonts w:hint="eastAsia" w:ascii="宋体" w:hAnsi="宋体" w:cs="宋体"/>
          <w:b/>
          <w:bCs/>
          <w:sz w:val="24"/>
        </w:rPr>
        <w:t>最高限价为</w:t>
      </w:r>
      <w:r>
        <w:rPr>
          <w:rFonts w:ascii="宋体" w:hAnsi="宋体" w:cs="宋体"/>
          <w:b/>
          <w:bCs/>
          <w:sz w:val="24"/>
        </w:rPr>
        <w:t>人民币</w:t>
      </w:r>
      <w:r>
        <w:rPr>
          <w:rFonts w:hint="eastAsia" w:ascii="宋体" w:hAnsi="宋体" w:cs="宋体"/>
          <w:b/>
          <w:bCs/>
          <w:sz w:val="24"/>
        </w:rPr>
        <w:t>50万元</w:t>
      </w:r>
      <w:r>
        <w:rPr>
          <w:rFonts w:hint="eastAsia" w:ascii="宋体" w:hAnsi="宋体" w:cs="宋体"/>
          <w:sz w:val="24"/>
        </w:rPr>
        <w:t>，投标报价超过采购最高限价的投标将作为无效投标处理。</w:t>
      </w:r>
    </w:p>
    <w:p w14:paraId="04D69414">
      <w:pPr>
        <w:spacing w:line="560" w:lineRule="exact"/>
        <w:ind w:firstLine="480" w:firstLineChars="200"/>
        <w:rPr>
          <w:rFonts w:ascii="宋体" w:hAnsi="宋体" w:cs="宋体"/>
          <w:sz w:val="24"/>
        </w:rPr>
      </w:pPr>
      <w:r>
        <w:rPr>
          <w:rFonts w:hint="eastAsia" w:ascii="宋体" w:hAnsi="宋体" w:cs="宋体"/>
          <w:sz w:val="24"/>
        </w:rPr>
        <w:t>2.</w:t>
      </w:r>
      <w:r>
        <w:rPr>
          <w:rFonts w:hAnsi="宋体"/>
          <w:sz w:val="24"/>
        </w:rPr>
        <w:t>合同履行期限</w:t>
      </w:r>
      <w:r>
        <w:rPr>
          <w:rFonts w:hAnsi="宋体"/>
          <w:color w:val="auto"/>
          <w:sz w:val="24"/>
        </w:rPr>
        <w:t>：</w:t>
      </w:r>
      <w:r>
        <w:rPr>
          <w:rFonts w:hint="eastAsia" w:hAnsi="宋体"/>
          <w:b/>
          <w:bCs/>
          <w:color w:val="auto"/>
          <w:sz w:val="24"/>
        </w:rPr>
        <w:t>一年，</w:t>
      </w:r>
      <w:r>
        <w:rPr>
          <w:rFonts w:hint="eastAsia" w:hAnsi="宋体"/>
          <w:b/>
          <w:bCs/>
          <w:sz w:val="24"/>
        </w:rPr>
        <w:t>自本项目实际维保之日起计算。本项目在预算有保障的前提下，采取一次招标三年沿用，实行一年一考核一签订合同的办法。考核共计100分，90分以上为优秀。年度考核平均分在90分（含）以上的，可续签下一年合同，但续签最多不超过两次。合同价按第一年中标的合同价续签。若年度考核平均分在90分以下的，双方不再续签合同，</w:t>
      </w:r>
      <w:r>
        <w:rPr>
          <w:rFonts w:hint="eastAsia" w:hAnsi="宋体"/>
          <w:b/>
          <w:bCs/>
          <w:sz w:val="24"/>
          <w:lang w:val="en-US" w:eastAsia="zh-CN"/>
        </w:rPr>
        <w:t>招标人</w:t>
      </w:r>
      <w:r>
        <w:rPr>
          <w:rFonts w:hint="eastAsia" w:hAnsi="宋体"/>
          <w:b/>
          <w:bCs/>
          <w:sz w:val="24"/>
        </w:rPr>
        <w:t>在下一年度重新组织招标。</w:t>
      </w:r>
    </w:p>
    <w:p w14:paraId="1E567E87">
      <w:pPr>
        <w:spacing w:line="360" w:lineRule="auto"/>
        <w:ind w:firstLine="480" w:firstLineChars="200"/>
        <w:rPr>
          <w:rFonts w:ascii="宋体" w:hAnsi="宋体" w:cs="宋体"/>
          <w:sz w:val="24"/>
        </w:rPr>
      </w:pPr>
      <w:r>
        <w:rPr>
          <w:rFonts w:hint="eastAsia" w:ascii="宋体" w:hAnsi="宋体" w:cs="宋体"/>
          <w:sz w:val="24"/>
        </w:rPr>
        <w:t>3.采购需求：详见第四章项目需求。</w:t>
      </w:r>
    </w:p>
    <w:p w14:paraId="48218BCC">
      <w:pPr>
        <w:spacing w:line="360" w:lineRule="auto"/>
        <w:ind w:firstLine="480"/>
        <w:rPr>
          <w:rFonts w:ascii="宋体" w:hAnsi="宋体"/>
          <w:sz w:val="24"/>
        </w:rPr>
      </w:pPr>
      <w:r>
        <w:rPr>
          <w:rFonts w:hint="eastAsia" w:ascii="宋体" w:hAnsi="宋体" w:cs="宋体"/>
          <w:sz w:val="24"/>
        </w:rPr>
        <w:t>4.项目类型：服务类。</w:t>
      </w:r>
    </w:p>
    <w:p w14:paraId="0CA99CB9">
      <w:pPr>
        <w:spacing w:line="360" w:lineRule="auto"/>
        <w:ind w:firstLine="480"/>
        <w:rPr>
          <w:rFonts w:ascii="宋体" w:hAnsi="宋体" w:cs="宋体"/>
          <w:sz w:val="24"/>
        </w:rPr>
      </w:pPr>
      <w:r>
        <w:rPr>
          <w:rFonts w:hint="eastAsia" w:ascii="宋体" w:hAnsi="宋体" w:cs="宋体"/>
          <w:sz w:val="24"/>
        </w:rPr>
        <w:t>5.本项目不接受联合体投标。</w:t>
      </w:r>
    </w:p>
    <w:p w14:paraId="71EA09BD">
      <w:pPr>
        <w:spacing w:line="480" w:lineRule="exact"/>
        <w:ind w:firstLine="480" w:firstLineChars="200"/>
        <w:rPr>
          <w:rFonts w:ascii="宋体" w:hAnsi="宋体" w:cs="宋体"/>
          <w:sz w:val="24"/>
          <w:szCs w:val="24"/>
        </w:rPr>
      </w:pPr>
      <w:r>
        <w:rPr>
          <w:rFonts w:hint="eastAsia" w:ascii="宋体" w:hAnsi="宋体" w:cs="宋体"/>
          <w:sz w:val="24"/>
          <w:szCs w:val="24"/>
        </w:rPr>
        <w:t>三、投标人资格要求</w:t>
      </w:r>
    </w:p>
    <w:p w14:paraId="11AC0DEF">
      <w:pPr>
        <w:spacing w:line="480" w:lineRule="exact"/>
        <w:ind w:firstLine="480" w:firstLineChars="200"/>
        <w:rPr>
          <w:rFonts w:ascii="宋体" w:hAnsi="宋体" w:cs="宋体"/>
          <w:sz w:val="24"/>
          <w:szCs w:val="24"/>
        </w:rPr>
      </w:pPr>
      <w:r>
        <w:rPr>
          <w:rFonts w:hint="eastAsia" w:ascii="宋体" w:hAnsi="宋体" w:cs="宋体"/>
          <w:sz w:val="24"/>
          <w:szCs w:val="24"/>
        </w:rPr>
        <w:t>（一）具备《中华人民共和国政府采购法》第二十二条规定的条件：</w:t>
      </w:r>
    </w:p>
    <w:p w14:paraId="6D5EBB93">
      <w:pPr>
        <w:spacing w:line="48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0CEB3437">
      <w:pPr>
        <w:spacing w:line="48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3C39F245">
      <w:pPr>
        <w:spacing w:line="48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35417277">
      <w:pPr>
        <w:spacing w:line="48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3B3EC1B6">
      <w:pPr>
        <w:spacing w:line="48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7C7809EC">
      <w:pPr>
        <w:spacing w:line="480" w:lineRule="exact"/>
        <w:ind w:firstLine="480" w:firstLineChars="200"/>
        <w:rPr>
          <w:rFonts w:ascii="宋体" w:hAnsi="宋体" w:cs="宋体"/>
          <w:sz w:val="24"/>
          <w:szCs w:val="24"/>
        </w:rPr>
      </w:pPr>
      <w:r>
        <w:rPr>
          <w:rFonts w:hint="eastAsia" w:ascii="宋体" w:hAnsi="宋体" w:cs="宋体"/>
          <w:sz w:val="24"/>
          <w:szCs w:val="24"/>
        </w:rPr>
        <w:t>（6）法律、行政法规规定的其他条件。且符合、承认并承诺履行招标文件各项规定的国内法人、其他组织（不包括在港澳台地区注册成立的法人、其它组织）；</w:t>
      </w:r>
    </w:p>
    <w:p w14:paraId="795BFC1F">
      <w:pPr>
        <w:spacing w:line="480" w:lineRule="exact"/>
        <w:ind w:firstLine="480" w:firstLineChars="200"/>
        <w:rPr>
          <w:rFonts w:ascii="宋体" w:hAnsi="宋体" w:cs="宋体"/>
          <w:sz w:val="24"/>
          <w:szCs w:val="24"/>
        </w:rPr>
      </w:pPr>
      <w:r>
        <w:rPr>
          <w:rFonts w:hint="eastAsia" w:ascii="宋体" w:hAnsi="宋体" w:cs="宋体"/>
          <w:sz w:val="24"/>
          <w:szCs w:val="24"/>
        </w:rPr>
        <w:t>（二）单位负责人为同一人或者存在直接控股、管理关系的不同服务商，不得参加同一合同项下的采购活动；法定代表人为同一个人的两个及两个以上法人，母公司、全资子公司及其控股公司，都不得参加同一合同项目的采购活动。</w:t>
      </w:r>
    </w:p>
    <w:p w14:paraId="50213E15">
      <w:pPr>
        <w:spacing w:line="480" w:lineRule="exact"/>
        <w:ind w:firstLine="480" w:firstLineChars="200"/>
        <w:rPr>
          <w:rFonts w:ascii="宋体" w:hAnsi="宋体" w:cs="宋体"/>
          <w:sz w:val="24"/>
          <w:szCs w:val="24"/>
        </w:rPr>
      </w:pPr>
      <w:r>
        <w:rPr>
          <w:rFonts w:hint="eastAsia" w:ascii="宋体" w:hAnsi="宋体" w:cs="宋体"/>
          <w:sz w:val="24"/>
          <w:szCs w:val="24"/>
        </w:rPr>
        <w:t>（三）为采购项目或其中分项目的前期工作提供设计、规范编制或者项目管理、监理、检测等服务的服务商及其附属机构（单位），不得参加本项目的投标；</w:t>
      </w:r>
    </w:p>
    <w:p w14:paraId="52D5B646">
      <w:pPr>
        <w:spacing w:line="480" w:lineRule="exact"/>
        <w:ind w:firstLine="480" w:firstLineChars="200"/>
        <w:rPr>
          <w:rFonts w:ascii="宋体" w:hAnsi="宋体" w:cs="宋体"/>
          <w:sz w:val="24"/>
          <w:szCs w:val="24"/>
        </w:rPr>
      </w:pPr>
      <w:r>
        <w:rPr>
          <w:rFonts w:hint="eastAsia" w:ascii="宋体" w:hAnsi="宋体" w:cs="宋体"/>
          <w:sz w:val="24"/>
          <w:szCs w:val="24"/>
        </w:rPr>
        <w:t>（四）具备完成本项目标的资质和能力，并能提供相应服务。</w:t>
      </w:r>
    </w:p>
    <w:p w14:paraId="1C15FEF9">
      <w:pPr>
        <w:spacing w:line="480" w:lineRule="exact"/>
        <w:ind w:firstLine="480" w:firstLineChars="200"/>
        <w:rPr>
          <w:rFonts w:ascii="宋体" w:hAnsi="宋体" w:cs="宋体"/>
          <w:sz w:val="24"/>
          <w:szCs w:val="24"/>
        </w:rPr>
      </w:pPr>
      <w:r>
        <w:rPr>
          <w:rFonts w:hint="eastAsia" w:ascii="宋体" w:hAnsi="宋体" w:cs="宋体"/>
          <w:sz w:val="24"/>
          <w:szCs w:val="24"/>
        </w:rPr>
        <w:t>注：“根据《中华人民共和国政府采购法实施条例》释义对银行、保险、石油、石化、电力、电信等有行业特殊情况的，应依法保障上述特殊行业法人依法设立并领取营业执照的分支机构参与招标投标活动的合法权益，故本项目前述特殊行业可以分支机构的身份参加，除此以外的其他行业不得以分支机构身份参加，采购文件涉及的“法定代表人”在前述特殊行业中即对应为“分支机构负责人”。分支机构参加投标的，可提供其母公司或母公司下属分公司及全资子公司的人员、资质证书、业绩等材料。</w:t>
      </w:r>
    </w:p>
    <w:p w14:paraId="409E736E">
      <w:pPr>
        <w:spacing w:line="480" w:lineRule="exact"/>
        <w:ind w:firstLine="480" w:firstLineChars="200"/>
        <w:rPr>
          <w:rFonts w:ascii="宋体" w:hAnsi="宋体" w:cs="宋体"/>
          <w:sz w:val="24"/>
          <w:szCs w:val="24"/>
        </w:rPr>
      </w:pPr>
      <w:r>
        <w:rPr>
          <w:rFonts w:hint="eastAsia" w:ascii="宋体" w:hAnsi="宋体" w:cs="宋体"/>
          <w:sz w:val="24"/>
          <w:szCs w:val="24"/>
        </w:rPr>
        <w:t>3.本项目的特定资格要求：无</w:t>
      </w:r>
    </w:p>
    <w:p w14:paraId="58CB452B">
      <w:pPr>
        <w:spacing w:line="480" w:lineRule="exact"/>
        <w:ind w:firstLine="480" w:firstLineChars="200"/>
        <w:rPr>
          <w:rFonts w:ascii="宋体" w:hAnsi="宋体" w:cs="宋体"/>
          <w:sz w:val="24"/>
          <w:szCs w:val="24"/>
        </w:rPr>
      </w:pPr>
      <w:r>
        <w:rPr>
          <w:rFonts w:hint="eastAsia" w:ascii="宋体" w:hAnsi="宋体" w:cs="宋体"/>
          <w:sz w:val="24"/>
          <w:szCs w:val="24"/>
        </w:rPr>
        <w:t>四、获取采购文件</w:t>
      </w:r>
    </w:p>
    <w:p w14:paraId="49EAAFE6">
      <w:pPr>
        <w:spacing w:line="460" w:lineRule="exact"/>
        <w:ind w:firstLine="540"/>
        <w:rPr>
          <w:rFonts w:ascii="宋体" w:hAnsi="宋体" w:cs="宋体"/>
          <w:sz w:val="24"/>
          <w:u w:val="single"/>
        </w:rPr>
      </w:pPr>
      <w:r>
        <w:rPr>
          <w:rFonts w:hint="eastAsia" w:ascii="宋体" w:hAnsi="宋体" w:cs="宋体"/>
          <w:sz w:val="24"/>
        </w:rPr>
        <w:t>1.在“南通市通州区人民政府网（http://www.tongzhou.gov.cn/）—政府信息公开—区市场监督管理局—法定主动公开内容—公告信息—下载公告及文件”自行免费下载采购文件。</w:t>
      </w:r>
    </w:p>
    <w:p w14:paraId="18C7C4C3">
      <w:pPr>
        <w:spacing w:line="480" w:lineRule="exact"/>
        <w:ind w:firstLine="480" w:firstLineChars="200"/>
        <w:rPr>
          <w:rFonts w:ascii="宋体" w:hAnsi="宋体" w:cs="宋体"/>
          <w:sz w:val="24"/>
          <w:szCs w:val="24"/>
        </w:rPr>
      </w:pPr>
      <w:r>
        <w:rPr>
          <w:rFonts w:hint="eastAsia" w:ascii="宋体" w:hAnsi="宋体" w:cs="宋体"/>
          <w:sz w:val="24"/>
          <w:szCs w:val="24"/>
        </w:rPr>
        <w:t>五、响应文件提交</w:t>
      </w:r>
    </w:p>
    <w:p w14:paraId="6A716966">
      <w:pPr>
        <w:spacing w:line="480" w:lineRule="exact"/>
        <w:ind w:firstLine="480" w:firstLineChars="200"/>
        <w:rPr>
          <w:rFonts w:ascii="宋体" w:hAnsi="宋体" w:cs="宋体"/>
          <w:sz w:val="24"/>
          <w:szCs w:val="24"/>
        </w:rPr>
      </w:pPr>
      <w:r>
        <w:rPr>
          <w:rFonts w:hint="eastAsia" w:ascii="宋体" w:hAnsi="宋体" w:cs="宋体"/>
          <w:sz w:val="24"/>
          <w:szCs w:val="24"/>
          <w:highlight w:val="none"/>
        </w:rPr>
        <w:t>1.截止时间：2026年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4</w:t>
      </w:r>
      <w:r>
        <w:rPr>
          <w:rFonts w:hint="eastAsia" w:ascii="宋体" w:hAnsi="宋体" w:cs="宋体"/>
          <w:sz w:val="24"/>
          <w:szCs w:val="24"/>
          <w:highlight w:val="none"/>
        </w:rPr>
        <w:t>日14 点00分。（北</w:t>
      </w:r>
      <w:r>
        <w:rPr>
          <w:rFonts w:hint="eastAsia" w:ascii="宋体" w:hAnsi="宋体" w:cs="宋体"/>
          <w:sz w:val="24"/>
          <w:szCs w:val="24"/>
        </w:rPr>
        <w:t>京时间）</w:t>
      </w:r>
    </w:p>
    <w:p w14:paraId="678DE1E9">
      <w:pPr>
        <w:spacing w:line="480" w:lineRule="exact"/>
        <w:ind w:firstLine="480" w:firstLineChars="200"/>
        <w:rPr>
          <w:rFonts w:ascii="宋体" w:hAnsi="宋体" w:cs="宋体"/>
          <w:sz w:val="24"/>
          <w:szCs w:val="24"/>
        </w:rPr>
      </w:pPr>
      <w:r>
        <w:rPr>
          <w:rFonts w:hint="eastAsia" w:ascii="宋体" w:hAnsi="宋体" w:cs="宋体"/>
          <w:sz w:val="24"/>
          <w:szCs w:val="24"/>
        </w:rPr>
        <w:t>2.地点：</w:t>
      </w:r>
      <w:r>
        <w:rPr>
          <w:rFonts w:hint="eastAsia" w:ascii="宋体" w:hAnsi="宋体" w:cs="宋体"/>
          <w:sz w:val="24"/>
          <w:u w:val="single"/>
        </w:rPr>
        <w:t>南通市通州区市场监督管理局506会议室</w:t>
      </w:r>
      <w:r>
        <w:rPr>
          <w:rFonts w:hint="eastAsia" w:ascii="宋体" w:hAnsi="宋体" w:cs="宋体"/>
          <w:sz w:val="24"/>
          <w:szCs w:val="24"/>
        </w:rPr>
        <w:t>。</w:t>
      </w:r>
      <w:bookmarkStart w:id="130" w:name="_GoBack"/>
      <w:bookmarkEnd w:id="130"/>
    </w:p>
    <w:p w14:paraId="64A37BE5">
      <w:pPr>
        <w:spacing w:line="480" w:lineRule="exact"/>
        <w:ind w:firstLine="480" w:firstLineChars="200"/>
        <w:rPr>
          <w:rFonts w:ascii="宋体" w:hAnsi="宋体" w:cs="宋体"/>
          <w:sz w:val="24"/>
          <w:szCs w:val="24"/>
        </w:rPr>
      </w:pPr>
      <w:r>
        <w:rPr>
          <w:rFonts w:hint="eastAsia" w:ascii="宋体" w:hAnsi="宋体" w:cs="宋体"/>
          <w:sz w:val="24"/>
          <w:szCs w:val="24"/>
        </w:rPr>
        <w:t>六、开启</w:t>
      </w:r>
    </w:p>
    <w:p w14:paraId="45F0055E">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1.时间：</w:t>
      </w:r>
      <w:r>
        <w:rPr>
          <w:rFonts w:hint="eastAsia" w:ascii="宋体" w:hAnsi="宋体" w:cs="宋体"/>
          <w:sz w:val="24"/>
          <w:szCs w:val="24"/>
          <w:highlight w:val="none"/>
        </w:rPr>
        <w:t>2026年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4</w:t>
      </w:r>
      <w:r>
        <w:rPr>
          <w:rFonts w:hint="eastAsia" w:ascii="宋体" w:hAnsi="宋体" w:cs="宋体"/>
          <w:sz w:val="24"/>
          <w:szCs w:val="24"/>
          <w:highlight w:val="none"/>
        </w:rPr>
        <w:t>日14 点00分。（北京时间）</w:t>
      </w:r>
    </w:p>
    <w:p w14:paraId="520EEEF5">
      <w:pPr>
        <w:spacing w:line="480" w:lineRule="exact"/>
        <w:ind w:firstLine="480" w:firstLineChars="200"/>
        <w:rPr>
          <w:rFonts w:ascii="宋体" w:hAnsi="宋体" w:cs="宋体"/>
          <w:sz w:val="24"/>
          <w:szCs w:val="24"/>
        </w:rPr>
      </w:pPr>
      <w:r>
        <w:rPr>
          <w:rFonts w:hint="eastAsia" w:ascii="宋体" w:hAnsi="宋体" w:cs="宋体"/>
          <w:sz w:val="24"/>
          <w:szCs w:val="24"/>
        </w:rPr>
        <w:t>2.地点：</w:t>
      </w:r>
      <w:r>
        <w:rPr>
          <w:rFonts w:hint="eastAsia" w:ascii="宋体" w:hAnsi="宋体" w:cs="宋体"/>
          <w:sz w:val="24"/>
          <w:u w:val="single"/>
        </w:rPr>
        <w:t>南通市通州区市场监督管理局506会议室</w:t>
      </w:r>
      <w:r>
        <w:rPr>
          <w:rFonts w:hint="eastAsia" w:ascii="宋体" w:hAnsi="宋体" w:cs="宋体"/>
          <w:sz w:val="24"/>
          <w:szCs w:val="24"/>
        </w:rPr>
        <w:t>。</w:t>
      </w:r>
    </w:p>
    <w:p w14:paraId="217FBD31">
      <w:pPr>
        <w:spacing w:line="480" w:lineRule="exact"/>
        <w:ind w:firstLine="480" w:firstLineChars="200"/>
        <w:rPr>
          <w:rFonts w:ascii="宋体" w:hAnsi="宋体" w:cs="宋体"/>
          <w:sz w:val="24"/>
          <w:szCs w:val="24"/>
        </w:rPr>
      </w:pPr>
      <w:r>
        <w:rPr>
          <w:rFonts w:hint="eastAsia" w:ascii="宋体" w:hAnsi="宋体" w:cs="宋体"/>
          <w:sz w:val="24"/>
          <w:szCs w:val="24"/>
        </w:rPr>
        <w:t>七、本次招标活动联系方式</w:t>
      </w:r>
    </w:p>
    <w:p w14:paraId="2DAF38EB">
      <w:pPr>
        <w:spacing w:line="480" w:lineRule="exact"/>
        <w:ind w:firstLine="480" w:firstLineChars="200"/>
        <w:rPr>
          <w:rFonts w:ascii="宋体" w:hAnsi="宋体" w:cs="宋体"/>
          <w:sz w:val="24"/>
          <w:szCs w:val="24"/>
        </w:rPr>
      </w:pPr>
      <w:r>
        <w:rPr>
          <w:rFonts w:hint="eastAsia" w:ascii="宋体" w:hAnsi="宋体" w:cs="宋体"/>
          <w:sz w:val="24"/>
          <w:szCs w:val="24"/>
        </w:rPr>
        <w:t>1.采购人信息</w:t>
      </w:r>
    </w:p>
    <w:p w14:paraId="5A6DA8CA">
      <w:pPr>
        <w:spacing w:line="480" w:lineRule="exact"/>
        <w:ind w:firstLine="480" w:firstLineChars="200"/>
        <w:rPr>
          <w:rFonts w:ascii="宋体" w:hAnsi="宋体" w:cs="宋体"/>
          <w:sz w:val="24"/>
          <w:szCs w:val="24"/>
        </w:rPr>
      </w:pPr>
      <w:r>
        <w:rPr>
          <w:rFonts w:hint="eastAsia" w:ascii="宋体" w:hAnsi="宋体" w:cs="宋体"/>
          <w:sz w:val="24"/>
          <w:szCs w:val="24"/>
        </w:rPr>
        <w:t>名称：南通市通州区市场监督管理局</w:t>
      </w:r>
    </w:p>
    <w:p w14:paraId="0E47BDF9">
      <w:pPr>
        <w:spacing w:line="480" w:lineRule="exact"/>
        <w:ind w:firstLine="480" w:firstLineChars="200"/>
        <w:rPr>
          <w:rFonts w:ascii="宋体" w:hAnsi="宋体" w:cs="宋体"/>
          <w:sz w:val="24"/>
          <w:szCs w:val="24"/>
        </w:rPr>
      </w:pPr>
      <w:r>
        <w:rPr>
          <w:rFonts w:hint="eastAsia" w:ascii="宋体" w:hAnsi="宋体" w:cs="宋体"/>
          <w:sz w:val="24"/>
          <w:szCs w:val="24"/>
        </w:rPr>
        <w:t>地址：南通市通州区新金西路80号</w:t>
      </w:r>
    </w:p>
    <w:p w14:paraId="45308F52">
      <w:pPr>
        <w:spacing w:line="480" w:lineRule="exact"/>
        <w:ind w:firstLine="480" w:firstLineChars="200"/>
        <w:rPr>
          <w:rFonts w:ascii="宋体" w:hAnsi="宋体" w:cs="宋体"/>
          <w:sz w:val="24"/>
          <w:szCs w:val="24"/>
          <w:u w:val="single"/>
        </w:rPr>
      </w:pPr>
      <w:r>
        <w:rPr>
          <w:rFonts w:hint="eastAsia" w:ascii="宋体" w:hAnsi="宋体" w:cs="宋体"/>
          <w:sz w:val="24"/>
          <w:szCs w:val="24"/>
        </w:rPr>
        <w:t>联 系 人：</w:t>
      </w:r>
      <w:r>
        <w:rPr>
          <w:rFonts w:hint="eastAsia" w:ascii="宋体" w:hAnsi="宋体" w:cs="宋体"/>
          <w:sz w:val="24"/>
          <w:szCs w:val="24"/>
          <w:u w:val="single"/>
        </w:rPr>
        <w:t>李先生</w:t>
      </w:r>
      <w:r>
        <w:rPr>
          <w:rFonts w:hint="eastAsia" w:ascii="宋体" w:hAnsi="宋体" w:cs="宋体"/>
          <w:sz w:val="24"/>
          <w:szCs w:val="24"/>
        </w:rPr>
        <w:t xml:space="preserve">   联系方式：</w:t>
      </w:r>
      <w:r>
        <w:rPr>
          <w:rFonts w:hint="eastAsia" w:ascii="宋体" w:hAnsi="宋体" w:cs="宋体"/>
          <w:sz w:val="24"/>
          <w:szCs w:val="24"/>
          <w:u w:val="single"/>
        </w:rPr>
        <w:t xml:space="preserve">18360008022  </w:t>
      </w:r>
    </w:p>
    <w:p w14:paraId="40345FBC">
      <w:pPr>
        <w:spacing w:line="480" w:lineRule="exact"/>
        <w:ind w:firstLine="480" w:firstLineChars="200"/>
        <w:rPr>
          <w:rFonts w:ascii="宋体" w:hAnsi="宋体" w:cs="宋体"/>
          <w:sz w:val="24"/>
          <w:szCs w:val="24"/>
        </w:rPr>
      </w:pPr>
      <w:r>
        <w:rPr>
          <w:rFonts w:hint="eastAsia" w:ascii="宋体" w:hAnsi="宋体" w:cs="宋体"/>
          <w:sz w:val="24"/>
          <w:szCs w:val="24"/>
        </w:rPr>
        <w:t>2.招标代理信息</w:t>
      </w:r>
    </w:p>
    <w:p w14:paraId="625A4716">
      <w:pPr>
        <w:spacing w:line="480" w:lineRule="exact"/>
        <w:ind w:firstLine="480" w:firstLineChars="200"/>
        <w:rPr>
          <w:rFonts w:ascii="宋体" w:hAnsi="宋体" w:cs="宋体"/>
          <w:sz w:val="24"/>
          <w:szCs w:val="24"/>
        </w:rPr>
      </w:pPr>
      <w:r>
        <w:rPr>
          <w:rFonts w:hint="eastAsia" w:ascii="宋体" w:hAnsi="宋体" w:cs="宋体"/>
          <w:sz w:val="24"/>
          <w:szCs w:val="24"/>
        </w:rPr>
        <w:t>招标代理：江苏衡晟项目管理咨询有限公司</w:t>
      </w:r>
    </w:p>
    <w:p w14:paraId="6677988C">
      <w:pPr>
        <w:spacing w:line="480" w:lineRule="exact"/>
        <w:ind w:firstLine="480" w:firstLineChars="200"/>
        <w:rPr>
          <w:rFonts w:ascii="宋体" w:hAnsi="宋体" w:cs="宋体"/>
          <w:sz w:val="24"/>
          <w:szCs w:val="24"/>
        </w:rPr>
      </w:pPr>
      <w:r>
        <w:rPr>
          <w:rFonts w:hint="eastAsia" w:ascii="宋体" w:hAnsi="宋体" w:cs="宋体"/>
          <w:sz w:val="24"/>
          <w:szCs w:val="24"/>
        </w:rPr>
        <w:t>地址：通州区朝霞路奥建大厦</w:t>
      </w:r>
    </w:p>
    <w:p w14:paraId="41B2B5AC">
      <w:pPr>
        <w:spacing w:line="480" w:lineRule="exact"/>
        <w:ind w:firstLine="480" w:firstLineChars="200"/>
        <w:rPr>
          <w:rFonts w:ascii="宋体" w:hAnsi="宋体" w:cs="宋体"/>
          <w:sz w:val="24"/>
          <w:szCs w:val="24"/>
        </w:rPr>
      </w:pPr>
      <w:r>
        <w:rPr>
          <w:rFonts w:hint="eastAsia" w:ascii="宋体" w:hAnsi="宋体" w:cs="宋体"/>
          <w:sz w:val="24"/>
          <w:szCs w:val="24"/>
        </w:rPr>
        <w:t>联系人：高先生</w:t>
      </w:r>
    </w:p>
    <w:p w14:paraId="0E197D14">
      <w:pPr>
        <w:spacing w:line="480" w:lineRule="exact"/>
        <w:ind w:firstLine="480" w:firstLineChars="200"/>
        <w:rPr>
          <w:rFonts w:ascii="宋体" w:hAnsi="宋体" w:cs="宋体"/>
          <w:sz w:val="24"/>
          <w:szCs w:val="24"/>
        </w:rPr>
      </w:pPr>
      <w:r>
        <w:rPr>
          <w:rFonts w:hint="eastAsia" w:ascii="宋体" w:hAnsi="宋体" w:cs="宋体"/>
          <w:sz w:val="24"/>
          <w:szCs w:val="24"/>
        </w:rPr>
        <w:t>联系电话：15106289000</w:t>
      </w:r>
    </w:p>
    <w:p w14:paraId="03B3F30C">
      <w:pPr>
        <w:spacing w:line="480" w:lineRule="exact"/>
        <w:ind w:firstLine="480" w:firstLineChars="200"/>
        <w:rPr>
          <w:rFonts w:ascii="宋体" w:hAnsi="宋体" w:cs="宋体"/>
          <w:sz w:val="24"/>
          <w:szCs w:val="24"/>
        </w:rPr>
      </w:pPr>
      <w:r>
        <w:rPr>
          <w:rFonts w:hint="eastAsia" w:ascii="宋体" w:hAnsi="宋体" w:cs="宋体"/>
          <w:sz w:val="24"/>
          <w:szCs w:val="24"/>
        </w:rPr>
        <w:t>八、其他</w:t>
      </w:r>
    </w:p>
    <w:p w14:paraId="5C96567B">
      <w:pPr>
        <w:spacing w:line="480" w:lineRule="exact"/>
        <w:ind w:firstLine="480" w:firstLineChars="200"/>
        <w:rPr>
          <w:rFonts w:ascii="宋体" w:hAnsi="宋体" w:cs="宋体"/>
          <w:sz w:val="24"/>
          <w:szCs w:val="24"/>
        </w:rPr>
      </w:pPr>
      <w:r>
        <w:rPr>
          <w:rFonts w:hint="eastAsia" w:ascii="宋体" w:hAnsi="宋体" w:cs="宋体"/>
          <w:sz w:val="24"/>
          <w:szCs w:val="24"/>
        </w:rPr>
        <w:t>1.潜在供应商对招标文件项目需求部分的询问、质疑请向采购人提出，由采购人负责答复。</w:t>
      </w:r>
    </w:p>
    <w:p w14:paraId="7D5BDBEE">
      <w:pPr>
        <w:spacing w:line="480" w:lineRule="exact"/>
        <w:ind w:firstLine="480" w:firstLineChars="200"/>
        <w:rPr>
          <w:rFonts w:ascii="宋体" w:hAnsi="宋体" w:cs="宋体"/>
          <w:sz w:val="24"/>
          <w:szCs w:val="24"/>
        </w:rPr>
      </w:pPr>
      <w:r>
        <w:rPr>
          <w:rFonts w:hint="eastAsia" w:ascii="宋体" w:hAnsi="宋体" w:cs="宋体"/>
          <w:sz w:val="24"/>
          <w:szCs w:val="24"/>
        </w:rPr>
        <w:t>2.投标文件制作份数要求：</w:t>
      </w:r>
    </w:p>
    <w:p w14:paraId="11D31E12">
      <w:pPr>
        <w:spacing w:line="480" w:lineRule="exact"/>
        <w:ind w:firstLine="480" w:firstLineChars="200"/>
        <w:rPr>
          <w:rFonts w:ascii="宋体" w:hAnsi="宋体" w:cs="宋体"/>
          <w:sz w:val="24"/>
          <w:szCs w:val="24"/>
        </w:rPr>
      </w:pPr>
      <w:r>
        <w:rPr>
          <w:rFonts w:hint="eastAsia" w:ascii="宋体" w:hAnsi="宋体" w:cs="宋体"/>
          <w:sz w:val="24"/>
          <w:szCs w:val="24"/>
        </w:rPr>
        <w:t>正本份数：1份   副本份数：2份</w:t>
      </w:r>
    </w:p>
    <w:p w14:paraId="1F477CDC">
      <w:pPr>
        <w:spacing w:line="480" w:lineRule="exact"/>
        <w:ind w:firstLine="480" w:firstLineChars="200"/>
        <w:rPr>
          <w:rFonts w:ascii="宋体" w:hAnsi="宋体" w:cs="宋体"/>
          <w:sz w:val="24"/>
          <w:szCs w:val="24"/>
        </w:rPr>
      </w:pPr>
      <w:r>
        <w:rPr>
          <w:rFonts w:hint="eastAsia" w:ascii="宋体" w:hAnsi="宋体" w:cs="宋体"/>
          <w:sz w:val="24"/>
          <w:szCs w:val="24"/>
        </w:rPr>
        <w:t>3.有关本次采购的事项若存在变动或修改，敬请及时关注“南通市通州区人民政府官网”发布的更正公告。</w:t>
      </w:r>
    </w:p>
    <w:p w14:paraId="36548FD2">
      <w:pPr>
        <w:spacing w:line="48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rPr>
        <w:t>供应商代表须携带一份授权委托书原件及身份证原件出席开标会议（法定代表人出席的，出示法定代表人身份证明原件及身份证原件，格式详见响应文件的组成和格式），否则采购人及采购代理机构将拒绝接收其响应材料。</w:t>
      </w:r>
    </w:p>
    <w:p w14:paraId="727B4EC5"/>
    <w:p w14:paraId="6951B7DD"/>
    <w:p w14:paraId="128AEA66">
      <w:pPr>
        <w:adjustRightInd w:val="0"/>
        <w:snapToGrid w:val="0"/>
        <w:spacing w:line="420" w:lineRule="exact"/>
        <w:ind w:firstLine="480" w:firstLineChars="200"/>
        <w:rPr>
          <w:rFonts w:ascii="宋体" w:hAnsi="宋体"/>
          <w:sz w:val="24"/>
        </w:rPr>
      </w:pPr>
    </w:p>
    <w:bookmarkEnd w:id="0"/>
    <w:bookmarkEnd w:id="1"/>
    <w:bookmarkEnd w:id="2"/>
    <w:p w14:paraId="102D5DB6">
      <w:pPr>
        <w:snapToGrid w:val="0"/>
        <w:spacing w:line="520" w:lineRule="exact"/>
        <w:jc w:val="center"/>
        <w:outlineLvl w:val="0"/>
        <w:rPr>
          <w:rFonts w:ascii="宋体" w:hAnsi="宋体"/>
          <w:b/>
          <w:sz w:val="32"/>
          <w:szCs w:val="32"/>
        </w:rPr>
      </w:pPr>
      <w:r>
        <w:rPr>
          <w:rFonts w:hint="eastAsia" w:ascii="宋体" w:hAnsi="宋体"/>
          <w:b/>
          <w:sz w:val="32"/>
          <w:szCs w:val="32"/>
        </w:rPr>
        <w:t xml:space="preserve">第二章  </w:t>
      </w:r>
      <w:bookmarkStart w:id="3" w:name="_Toc20823274"/>
      <w:bookmarkStart w:id="4" w:name="_Toc16938518"/>
      <w:bookmarkStart w:id="5" w:name="_Toc513029202"/>
      <w:bookmarkStart w:id="6" w:name="_Toc120614213"/>
      <w:r>
        <w:rPr>
          <w:rFonts w:hint="eastAsia" w:ascii="宋体" w:hAnsi="宋体"/>
          <w:b/>
          <w:sz w:val="32"/>
          <w:szCs w:val="32"/>
        </w:rPr>
        <w:t>投标人须知</w:t>
      </w:r>
      <w:bookmarkEnd w:id="3"/>
      <w:bookmarkEnd w:id="4"/>
      <w:bookmarkEnd w:id="5"/>
      <w:bookmarkEnd w:id="6"/>
      <w:bookmarkStart w:id="7" w:name="_Toc120614214"/>
      <w:bookmarkStart w:id="8" w:name="_Toc16938519"/>
      <w:bookmarkStart w:id="9" w:name="_Toc20823275"/>
      <w:bookmarkStart w:id="10" w:name="_Toc513029203"/>
    </w:p>
    <w:p w14:paraId="42F43104">
      <w:pPr>
        <w:adjustRightInd w:val="0"/>
        <w:snapToGrid w:val="0"/>
        <w:spacing w:line="420" w:lineRule="exact"/>
        <w:ind w:firstLine="482" w:firstLineChars="200"/>
        <w:rPr>
          <w:b/>
          <w:sz w:val="24"/>
        </w:rPr>
      </w:pPr>
      <w:r>
        <w:rPr>
          <w:rFonts w:hint="eastAsia"/>
          <w:b/>
          <w:sz w:val="24"/>
        </w:rPr>
        <w:t>一、总则</w:t>
      </w:r>
      <w:bookmarkEnd w:id="7"/>
      <w:bookmarkEnd w:id="8"/>
      <w:bookmarkEnd w:id="9"/>
      <w:bookmarkEnd w:id="10"/>
    </w:p>
    <w:p w14:paraId="7824DBFB">
      <w:pPr>
        <w:spacing w:line="440" w:lineRule="exact"/>
        <w:ind w:firstLine="480" w:firstLineChars="200"/>
        <w:rPr>
          <w:rFonts w:ascii="宋体" w:hAnsi="宋体" w:cs="宋体"/>
          <w:sz w:val="24"/>
          <w:szCs w:val="24"/>
        </w:rPr>
      </w:pPr>
      <w:bookmarkStart w:id="11" w:name="_Hlt16619475"/>
      <w:bookmarkEnd w:id="11"/>
      <w:bookmarkStart w:id="12" w:name="_Toc458694821"/>
      <w:bookmarkStart w:id="13" w:name="_Toc20823276"/>
      <w:bookmarkStart w:id="14" w:name="_Toc513029204"/>
      <w:bookmarkStart w:id="15" w:name="_Toc16938520"/>
      <w:r>
        <w:rPr>
          <w:rFonts w:hint="eastAsia" w:ascii="宋体" w:hAnsi="宋体" w:cs="宋体"/>
          <w:sz w:val="24"/>
          <w:szCs w:val="24"/>
        </w:rPr>
        <w:t>1</w:t>
      </w:r>
      <w:bookmarkEnd w:id="12"/>
      <w:r>
        <w:rPr>
          <w:rFonts w:hint="eastAsia" w:ascii="宋体" w:hAnsi="宋体" w:cs="宋体"/>
          <w:sz w:val="24"/>
          <w:szCs w:val="24"/>
        </w:rPr>
        <w:t>、招标方式</w:t>
      </w:r>
      <w:bookmarkEnd w:id="13"/>
      <w:bookmarkEnd w:id="14"/>
      <w:bookmarkEnd w:id="15"/>
    </w:p>
    <w:p w14:paraId="6AC790DF">
      <w:pPr>
        <w:spacing w:line="440" w:lineRule="exact"/>
        <w:ind w:firstLine="480" w:firstLineChars="200"/>
        <w:rPr>
          <w:rFonts w:ascii="宋体" w:hAnsi="宋体" w:cs="宋体"/>
          <w:sz w:val="24"/>
          <w:szCs w:val="24"/>
        </w:rPr>
      </w:pPr>
      <w:r>
        <w:rPr>
          <w:rFonts w:hint="eastAsia" w:ascii="宋体" w:hAnsi="宋体" w:cs="宋体"/>
          <w:sz w:val="24"/>
          <w:szCs w:val="24"/>
        </w:rPr>
        <w:t>1.1 本次招标采取公开招标方式，本招标文件仅适用于招标公告中所述项目。</w:t>
      </w:r>
    </w:p>
    <w:p w14:paraId="401B0B62">
      <w:pPr>
        <w:spacing w:line="440" w:lineRule="exact"/>
        <w:ind w:firstLine="480" w:firstLineChars="200"/>
        <w:rPr>
          <w:rFonts w:ascii="宋体" w:hAnsi="宋体" w:cs="宋体"/>
          <w:sz w:val="24"/>
          <w:szCs w:val="24"/>
        </w:rPr>
      </w:pPr>
      <w:bookmarkStart w:id="16" w:name="_Toc20823277"/>
      <w:bookmarkStart w:id="17" w:name="_Toc513029205"/>
      <w:bookmarkStart w:id="18" w:name="_Toc16938521"/>
      <w:r>
        <w:rPr>
          <w:rFonts w:hint="eastAsia" w:ascii="宋体" w:hAnsi="宋体" w:cs="宋体"/>
          <w:sz w:val="24"/>
          <w:szCs w:val="24"/>
        </w:rPr>
        <w:t>2、合格的投标人</w:t>
      </w:r>
      <w:bookmarkEnd w:id="16"/>
      <w:bookmarkEnd w:id="17"/>
      <w:bookmarkEnd w:id="18"/>
    </w:p>
    <w:p w14:paraId="3F7A91B1">
      <w:pPr>
        <w:spacing w:line="44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14:paraId="1B4D745F">
      <w:pPr>
        <w:spacing w:line="44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bookmarkStart w:id="19" w:name="_Toc16938522"/>
      <w:bookmarkStart w:id="20" w:name="_Toc513029206"/>
      <w:bookmarkStart w:id="21" w:name="_Toc20823278"/>
    </w:p>
    <w:p w14:paraId="4E758C19">
      <w:pPr>
        <w:spacing w:line="440" w:lineRule="exact"/>
        <w:ind w:firstLine="480" w:firstLineChars="200"/>
        <w:rPr>
          <w:rFonts w:ascii="宋体" w:hAnsi="宋体" w:cs="宋体"/>
          <w:sz w:val="24"/>
          <w:szCs w:val="24"/>
        </w:rPr>
      </w:pPr>
      <w:r>
        <w:rPr>
          <w:rFonts w:hint="eastAsia" w:ascii="宋体" w:hAnsi="宋体" w:cs="宋体"/>
          <w:sz w:val="24"/>
          <w:szCs w:val="24"/>
        </w:rPr>
        <w:t>3、适用法律</w:t>
      </w:r>
      <w:bookmarkEnd w:id="19"/>
      <w:bookmarkEnd w:id="20"/>
      <w:bookmarkEnd w:id="21"/>
    </w:p>
    <w:p w14:paraId="55157126">
      <w:pPr>
        <w:spacing w:line="440" w:lineRule="exact"/>
        <w:ind w:firstLine="480" w:firstLineChars="200"/>
        <w:rPr>
          <w:rFonts w:ascii="宋体" w:hAnsi="宋体" w:cs="宋体"/>
          <w:sz w:val="24"/>
          <w:szCs w:val="24"/>
        </w:rPr>
      </w:pPr>
      <w:r>
        <w:rPr>
          <w:rFonts w:hint="eastAsia" w:ascii="宋体" w:hAnsi="宋体" w:cs="宋体"/>
          <w:sz w:val="24"/>
          <w:szCs w:val="24"/>
        </w:rPr>
        <w:t>3.1 本次招标及由此产生的合同受中华人民共和国有关的法律法规制约和保护。</w:t>
      </w:r>
    </w:p>
    <w:p w14:paraId="6C32D0DF">
      <w:pPr>
        <w:spacing w:line="440" w:lineRule="exact"/>
        <w:ind w:firstLine="480" w:firstLineChars="200"/>
        <w:rPr>
          <w:rFonts w:ascii="宋体" w:hAnsi="宋体" w:cs="宋体"/>
          <w:sz w:val="24"/>
          <w:szCs w:val="24"/>
        </w:rPr>
      </w:pPr>
      <w:bookmarkStart w:id="22" w:name="_Toc513029207"/>
      <w:bookmarkStart w:id="23" w:name="_Toc16938523"/>
      <w:bookmarkStart w:id="24" w:name="_Toc20823279"/>
      <w:bookmarkStart w:id="25" w:name="_Toc462564067"/>
      <w:r>
        <w:rPr>
          <w:rFonts w:hint="eastAsia" w:ascii="宋体" w:hAnsi="宋体" w:cs="宋体"/>
          <w:sz w:val="24"/>
          <w:szCs w:val="24"/>
        </w:rPr>
        <w:t>4、投标费用</w:t>
      </w:r>
      <w:bookmarkEnd w:id="22"/>
      <w:bookmarkEnd w:id="23"/>
      <w:bookmarkEnd w:id="24"/>
      <w:bookmarkEnd w:id="25"/>
    </w:p>
    <w:p w14:paraId="50102171">
      <w:pPr>
        <w:spacing w:line="440" w:lineRule="exact"/>
        <w:ind w:firstLine="480" w:firstLineChars="200"/>
        <w:rPr>
          <w:rFonts w:ascii="宋体" w:hAnsi="宋体" w:cs="宋体"/>
          <w:sz w:val="24"/>
          <w:szCs w:val="24"/>
        </w:rPr>
      </w:pPr>
      <w:r>
        <w:rPr>
          <w:rFonts w:hint="eastAsia" w:ascii="宋体" w:hAnsi="宋体" w:cs="宋体"/>
          <w:sz w:val="24"/>
          <w:szCs w:val="24"/>
        </w:rPr>
        <w:t>4.1 投标人应自行承担所有与参加投标有关的费用，无论投标过程中的做法和结果如何，本采购人在任何情况下均无义务和责任承担这些费用。</w:t>
      </w:r>
    </w:p>
    <w:p w14:paraId="485056AB">
      <w:pPr>
        <w:spacing w:line="480" w:lineRule="exact"/>
        <w:ind w:firstLine="480" w:firstLineChars="200"/>
        <w:rPr>
          <w:rFonts w:ascii="宋体" w:hAnsi="宋体" w:cs="宋体"/>
          <w:color w:val="000000"/>
          <w:sz w:val="24"/>
        </w:rPr>
      </w:pPr>
      <w:r>
        <w:rPr>
          <w:rFonts w:hint="eastAsia" w:ascii="宋体" w:hAnsi="宋体" w:cs="宋体"/>
          <w:sz w:val="24"/>
          <w:szCs w:val="24"/>
        </w:rPr>
        <w:t>4.2</w:t>
      </w:r>
      <w:r>
        <w:rPr>
          <w:rFonts w:hint="eastAsia" w:ascii="宋体" w:hAnsi="宋体" w:cs="宋体"/>
          <w:sz w:val="24"/>
        </w:rPr>
        <w:t>本项目招标代理费人民币3000元，由成交供应商支付，</w:t>
      </w:r>
      <w:r>
        <w:rPr>
          <w:rFonts w:hint="eastAsia" w:ascii="宋体" w:hAnsi="宋体" w:cs="宋体"/>
          <w:spacing w:val="-3"/>
          <w:szCs w:val="22"/>
        </w:rPr>
        <w:t>与</w:t>
      </w:r>
      <w:r>
        <w:rPr>
          <w:rFonts w:hint="eastAsia" w:ascii="宋体" w:hAnsi="宋体" w:cs="宋体"/>
          <w:sz w:val="24"/>
        </w:rPr>
        <w:t>本次评标相关的其他费用也由中标人支付，报价时综合考虑。</w:t>
      </w:r>
    </w:p>
    <w:p w14:paraId="75788A2D">
      <w:pPr>
        <w:spacing w:line="440" w:lineRule="exact"/>
        <w:ind w:firstLine="480" w:firstLineChars="200"/>
        <w:rPr>
          <w:rFonts w:ascii="宋体" w:hAnsi="宋体" w:cs="宋体"/>
          <w:sz w:val="24"/>
          <w:szCs w:val="24"/>
        </w:rPr>
      </w:pPr>
      <w:r>
        <w:rPr>
          <w:rFonts w:hint="eastAsia" w:ascii="宋体" w:hAnsi="宋体" w:cs="宋体"/>
          <w:sz w:val="24"/>
          <w:szCs w:val="24"/>
        </w:rPr>
        <w:t>5、招标文件的约束力</w:t>
      </w:r>
    </w:p>
    <w:p w14:paraId="4C1760FA">
      <w:pPr>
        <w:spacing w:line="440" w:lineRule="exact"/>
        <w:ind w:firstLine="480" w:firstLineChars="200"/>
        <w:rPr>
          <w:rFonts w:ascii="宋体" w:hAnsi="宋体" w:cs="宋体"/>
          <w:sz w:val="24"/>
          <w:szCs w:val="24"/>
        </w:rPr>
      </w:pPr>
      <w:r>
        <w:rPr>
          <w:rFonts w:hint="eastAsia" w:ascii="宋体" w:hAnsi="宋体" w:cs="宋体"/>
          <w:sz w:val="24"/>
          <w:szCs w:val="24"/>
        </w:rPr>
        <w:t>5.1 投标人一旦参加本项目采购活动，即被认为接受了本招标文件的规定和约束并且视为自招标公告期限届满之日起知道或应当知道自身权益是否收到了损害。</w:t>
      </w:r>
    </w:p>
    <w:p w14:paraId="04FB39BE">
      <w:pPr>
        <w:adjustRightInd w:val="0"/>
        <w:snapToGrid w:val="0"/>
        <w:spacing w:line="420" w:lineRule="exact"/>
        <w:ind w:firstLine="482" w:firstLineChars="200"/>
        <w:rPr>
          <w:b/>
          <w:sz w:val="24"/>
        </w:rPr>
      </w:pPr>
      <w:bookmarkStart w:id="26" w:name="_Toc120614215"/>
      <w:bookmarkStart w:id="27" w:name="_Toc20823281"/>
      <w:bookmarkStart w:id="28" w:name="_Toc16938525"/>
      <w:bookmarkStart w:id="29" w:name="_Toc513029209"/>
      <w:r>
        <w:rPr>
          <w:rFonts w:hint="eastAsia"/>
          <w:b/>
          <w:sz w:val="24"/>
        </w:rPr>
        <w:t>二、招标文件</w:t>
      </w:r>
      <w:bookmarkEnd w:id="26"/>
      <w:bookmarkEnd w:id="27"/>
      <w:bookmarkEnd w:id="28"/>
      <w:bookmarkEnd w:id="29"/>
    </w:p>
    <w:p w14:paraId="4860CFA0">
      <w:pPr>
        <w:spacing w:line="440" w:lineRule="exact"/>
        <w:ind w:firstLine="480" w:firstLineChars="200"/>
        <w:rPr>
          <w:rFonts w:ascii="宋体" w:hAnsi="宋体" w:cs="宋体"/>
          <w:sz w:val="24"/>
          <w:szCs w:val="24"/>
        </w:rPr>
      </w:pPr>
      <w:bookmarkStart w:id="30" w:name="_Toc16938526"/>
      <w:bookmarkStart w:id="31" w:name="_Toc20823282"/>
      <w:bookmarkStart w:id="32" w:name="_Toc513029210"/>
      <w:r>
        <w:rPr>
          <w:rFonts w:hint="eastAsia" w:ascii="宋体" w:hAnsi="宋体" w:cs="宋体"/>
          <w:sz w:val="24"/>
          <w:szCs w:val="24"/>
        </w:rPr>
        <w:t>6、招标文件构成</w:t>
      </w:r>
      <w:bookmarkEnd w:id="30"/>
      <w:bookmarkEnd w:id="31"/>
      <w:bookmarkEnd w:id="32"/>
    </w:p>
    <w:p w14:paraId="21BF5E6F">
      <w:pPr>
        <w:spacing w:line="440" w:lineRule="exact"/>
        <w:ind w:firstLine="480" w:firstLineChars="200"/>
        <w:rPr>
          <w:rFonts w:ascii="宋体" w:hAnsi="宋体" w:cs="宋体"/>
          <w:sz w:val="24"/>
          <w:szCs w:val="24"/>
        </w:rPr>
      </w:pPr>
      <w:r>
        <w:rPr>
          <w:rFonts w:hint="eastAsia" w:ascii="宋体" w:hAnsi="宋体" w:cs="宋体"/>
          <w:sz w:val="24"/>
          <w:szCs w:val="24"/>
        </w:rPr>
        <w:t>6.1 招标文件由以下部分组成：</w:t>
      </w:r>
    </w:p>
    <w:p w14:paraId="7632DE73">
      <w:pPr>
        <w:spacing w:line="440" w:lineRule="exact"/>
        <w:ind w:firstLine="480" w:firstLineChars="200"/>
        <w:rPr>
          <w:rFonts w:ascii="宋体" w:hAnsi="宋体" w:cs="宋体"/>
          <w:sz w:val="24"/>
          <w:szCs w:val="24"/>
        </w:rPr>
      </w:pPr>
      <w:r>
        <w:rPr>
          <w:rFonts w:hint="eastAsia" w:ascii="宋体" w:hAnsi="宋体" w:cs="宋体"/>
          <w:sz w:val="24"/>
          <w:szCs w:val="24"/>
        </w:rPr>
        <w:t>（1）招标公告</w:t>
      </w:r>
    </w:p>
    <w:p w14:paraId="666DF27C">
      <w:pPr>
        <w:spacing w:line="440" w:lineRule="exact"/>
        <w:ind w:firstLine="480" w:firstLineChars="200"/>
        <w:rPr>
          <w:rFonts w:ascii="宋体" w:hAnsi="宋体" w:cs="宋体"/>
          <w:sz w:val="24"/>
          <w:szCs w:val="24"/>
        </w:rPr>
      </w:pPr>
      <w:r>
        <w:rPr>
          <w:rFonts w:hint="eastAsia" w:ascii="宋体" w:hAnsi="宋体" w:cs="宋体"/>
          <w:sz w:val="24"/>
          <w:szCs w:val="24"/>
        </w:rPr>
        <w:t>（2）投标人须知</w:t>
      </w:r>
    </w:p>
    <w:p w14:paraId="372C4277">
      <w:pPr>
        <w:spacing w:line="440" w:lineRule="exact"/>
        <w:ind w:firstLine="480" w:firstLineChars="200"/>
        <w:rPr>
          <w:rFonts w:ascii="宋体" w:hAnsi="宋体" w:cs="宋体"/>
          <w:sz w:val="24"/>
          <w:szCs w:val="24"/>
        </w:rPr>
      </w:pPr>
      <w:r>
        <w:rPr>
          <w:rFonts w:hint="eastAsia" w:ascii="宋体" w:hAnsi="宋体" w:cs="宋体"/>
          <w:sz w:val="24"/>
          <w:szCs w:val="24"/>
        </w:rPr>
        <w:t>（3）合同条款及格式</w:t>
      </w:r>
    </w:p>
    <w:p w14:paraId="01AEF50A">
      <w:pPr>
        <w:spacing w:line="440" w:lineRule="exact"/>
        <w:ind w:firstLine="480" w:firstLineChars="200"/>
        <w:rPr>
          <w:rFonts w:ascii="宋体" w:hAnsi="宋体" w:cs="宋体"/>
          <w:sz w:val="24"/>
          <w:szCs w:val="24"/>
        </w:rPr>
      </w:pPr>
      <w:r>
        <w:rPr>
          <w:rFonts w:hint="eastAsia" w:ascii="宋体" w:hAnsi="宋体" w:cs="宋体"/>
          <w:sz w:val="24"/>
          <w:szCs w:val="24"/>
        </w:rPr>
        <w:t>（4）项目需求</w:t>
      </w:r>
    </w:p>
    <w:p w14:paraId="6C66BAE4">
      <w:pPr>
        <w:spacing w:line="440" w:lineRule="exact"/>
        <w:ind w:firstLine="480" w:firstLineChars="200"/>
        <w:rPr>
          <w:rFonts w:ascii="宋体" w:hAnsi="宋体" w:cs="宋体"/>
          <w:sz w:val="24"/>
          <w:szCs w:val="24"/>
        </w:rPr>
      </w:pPr>
      <w:r>
        <w:rPr>
          <w:rFonts w:hint="eastAsia" w:ascii="宋体" w:hAnsi="宋体" w:cs="宋体"/>
          <w:sz w:val="24"/>
          <w:szCs w:val="24"/>
        </w:rPr>
        <w:t>（5）评标方法与评标标准</w:t>
      </w:r>
    </w:p>
    <w:p w14:paraId="7B6219BB">
      <w:pPr>
        <w:spacing w:line="440" w:lineRule="exact"/>
        <w:ind w:firstLine="480" w:firstLineChars="200"/>
        <w:rPr>
          <w:rFonts w:ascii="宋体" w:hAnsi="宋体" w:cs="宋体"/>
          <w:sz w:val="24"/>
          <w:szCs w:val="24"/>
        </w:rPr>
      </w:pPr>
      <w:r>
        <w:rPr>
          <w:rFonts w:hint="eastAsia" w:ascii="宋体" w:hAnsi="宋体" w:cs="宋体"/>
          <w:sz w:val="24"/>
          <w:szCs w:val="24"/>
        </w:rPr>
        <w:t>（6）投标文件格式</w:t>
      </w:r>
    </w:p>
    <w:p w14:paraId="18B6BABB">
      <w:pPr>
        <w:spacing w:line="440" w:lineRule="exact"/>
        <w:ind w:firstLine="480" w:firstLineChars="200"/>
        <w:rPr>
          <w:rFonts w:ascii="宋体" w:hAnsi="宋体" w:cs="宋体"/>
          <w:sz w:val="24"/>
          <w:szCs w:val="24"/>
        </w:rPr>
      </w:pPr>
      <w:r>
        <w:rPr>
          <w:rFonts w:hint="eastAsia" w:ascii="宋体" w:hAnsi="宋体" w:cs="宋体"/>
          <w:sz w:val="24"/>
          <w:szCs w:val="24"/>
        </w:rPr>
        <w:t>供应商下载招标文件后，应仔细检查招标文件的所有内容，如对采购活动事项有疑问的，应以书面形式提出询问或疑问，未在规定时间内提出询问或疑问的，视同供应商理解并接受本招标文件所有内容，并由此引起的投标损失自负。</w:t>
      </w:r>
    </w:p>
    <w:p w14:paraId="632B0A81">
      <w:pPr>
        <w:spacing w:line="440" w:lineRule="exact"/>
        <w:ind w:firstLine="480" w:firstLineChars="200"/>
        <w:rPr>
          <w:rFonts w:ascii="宋体" w:hAnsi="宋体" w:cs="宋体"/>
          <w:sz w:val="24"/>
          <w:szCs w:val="24"/>
        </w:rPr>
      </w:pPr>
      <w:r>
        <w:rPr>
          <w:rFonts w:hint="eastAsia" w:ascii="宋体" w:hAnsi="宋体" w:cs="宋体"/>
          <w:sz w:val="24"/>
          <w:szCs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5BABB6">
      <w:pPr>
        <w:spacing w:line="440" w:lineRule="exact"/>
        <w:ind w:firstLine="480" w:firstLineChars="200"/>
        <w:rPr>
          <w:rFonts w:ascii="宋体" w:hAnsi="宋体" w:cs="宋体"/>
          <w:sz w:val="24"/>
          <w:szCs w:val="24"/>
        </w:rPr>
      </w:pPr>
      <w:bookmarkStart w:id="33" w:name="_Toc462564070"/>
      <w:bookmarkStart w:id="34" w:name="_Toc20823283"/>
      <w:bookmarkStart w:id="35" w:name="_Toc16938527"/>
      <w:bookmarkStart w:id="36" w:name="_Toc513029211"/>
      <w:r>
        <w:rPr>
          <w:rFonts w:hint="eastAsia" w:ascii="宋体" w:hAnsi="宋体" w:cs="宋体"/>
          <w:sz w:val="24"/>
          <w:szCs w:val="24"/>
        </w:rPr>
        <w:t>7、</w:t>
      </w:r>
      <w:bookmarkEnd w:id="33"/>
      <w:bookmarkEnd w:id="34"/>
      <w:bookmarkEnd w:id="35"/>
      <w:bookmarkEnd w:id="36"/>
      <w:r>
        <w:rPr>
          <w:rFonts w:hint="eastAsia" w:ascii="宋体" w:hAnsi="宋体" w:cs="宋体"/>
          <w:sz w:val="24"/>
          <w:szCs w:val="24"/>
        </w:rPr>
        <w:t>招标文件的澄清</w:t>
      </w:r>
    </w:p>
    <w:p w14:paraId="1B312347">
      <w:pPr>
        <w:spacing w:line="480" w:lineRule="exact"/>
        <w:ind w:firstLine="480" w:firstLineChars="200"/>
        <w:rPr>
          <w:rFonts w:ascii="宋体" w:hAnsi="宋体"/>
          <w:sz w:val="24"/>
          <w:szCs w:val="24"/>
        </w:rPr>
      </w:pPr>
      <w:r>
        <w:rPr>
          <w:rFonts w:hint="eastAsia" w:ascii="宋体" w:hAnsi="宋体"/>
          <w:bCs/>
          <w:sz w:val="24"/>
        </w:rPr>
        <w:t>7.1</w:t>
      </w:r>
      <w:r>
        <w:rPr>
          <w:rFonts w:hint="eastAsia" w:ascii="宋体" w:hAnsi="宋体"/>
          <w:sz w:val="24"/>
        </w:rPr>
        <w:t xml:space="preserve"> 任何要求对招标文件进行澄清的投标人，应在投标截止期</w:t>
      </w:r>
      <w:r>
        <w:rPr>
          <w:rFonts w:hint="eastAsia" w:ascii="仿宋_GB2312" w:hAnsi="仿宋_GB2312"/>
          <w:b/>
          <w:sz w:val="24"/>
          <w:szCs w:val="24"/>
        </w:rPr>
        <w:t>十日</w:t>
      </w:r>
      <w:r>
        <w:rPr>
          <w:rFonts w:hint="eastAsia" w:ascii="仿宋_GB2312" w:hAnsi="仿宋_GB2312"/>
          <w:sz w:val="24"/>
          <w:szCs w:val="24"/>
        </w:rPr>
        <w:t>前</w:t>
      </w:r>
      <w:r>
        <w:rPr>
          <w:rFonts w:hint="eastAsia" w:ascii="宋体" w:hAnsi="宋体"/>
          <w:sz w:val="24"/>
        </w:rPr>
        <w:t>按招标公告中的通讯地址，以书面形式通知采购人和采购代理。</w:t>
      </w:r>
    </w:p>
    <w:p w14:paraId="20E20D78">
      <w:pPr>
        <w:pStyle w:val="4"/>
        <w:spacing w:before="0" w:after="0" w:line="240" w:lineRule="auto"/>
        <w:ind w:firstLine="480" w:firstLineChars="200"/>
        <w:rPr>
          <w:rFonts w:ascii="宋体" w:hAnsi="宋体" w:eastAsia="宋体" w:cs="宋体"/>
          <w:b w:val="0"/>
          <w:bCs w:val="0"/>
          <w:sz w:val="24"/>
          <w:szCs w:val="24"/>
        </w:rPr>
      </w:pPr>
      <w:bookmarkStart w:id="37" w:name="_Toc20823284"/>
      <w:bookmarkStart w:id="38" w:name="_Toc16938528"/>
      <w:bookmarkStart w:id="39" w:name="_Toc513029212"/>
      <w:bookmarkStart w:id="40" w:name="_Toc462564071"/>
      <w:r>
        <w:rPr>
          <w:rFonts w:hint="eastAsia" w:ascii="宋体" w:hAnsi="宋体" w:eastAsia="宋体" w:cs="宋体"/>
          <w:b w:val="0"/>
          <w:bCs w:val="0"/>
          <w:sz w:val="24"/>
          <w:szCs w:val="24"/>
        </w:rPr>
        <w:t>8、招标文件的修改</w:t>
      </w:r>
      <w:bookmarkEnd w:id="37"/>
      <w:bookmarkEnd w:id="38"/>
      <w:bookmarkEnd w:id="39"/>
      <w:bookmarkEnd w:id="40"/>
    </w:p>
    <w:p w14:paraId="7CBD67F1">
      <w:pPr>
        <w:spacing w:line="500" w:lineRule="exact"/>
        <w:ind w:firstLine="480" w:firstLineChars="200"/>
        <w:rPr>
          <w:rFonts w:ascii="宋体" w:hAnsi="宋体"/>
          <w:sz w:val="24"/>
        </w:rPr>
      </w:pPr>
      <w:r>
        <w:rPr>
          <w:rFonts w:hint="eastAsia" w:ascii="宋体" w:hAnsi="宋体"/>
          <w:bCs/>
          <w:sz w:val="24"/>
        </w:rPr>
        <w:t>8.1</w:t>
      </w:r>
      <w:r>
        <w:rPr>
          <w:rFonts w:hint="eastAsia" w:ascii="宋体" w:hAnsi="宋体"/>
          <w:sz w:val="24"/>
        </w:rPr>
        <w:t xml:space="preserve"> 在投标截止时间</w:t>
      </w:r>
      <w:r>
        <w:rPr>
          <w:rFonts w:hint="eastAsia" w:ascii="仿宋_GB2312" w:hAnsi="仿宋_GB2312"/>
          <w:sz w:val="24"/>
        </w:rPr>
        <w:t>前</w:t>
      </w:r>
      <w:r>
        <w:rPr>
          <w:rFonts w:hint="eastAsia" w:ascii="宋体" w:hAnsi="宋体"/>
          <w:sz w:val="24"/>
        </w:rPr>
        <w:t>，采购人和采购代理可以对招标文件进行修改。</w:t>
      </w:r>
    </w:p>
    <w:p w14:paraId="2B6074C0">
      <w:pPr>
        <w:spacing w:line="500" w:lineRule="exact"/>
        <w:ind w:firstLine="480" w:firstLineChars="200"/>
        <w:rPr>
          <w:rFonts w:ascii="宋体" w:hAnsi="宋体" w:cs="宋体"/>
          <w:sz w:val="24"/>
          <w:szCs w:val="24"/>
        </w:rPr>
      </w:pPr>
      <w:r>
        <w:rPr>
          <w:rFonts w:hint="eastAsia" w:ascii="宋体" w:hAnsi="宋体"/>
          <w:bCs/>
          <w:sz w:val="24"/>
        </w:rPr>
        <w:t xml:space="preserve">8.2 </w:t>
      </w:r>
      <w:r>
        <w:rPr>
          <w:rFonts w:hint="eastAsia" w:ascii="宋体" w:hAnsi="宋体"/>
          <w:sz w:val="24"/>
        </w:rPr>
        <w:t>采购人和采购代理有</w:t>
      </w:r>
      <w:r>
        <w:rPr>
          <w:rFonts w:hint="eastAsia" w:ascii="宋体" w:hAnsi="宋体"/>
          <w:sz w:val="24"/>
          <w:szCs w:val="24"/>
        </w:rPr>
        <w:t>权按照法定的要求</w:t>
      </w:r>
      <w:r>
        <w:rPr>
          <w:rFonts w:hint="eastAsia" w:ascii="宋体" w:hAnsi="宋体"/>
          <w:sz w:val="24"/>
        </w:rPr>
        <w:t>推迟投标截止日期和开标日期。</w:t>
      </w:r>
    </w:p>
    <w:p w14:paraId="60A487DE">
      <w:pPr>
        <w:spacing w:line="440" w:lineRule="exact"/>
        <w:ind w:firstLine="480" w:firstLineChars="200"/>
        <w:rPr>
          <w:rFonts w:ascii="宋体" w:hAnsi="宋体" w:cs="宋体"/>
          <w:sz w:val="24"/>
          <w:szCs w:val="24"/>
        </w:rPr>
      </w:pPr>
      <w:r>
        <w:rPr>
          <w:rFonts w:hint="eastAsia" w:ascii="宋体" w:hAnsi="宋体" w:cs="宋体"/>
          <w:sz w:val="24"/>
          <w:szCs w:val="24"/>
        </w:rPr>
        <w:t>8.3</w:t>
      </w:r>
      <w:bookmarkStart w:id="41" w:name="_Toc16938529"/>
      <w:bookmarkStart w:id="42" w:name="_Toc120614216"/>
      <w:bookmarkStart w:id="43" w:name="_Toc513029213"/>
      <w:bookmarkStart w:id="44" w:name="_Toc20823285"/>
      <w:bookmarkStart w:id="45" w:name="_Toc462564072"/>
      <w:r>
        <w:rPr>
          <w:rFonts w:hint="eastAsia" w:ascii="宋体" w:hAnsi="宋体" w:cs="宋体"/>
          <w:sz w:val="24"/>
          <w:szCs w:val="24"/>
        </w:rPr>
        <w:t>招标文件的修改将在南通市通州区人民政府官网</w:t>
      </w:r>
      <w:r>
        <w:rPr>
          <w:rFonts w:ascii="宋体" w:hAnsi="宋体" w:cs="宋体"/>
          <w:sz w:val="24"/>
          <w:szCs w:val="24"/>
        </w:rPr>
        <w:t>上</w:t>
      </w:r>
      <w:r>
        <w:rPr>
          <w:rFonts w:hint="eastAsia" w:ascii="宋体" w:hAnsi="宋体" w:cs="宋体"/>
          <w:sz w:val="24"/>
          <w:szCs w:val="24"/>
        </w:rPr>
        <w:t>公布，补充文件将作为招标文件的组成部分，并对投标人具有约束力。</w:t>
      </w:r>
    </w:p>
    <w:p w14:paraId="1E708267">
      <w:pPr>
        <w:adjustRightInd w:val="0"/>
        <w:snapToGrid w:val="0"/>
        <w:spacing w:line="420" w:lineRule="exact"/>
        <w:ind w:firstLine="482" w:firstLineChars="200"/>
        <w:rPr>
          <w:b/>
          <w:sz w:val="24"/>
        </w:rPr>
      </w:pPr>
      <w:r>
        <w:rPr>
          <w:rFonts w:hint="eastAsia"/>
          <w:b/>
          <w:sz w:val="24"/>
        </w:rPr>
        <w:t>三、投标文件的编制</w:t>
      </w:r>
      <w:bookmarkEnd w:id="41"/>
      <w:bookmarkEnd w:id="42"/>
      <w:bookmarkEnd w:id="43"/>
      <w:bookmarkEnd w:id="44"/>
      <w:bookmarkEnd w:id="45"/>
    </w:p>
    <w:p w14:paraId="0BCE9C5B">
      <w:pPr>
        <w:spacing w:line="440" w:lineRule="exact"/>
        <w:ind w:firstLine="480" w:firstLineChars="200"/>
        <w:rPr>
          <w:rFonts w:ascii="宋体" w:hAnsi="宋体" w:cs="宋体"/>
          <w:sz w:val="24"/>
          <w:szCs w:val="24"/>
        </w:rPr>
      </w:pPr>
      <w:bookmarkStart w:id="46" w:name="_Toc462564073"/>
      <w:bookmarkStart w:id="47" w:name="_Toc513029214"/>
      <w:bookmarkStart w:id="48" w:name="_Toc16938530"/>
      <w:bookmarkStart w:id="49" w:name="_Toc20823286"/>
      <w:r>
        <w:rPr>
          <w:rFonts w:hint="eastAsia" w:ascii="宋体" w:hAnsi="宋体" w:cs="宋体"/>
          <w:sz w:val="24"/>
          <w:szCs w:val="24"/>
        </w:rPr>
        <w:t>9、投标文件的语言及度量衡单位</w:t>
      </w:r>
      <w:bookmarkEnd w:id="46"/>
      <w:bookmarkEnd w:id="47"/>
      <w:bookmarkEnd w:id="48"/>
      <w:bookmarkEnd w:id="49"/>
    </w:p>
    <w:p w14:paraId="64516EC5">
      <w:pPr>
        <w:spacing w:line="440" w:lineRule="exact"/>
        <w:ind w:firstLine="480" w:firstLineChars="200"/>
        <w:rPr>
          <w:rFonts w:ascii="宋体" w:hAnsi="宋体" w:cs="宋体"/>
          <w:sz w:val="24"/>
          <w:szCs w:val="24"/>
        </w:rPr>
      </w:pPr>
      <w:r>
        <w:rPr>
          <w:rFonts w:hint="eastAsia" w:ascii="宋体" w:hAnsi="宋体" w:cs="宋体"/>
          <w:sz w:val="24"/>
          <w:szCs w:val="24"/>
        </w:rPr>
        <w:t>9.1 投标人提交的投标文件以及投标人与采购人就有关投标的所有来往通知、函件和文件均应使用简体中文。</w:t>
      </w:r>
    </w:p>
    <w:p w14:paraId="72D11D54">
      <w:pPr>
        <w:spacing w:line="440" w:lineRule="exact"/>
        <w:ind w:firstLine="480" w:firstLineChars="200"/>
        <w:rPr>
          <w:rFonts w:ascii="宋体" w:hAnsi="宋体" w:cs="宋体"/>
          <w:sz w:val="24"/>
          <w:szCs w:val="24"/>
        </w:rPr>
      </w:pPr>
      <w:r>
        <w:rPr>
          <w:rFonts w:hint="eastAsia" w:ascii="宋体" w:hAnsi="宋体" w:cs="宋体"/>
          <w:sz w:val="24"/>
          <w:szCs w:val="24"/>
        </w:rPr>
        <w:t>9.2 除技术性能另有规定外，投标文件所使用的度量衡单位，均须采用国家法定计量单位。</w:t>
      </w:r>
    </w:p>
    <w:p w14:paraId="4D5B4785">
      <w:pPr>
        <w:spacing w:line="440" w:lineRule="exact"/>
        <w:ind w:firstLine="480" w:firstLineChars="200"/>
        <w:rPr>
          <w:rFonts w:ascii="宋体" w:hAnsi="宋体" w:cs="宋体"/>
          <w:sz w:val="24"/>
          <w:szCs w:val="24"/>
        </w:rPr>
      </w:pPr>
      <w:bookmarkStart w:id="50" w:name="_Toc20823287"/>
      <w:bookmarkStart w:id="51" w:name="_Toc513029215"/>
      <w:bookmarkStart w:id="52" w:name="_Toc16938531"/>
      <w:bookmarkStart w:id="53" w:name="_Toc462564074"/>
      <w:r>
        <w:rPr>
          <w:rFonts w:hint="eastAsia" w:ascii="宋体" w:hAnsi="宋体" w:cs="宋体"/>
          <w:sz w:val="24"/>
          <w:szCs w:val="24"/>
        </w:rPr>
        <w:t>10、投标文件构成</w:t>
      </w:r>
      <w:bookmarkEnd w:id="50"/>
      <w:bookmarkEnd w:id="51"/>
      <w:bookmarkEnd w:id="52"/>
      <w:bookmarkEnd w:id="53"/>
    </w:p>
    <w:p w14:paraId="4FAB1DAE">
      <w:pPr>
        <w:spacing w:line="440" w:lineRule="exact"/>
        <w:ind w:firstLine="480" w:firstLineChars="200"/>
        <w:rPr>
          <w:rFonts w:ascii="宋体" w:hAnsi="宋体" w:cs="宋体"/>
          <w:sz w:val="24"/>
          <w:szCs w:val="24"/>
        </w:rPr>
      </w:pPr>
      <w:r>
        <w:rPr>
          <w:rFonts w:hint="eastAsia" w:ascii="宋体" w:hAnsi="宋体" w:cs="宋体"/>
          <w:sz w:val="24"/>
          <w:szCs w:val="24"/>
        </w:rPr>
        <w:t>10.1资格审查文件：</w:t>
      </w:r>
    </w:p>
    <w:p w14:paraId="5E68F656">
      <w:pPr>
        <w:spacing w:line="440" w:lineRule="exact"/>
        <w:ind w:firstLine="480" w:firstLineChars="200"/>
        <w:rPr>
          <w:rFonts w:ascii="宋体" w:hAnsi="宋体" w:cs="宋体"/>
          <w:sz w:val="24"/>
          <w:szCs w:val="24"/>
        </w:rPr>
      </w:pPr>
      <w:r>
        <w:rPr>
          <w:rFonts w:hint="eastAsia" w:ascii="宋体" w:hAnsi="宋体" w:cs="宋体"/>
          <w:sz w:val="24"/>
          <w:szCs w:val="24"/>
        </w:rPr>
        <w:t>10.1.1投标声明函；</w:t>
      </w:r>
    </w:p>
    <w:p w14:paraId="71AF3E0D">
      <w:pPr>
        <w:spacing w:line="440" w:lineRule="exact"/>
        <w:ind w:firstLine="480" w:firstLineChars="200"/>
        <w:rPr>
          <w:rFonts w:ascii="宋体" w:hAnsi="宋体" w:cs="宋体"/>
          <w:sz w:val="24"/>
          <w:szCs w:val="24"/>
        </w:rPr>
      </w:pPr>
      <w:r>
        <w:rPr>
          <w:rFonts w:hint="eastAsia" w:ascii="宋体" w:hAnsi="宋体" w:cs="宋体"/>
          <w:sz w:val="24"/>
          <w:szCs w:val="24"/>
        </w:rPr>
        <w:t>10.1.2法定代表人身份证明书及法定代表人身份证复印件；法定代表人授权委托书及委托代理人身份证复印件（如有授权）；</w:t>
      </w:r>
    </w:p>
    <w:p w14:paraId="181C2001">
      <w:pPr>
        <w:spacing w:line="440" w:lineRule="exact"/>
        <w:ind w:firstLine="480" w:firstLineChars="200"/>
        <w:rPr>
          <w:rFonts w:ascii="宋体" w:hAnsi="宋体" w:cs="宋体"/>
          <w:sz w:val="24"/>
          <w:szCs w:val="24"/>
        </w:rPr>
      </w:pPr>
      <w:r>
        <w:rPr>
          <w:rFonts w:hint="eastAsia" w:ascii="宋体" w:hAnsi="宋体" w:cs="宋体"/>
          <w:sz w:val="24"/>
          <w:szCs w:val="24"/>
        </w:rPr>
        <w:t>10.1.3企业营业执照；</w:t>
      </w:r>
    </w:p>
    <w:p w14:paraId="68D077F5">
      <w:pPr>
        <w:spacing w:line="440" w:lineRule="exact"/>
        <w:ind w:firstLine="480" w:firstLineChars="200"/>
        <w:rPr>
          <w:rFonts w:ascii="宋体" w:hAnsi="宋体" w:cs="宋体"/>
          <w:sz w:val="24"/>
          <w:szCs w:val="24"/>
        </w:rPr>
      </w:pPr>
      <w:r>
        <w:rPr>
          <w:rFonts w:hint="eastAsia" w:ascii="宋体" w:hAnsi="宋体" w:cs="宋体"/>
          <w:sz w:val="24"/>
          <w:szCs w:val="24"/>
        </w:rPr>
        <w:t>10.1.4具备履行合同所必需的设备和专业技术能力的书面声明；</w:t>
      </w:r>
    </w:p>
    <w:p w14:paraId="1E2ABA95">
      <w:pPr>
        <w:spacing w:line="440" w:lineRule="exact"/>
        <w:ind w:firstLine="480" w:firstLineChars="200"/>
        <w:rPr>
          <w:rFonts w:ascii="宋体" w:hAnsi="宋体" w:cs="宋体"/>
          <w:sz w:val="24"/>
          <w:szCs w:val="24"/>
        </w:rPr>
      </w:pPr>
      <w:r>
        <w:rPr>
          <w:rFonts w:hint="eastAsia" w:ascii="宋体" w:hAnsi="宋体" w:cs="宋体"/>
          <w:sz w:val="24"/>
          <w:szCs w:val="24"/>
        </w:rPr>
        <w:t>10.1.5参加政府采购活动前3年内在经营活动中没有重大违法记录的书面声明。</w:t>
      </w:r>
    </w:p>
    <w:p w14:paraId="476BEBD2">
      <w:pPr>
        <w:spacing w:line="440" w:lineRule="exact"/>
        <w:ind w:firstLine="480" w:firstLineChars="200"/>
        <w:rPr>
          <w:rFonts w:ascii="宋体" w:hAnsi="宋体" w:cs="宋体"/>
          <w:sz w:val="24"/>
          <w:szCs w:val="24"/>
        </w:rPr>
      </w:pPr>
      <w:r>
        <w:rPr>
          <w:rFonts w:hint="eastAsia" w:ascii="宋体" w:hAnsi="宋体" w:cs="宋体"/>
          <w:sz w:val="24"/>
          <w:szCs w:val="24"/>
        </w:rPr>
        <w:t>10.1.6</w:t>
      </w:r>
      <w:r>
        <w:rPr>
          <w:rFonts w:hint="eastAsia" w:ascii="宋体" w:hAnsi="宋体"/>
          <w:iCs/>
          <w:sz w:val="24"/>
        </w:rPr>
        <w:t>依法缴纳税收和社会保障资金的相关材料。</w:t>
      </w:r>
    </w:p>
    <w:p w14:paraId="4ECE2423">
      <w:pPr>
        <w:spacing w:line="440" w:lineRule="exact"/>
        <w:ind w:firstLine="480" w:firstLineChars="200"/>
        <w:rPr>
          <w:rFonts w:ascii="宋体" w:hAnsi="宋体"/>
          <w:sz w:val="24"/>
          <w:lang w:val="zh-CN"/>
        </w:rPr>
      </w:pPr>
      <w:r>
        <w:rPr>
          <w:rFonts w:hint="eastAsia" w:ascii="宋体" w:hAnsi="宋体" w:cs="宋体"/>
          <w:sz w:val="24"/>
          <w:szCs w:val="24"/>
        </w:rPr>
        <w:t>10.1.7</w:t>
      </w:r>
      <w:r>
        <w:rPr>
          <w:rFonts w:hint="eastAsia" w:ascii="宋体" w:hAnsi="宋体"/>
          <w:sz w:val="24"/>
        </w:rPr>
        <w:t>委托代理</w:t>
      </w:r>
      <w:r>
        <w:rPr>
          <w:rFonts w:hint="eastAsia" w:ascii="宋体" w:hAnsi="宋体"/>
          <w:sz w:val="24"/>
          <w:lang w:val="zh-CN"/>
        </w:rPr>
        <w:t>人与企业签订的有效劳动合同，投标企业所在地社保机构出具的由企业为</w:t>
      </w:r>
      <w:r>
        <w:rPr>
          <w:rFonts w:hint="eastAsia" w:ascii="宋体" w:hAnsi="宋体"/>
          <w:sz w:val="24"/>
        </w:rPr>
        <w:t>委托代理</w:t>
      </w:r>
      <w:r>
        <w:rPr>
          <w:rFonts w:hint="eastAsia" w:ascii="宋体" w:hAnsi="宋体"/>
          <w:sz w:val="24"/>
          <w:lang w:val="zh-CN"/>
        </w:rPr>
        <w:t>人缴纳的投标截止时间前三个月（不含投标截止时间当月）至少一个月的养老保险缴费证明或依法免除的证明；</w:t>
      </w:r>
    </w:p>
    <w:p w14:paraId="262DF783">
      <w:pPr>
        <w:pStyle w:val="17"/>
        <w:ind w:firstLine="240" w:firstLineChars="100"/>
        <w:jc w:val="left"/>
      </w:pPr>
      <w:r>
        <w:rPr>
          <w:rFonts w:hint="eastAsia" w:ascii="宋体" w:hAnsi="宋体"/>
          <w:sz w:val="24"/>
        </w:rPr>
        <w:t>10.1.8 提供</w:t>
      </w:r>
      <w:r>
        <w:rPr>
          <w:rFonts w:hint="eastAsia" w:ascii="宋体" w:hAnsi="宋体"/>
          <w:iCs/>
          <w:sz w:val="24"/>
        </w:rPr>
        <w:t>2024年度的财务审计报告（成立不满一年无需提供）或投标截止时间前三个月（不含投标截止时间当月）中任意一个月的银行资信证明；</w:t>
      </w:r>
    </w:p>
    <w:p w14:paraId="07A6FAE0">
      <w:pPr>
        <w:spacing w:line="440" w:lineRule="exact"/>
        <w:ind w:firstLine="480" w:firstLineChars="200"/>
        <w:rPr>
          <w:rFonts w:ascii="宋体" w:hAnsi="宋体" w:cs="宋体"/>
          <w:sz w:val="24"/>
          <w:szCs w:val="24"/>
        </w:rPr>
      </w:pPr>
      <w:r>
        <w:rPr>
          <w:rFonts w:ascii="宋体" w:hAnsi="宋体" w:cs="宋体"/>
          <w:sz w:val="24"/>
          <w:szCs w:val="24"/>
        </w:rPr>
        <w:t>10.2商务技术标（按评标办法编制）</w:t>
      </w:r>
    </w:p>
    <w:p w14:paraId="448AC5D5">
      <w:pPr>
        <w:spacing w:line="440" w:lineRule="exact"/>
        <w:ind w:firstLine="480" w:firstLineChars="200"/>
        <w:rPr>
          <w:rFonts w:ascii="宋体" w:hAnsi="宋体" w:cs="宋体"/>
          <w:sz w:val="24"/>
          <w:szCs w:val="24"/>
        </w:rPr>
      </w:pPr>
      <w:r>
        <w:rPr>
          <w:rFonts w:hint="eastAsia" w:ascii="宋体" w:hAnsi="宋体" w:cs="宋体"/>
          <w:sz w:val="24"/>
          <w:szCs w:val="24"/>
        </w:rPr>
        <w:t>10.3报价标文件：</w:t>
      </w:r>
    </w:p>
    <w:p w14:paraId="493918BC">
      <w:pPr>
        <w:spacing w:line="440" w:lineRule="exact"/>
        <w:ind w:firstLine="480" w:firstLineChars="200"/>
        <w:rPr>
          <w:rFonts w:ascii="宋体" w:hAnsi="宋体" w:cs="宋体"/>
          <w:sz w:val="24"/>
          <w:szCs w:val="24"/>
        </w:rPr>
      </w:pPr>
      <w:r>
        <w:rPr>
          <w:rFonts w:hint="eastAsia" w:ascii="宋体" w:hAnsi="宋体" w:cs="宋体"/>
          <w:sz w:val="24"/>
          <w:szCs w:val="24"/>
        </w:rPr>
        <w:t>10.3.1报价函；</w:t>
      </w:r>
    </w:p>
    <w:p w14:paraId="74103CCB">
      <w:pPr>
        <w:spacing w:line="440" w:lineRule="exact"/>
        <w:ind w:firstLine="480" w:firstLineChars="200"/>
        <w:rPr>
          <w:rFonts w:ascii="宋体" w:hAnsi="宋体" w:cs="宋体"/>
          <w:sz w:val="24"/>
          <w:szCs w:val="24"/>
        </w:rPr>
      </w:pPr>
      <w:bookmarkStart w:id="54" w:name="_Hlt26954838"/>
      <w:bookmarkEnd w:id="54"/>
      <w:bookmarkStart w:id="55" w:name="_Hlt26668975"/>
      <w:bookmarkEnd w:id="55"/>
      <w:bookmarkStart w:id="56" w:name="_Hlt26670360"/>
      <w:bookmarkEnd w:id="56"/>
      <w:bookmarkStart w:id="57" w:name="_Toc49090508"/>
      <w:bookmarkStart w:id="58" w:name="_Toc14577355"/>
      <w:r>
        <w:rPr>
          <w:rFonts w:ascii="宋体" w:hAnsi="宋体" w:cs="宋体"/>
          <w:sz w:val="24"/>
          <w:szCs w:val="24"/>
        </w:rPr>
        <w:t>11、</w:t>
      </w:r>
      <w:r>
        <w:rPr>
          <w:rFonts w:hint="eastAsia" w:ascii="宋体" w:hAnsi="宋体" w:cs="宋体"/>
          <w:sz w:val="24"/>
          <w:szCs w:val="24"/>
        </w:rPr>
        <w:t>投标文件的编写、份数和签署</w:t>
      </w:r>
    </w:p>
    <w:p w14:paraId="7AC1B841">
      <w:pPr>
        <w:spacing w:line="440" w:lineRule="exact"/>
        <w:ind w:firstLine="480" w:firstLineChars="200"/>
        <w:rPr>
          <w:rFonts w:ascii="宋体" w:hAnsi="宋体" w:cs="宋体"/>
          <w:sz w:val="24"/>
          <w:szCs w:val="24"/>
        </w:rPr>
      </w:pPr>
      <w:r>
        <w:rPr>
          <w:rFonts w:ascii="宋体" w:hAnsi="宋体" w:cs="宋体"/>
          <w:sz w:val="24"/>
          <w:szCs w:val="24"/>
        </w:rPr>
        <w:t>11.1</w:t>
      </w:r>
      <w:r>
        <w:rPr>
          <w:rFonts w:hint="eastAsia" w:ascii="宋体" w:hAnsi="宋体" w:cs="宋体"/>
          <w:sz w:val="24"/>
          <w:szCs w:val="24"/>
        </w:rPr>
        <w:t>投标人必须使用招标文件提供的表格格式，但表格可以按同样格式扩展（见附件及附表）。</w:t>
      </w:r>
    </w:p>
    <w:p w14:paraId="5FEBEB7D">
      <w:pPr>
        <w:spacing w:line="440" w:lineRule="exact"/>
        <w:ind w:firstLine="480" w:firstLineChars="200"/>
        <w:rPr>
          <w:rFonts w:ascii="宋体" w:hAnsi="宋体" w:cs="宋体"/>
          <w:sz w:val="24"/>
          <w:szCs w:val="24"/>
        </w:rPr>
      </w:pPr>
      <w:r>
        <w:rPr>
          <w:rFonts w:hint="eastAsia" w:ascii="宋体" w:hAnsi="宋体" w:cs="宋体"/>
          <w:sz w:val="24"/>
          <w:szCs w:val="24"/>
        </w:rPr>
        <w:t>11.</w:t>
      </w:r>
      <w:r>
        <w:rPr>
          <w:rFonts w:ascii="宋体" w:hAnsi="宋体" w:cs="宋体"/>
          <w:sz w:val="24"/>
          <w:szCs w:val="24"/>
        </w:rPr>
        <w:t>2</w:t>
      </w:r>
      <w:r>
        <w:rPr>
          <w:rFonts w:hint="eastAsia" w:ascii="宋体" w:hAnsi="宋体" w:cs="宋体"/>
          <w:sz w:val="24"/>
          <w:szCs w:val="24"/>
        </w:rPr>
        <w:t>投标供应商按第五章的内容编写投标文件。投标文件规格幅面A4纸（图纸等除外）；按照招标文件所规定的内容顺序，由于编排混乱导致投标文件被误读或查找不到，其责任应当由投标人承担；牢固装订成册，不允许使用活页夹、拉杆夹、文件夹、塑料方便式书脊（插入式或穿孔式）装订；投标文件不得行间插字、涂改、增删，如修补错漏处，须经投标文件签署人签字并加盖公章。</w:t>
      </w:r>
    </w:p>
    <w:p w14:paraId="6F3BCF22">
      <w:pPr>
        <w:spacing w:line="440" w:lineRule="exact"/>
        <w:ind w:firstLine="480" w:firstLineChars="200"/>
        <w:rPr>
          <w:rFonts w:ascii="宋体" w:hAnsi="宋体" w:cs="宋体"/>
          <w:sz w:val="24"/>
          <w:szCs w:val="24"/>
        </w:rPr>
      </w:pPr>
      <w:r>
        <w:rPr>
          <w:rFonts w:hint="eastAsia" w:ascii="宋体" w:hAnsi="宋体" w:cs="宋体"/>
          <w:sz w:val="24"/>
          <w:szCs w:val="24"/>
        </w:rPr>
        <w:t>11.</w:t>
      </w:r>
      <w:r>
        <w:rPr>
          <w:rFonts w:ascii="宋体" w:hAnsi="宋体" w:cs="宋体"/>
          <w:sz w:val="24"/>
          <w:szCs w:val="24"/>
        </w:rPr>
        <w:t>3</w:t>
      </w:r>
      <w:r>
        <w:rPr>
          <w:rFonts w:hint="eastAsia" w:ascii="宋体" w:hAnsi="宋体" w:cs="宋体"/>
          <w:sz w:val="24"/>
          <w:szCs w:val="24"/>
        </w:rPr>
        <w:t>投标文件正本与副本均应打印或使用不能擦去的墨水书写，字迹应清晰易于辨认，并应在投标文件封面注明“正本”、“副本”。正本和副本如有不一致处，以正本为准。</w:t>
      </w:r>
    </w:p>
    <w:p w14:paraId="77B9A4EE">
      <w:pPr>
        <w:spacing w:line="440" w:lineRule="exact"/>
        <w:ind w:firstLine="480" w:firstLineChars="200"/>
        <w:rPr>
          <w:rFonts w:ascii="宋体" w:hAnsi="宋体" w:cs="宋体"/>
          <w:sz w:val="24"/>
          <w:szCs w:val="24"/>
        </w:rPr>
      </w:pPr>
      <w:r>
        <w:rPr>
          <w:rFonts w:hint="eastAsia" w:ascii="宋体" w:hAnsi="宋体" w:cs="宋体"/>
          <w:sz w:val="24"/>
          <w:szCs w:val="24"/>
        </w:rPr>
        <w:t>11.</w:t>
      </w:r>
      <w:r>
        <w:rPr>
          <w:rFonts w:ascii="宋体" w:hAnsi="宋体" w:cs="宋体"/>
          <w:sz w:val="24"/>
          <w:szCs w:val="24"/>
        </w:rPr>
        <w:t>4</w:t>
      </w:r>
      <w:r>
        <w:rPr>
          <w:rFonts w:hint="eastAsia" w:ascii="宋体" w:hAnsi="宋体" w:cs="宋体"/>
          <w:sz w:val="24"/>
          <w:szCs w:val="24"/>
        </w:rPr>
        <w:t>投标文件应加盖投标人印章并经法定代表人或其委托代理人签字或盖章。由委托代理人签字或盖章的，在投标文件中必须同时提交投标文件签署授权委托书，投标文件签署委托书格式、签字、盖章及内容均应符合要求，否则，投标文件签署的授权委托书无效。</w:t>
      </w:r>
    </w:p>
    <w:p w14:paraId="32CC0D35">
      <w:pPr>
        <w:spacing w:line="440" w:lineRule="exact"/>
        <w:ind w:firstLine="480" w:firstLineChars="200"/>
        <w:rPr>
          <w:rFonts w:ascii="宋体" w:hAnsi="宋体" w:cs="宋体"/>
          <w:sz w:val="24"/>
          <w:szCs w:val="24"/>
        </w:rPr>
      </w:pPr>
      <w:r>
        <w:rPr>
          <w:rFonts w:hint="eastAsia" w:ascii="宋体" w:hAnsi="宋体" w:cs="宋体"/>
          <w:sz w:val="24"/>
          <w:szCs w:val="24"/>
        </w:rPr>
        <w:t>12、</w:t>
      </w:r>
      <w:bookmarkEnd w:id="57"/>
      <w:bookmarkEnd w:id="58"/>
      <w:bookmarkStart w:id="59" w:name="_Hlt26670486"/>
      <w:bookmarkEnd w:id="59"/>
      <w:bookmarkStart w:id="60" w:name="_Hlt26670482"/>
      <w:bookmarkEnd w:id="60"/>
      <w:bookmarkStart w:id="61" w:name="_Hlt26954846"/>
      <w:bookmarkEnd w:id="61"/>
      <w:bookmarkStart w:id="62" w:name="_Hlt26954731"/>
      <w:bookmarkEnd w:id="62"/>
      <w:bookmarkStart w:id="63" w:name="_Hlt26954848"/>
      <w:bookmarkEnd w:id="63"/>
      <w:r>
        <w:rPr>
          <w:rFonts w:hint="eastAsia" w:ascii="宋体" w:hAnsi="宋体" w:cs="宋体"/>
          <w:sz w:val="24"/>
          <w:szCs w:val="24"/>
        </w:rPr>
        <w:t>投标报价</w:t>
      </w:r>
    </w:p>
    <w:p w14:paraId="73D93B1B">
      <w:pPr>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bookmarkStart w:id="64" w:name="_Toc14577359"/>
      <w:bookmarkStart w:id="65" w:name="_Toc49090510"/>
      <w:r>
        <w:rPr>
          <w:rFonts w:hint="eastAsia" w:ascii="宋体" w:hAnsi="宋体" w:cs="宋体"/>
          <w:sz w:val="24"/>
          <w:szCs w:val="24"/>
        </w:rPr>
        <w:t>12.1本次招标以人民币报价，投标报价是指</w:t>
      </w:r>
      <w:r>
        <w:rPr>
          <w:rFonts w:hint="eastAsia" w:asciiTheme="majorEastAsia" w:hAnsiTheme="majorEastAsia" w:eastAsiaTheme="majorEastAsia"/>
          <w:bCs/>
          <w:color w:val="000000" w:themeColor="text1"/>
          <w:sz w:val="24"/>
          <w14:textFill>
            <w14:solidFill>
              <w14:schemeClr w14:val="tx1"/>
            </w14:solidFill>
          </w14:textFill>
        </w:rPr>
        <w:t>投标人应根据采购人提供的技术和服务需求，结合企业实际情况，提出总报价。报价在合同有效期内不作调整。</w:t>
      </w:r>
    </w:p>
    <w:p w14:paraId="54B20D9C">
      <w:pPr>
        <w:spacing w:line="460" w:lineRule="exact"/>
        <w:ind w:firstLine="480" w:firstLineChars="200"/>
        <w:rPr>
          <w:rFonts w:asciiTheme="majorEastAsia" w:hAnsiTheme="majorEastAsia" w:eastAsiaTheme="majorEastAsia"/>
          <w:bCs/>
          <w:color w:val="000000" w:themeColor="text1"/>
          <w:sz w:val="24"/>
          <w:lang w:val="zh-CN"/>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12.2</w:t>
      </w:r>
      <w:r>
        <w:rPr>
          <w:rFonts w:hint="eastAsia" w:asciiTheme="majorEastAsia" w:hAnsiTheme="majorEastAsia" w:eastAsiaTheme="majorEastAsia"/>
          <w:bCs/>
          <w:color w:val="000000" w:themeColor="text1"/>
          <w:sz w:val="24"/>
          <w:lang w:val="zh-CN"/>
          <w14:textFill>
            <w14:solidFill>
              <w14:schemeClr w14:val="tx1"/>
            </w14:solidFill>
          </w14:textFill>
        </w:rPr>
        <w:t>投标人报价包含</w:t>
      </w:r>
      <w:r>
        <w:rPr>
          <w:rFonts w:asciiTheme="majorEastAsia" w:hAnsiTheme="majorEastAsia" w:eastAsiaTheme="majorEastAsia"/>
          <w:bCs/>
          <w:color w:val="000000" w:themeColor="text1"/>
          <w:sz w:val="24"/>
          <w14:textFill>
            <w14:solidFill>
              <w14:schemeClr w14:val="tx1"/>
            </w14:solidFill>
          </w14:textFill>
        </w:rPr>
        <w:t>完成全部任务过程中</w:t>
      </w:r>
      <w:r>
        <w:rPr>
          <w:rFonts w:hint="eastAsia" w:asciiTheme="majorEastAsia" w:hAnsiTheme="majorEastAsia" w:eastAsiaTheme="majorEastAsia"/>
          <w:bCs/>
          <w:color w:val="000000" w:themeColor="text1"/>
          <w:sz w:val="24"/>
          <w14:textFill>
            <w14:solidFill>
              <w14:schemeClr w14:val="tx1"/>
            </w14:solidFill>
          </w14:textFill>
        </w:rPr>
        <w:t>可预见和</w:t>
      </w:r>
      <w:r>
        <w:rPr>
          <w:rFonts w:hint="eastAsia" w:asciiTheme="majorEastAsia" w:hAnsiTheme="majorEastAsia" w:eastAsiaTheme="majorEastAsia"/>
          <w:bCs/>
          <w:color w:val="000000" w:themeColor="text1"/>
          <w:sz w:val="24"/>
          <w:lang w:val="zh-CN"/>
          <w14:textFill>
            <w14:solidFill>
              <w14:schemeClr w14:val="tx1"/>
            </w14:solidFill>
          </w14:textFill>
        </w:rPr>
        <w:t>不可预见的一切费用</w:t>
      </w:r>
      <w:r>
        <w:rPr>
          <w:rFonts w:asciiTheme="majorEastAsia" w:hAnsiTheme="majorEastAsia" w:eastAsiaTheme="majorEastAsia"/>
          <w:bCs/>
          <w:color w:val="000000" w:themeColor="text1"/>
          <w:sz w:val="24"/>
          <w14:textFill>
            <w14:solidFill>
              <w14:schemeClr w14:val="tx1"/>
            </w14:solidFill>
          </w14:textFill>
        </w:rPr>
        <w:t>及招标代理费</w:t>
      </w:r>
      <w:r>
        <w:rPr>
          <w:rFonts w:hint="eastAsia" w:asciiTheme="majorEastAsia" w:hAnsiTheme="majorEastAsia" w:eastAsiaTheme="majorEastAsia"/>
          <w:bCs/>
          <w:color w:val="000000" w:themeColor="text1"/>
          <w:sz w:val="24"/>
          <w:lang w:val="zh-CN"/>
          <w14:textFill>
            <w14:solidFill>
              <w14:schemeClr w14:val="tx1"/>
            </w14:solidFill>
          </w14:textFill>
        </w:rPr>
        <w:t>。</w:t>
      </w:r>
    </w:p>
    <w:p w14:paraId="7F8F4A94">
      <w:pPr>
        <w:spacing w:line="440" w:lineRule="exact"/>
        <w:ind w:firstLine="480" w:firstLineChars="200"/>
        <w:rPr>
          <w:rFonts w:ascii="宋体" w:hAnsi="宋体" w:cs="宋体"/>
          <w:sz w:val="24"/>
          <w:szCs w:val="24"/>
        </w:rPr>
      </w:pPr>
      <w:r>
        <w:rPr>
          <w:rFonts w:hint="eastAsia" w:ascii="宋体" w:hAnsi="宋体" w:cs="宋体"/>
          <w:sz w:val="24"/>
          <w:szCs w:val="24"/>
        </w:rPr>
        <w:t>12.</w:t>
      </w:r>
      <w:r>
        <w:rPr>
          <w:rFonts w:ascii="宋体" w:hAnsi="宋体" w:cs="宋体"/>
          <w:sz w:val="24"/>
          <w:szCs w:val="24"/>
        </w:rPr>
        <w:t>3</w:t>
      </w:r>
      <w:r>
        <w:rPr>
          <w:rFonts w:hint="eastAsia" w:ascii="宋体" w:hAnsi="宋体" w:cs="宋体"/>
          <w:sz w:val="24"/>
          <w:szCs w:val="24"/>
        </w:rPr>
        <w:t>报价应不高于招标人确定的最高限价。</w:t>
      </w:r>
    </w:p>
    <w:p w14:paraId="655BC9BA">
      <w:pPr>
        <w:spacing w:line="440" w:lineRule="exact"/>
        <w:ind w:firstLine="480" w:firstLineChars="200"/>
        <w:rPr>
          <w:rFonts w:ascii="宋体" w:hAnsi="宋体" w:cs="宋体"/>
          <w:sz w:val="24"/>
          <w:szCs w:val="24"/>
        </w:rPr>
      </w:pPr>
      <w:r>
        <w:rPr>
          <w:rFonts w:hint="eastAsia" w:ascii="宋体" w:hAnsi="宋体" w:cs="宋体"/>
          <w:sz w:val="24"/>
          <w:szCs w:val="24"/>
        </w:rPr>
        <w:t>12.</w:t>
      </w:r>
      <w:r>
        <w:rPr>
          <w:rFonts w:ascii="宋体" w:hAnsi="宋体" w:cs="宋体"/>
          <w:sz w:val="24"/>
          <w:szCs w:val="24"/>
        </w:rPr>
        <w:t>4</w:t>
      </w:r>
      <w:r>
        <w:rPr>
          <w:rFonts w:hint="eastAsia" w:ascii="宋体" w:hAnsi="宋体" w:cs="宋体"/>
          <w:sz w:val="24"/>
          <w:szCs w:val="24"/>
        </w:rPr>
        <w:t xml:space="preserve"> 投标人必须充分考虑到市场风险。</w:t>
      </w:r>
    </w:p>
    <w:p w14:paraId="60063467">
      <w:pPr>
        <w:spacing w:line="440" w:lineRule="exact"/>
        <w:ind w:firstLine="480" w:firstLineChars="200"/>
        <w:rPr>
          <w:rFonts w:ascii="宋体" w:hAnsi="宋体" w:cs="宋体"/>
          <w:sz w:val="24"/>
          <w:szCs w:val="24"/>
        </w:rPr>
      </w:pPr>
      <w:r>
        <w:rPr>
          <w:rFonts w:hint="eastAsia" w:ascii="宋体" w:hAnsi="宋体" w:cs="宋体"/>
          <w:sz w:val="24"/>
          <w:szCs w:val="24"/>
        </w:rPr>
        <w:t>13、投标文件的密封和递交</w:t>
      </w:r>
    </w:p>
    <w:p w14:paraId="6CB72D88">
      <w:pPr>
        <w:spacing w:line="440" w:lineRule="exact"/>
        <w:ind w:firstLine="480" w:firstLineChars="200"/>
        <w:rPr>
          <w:rFonts w:ascii="宋体" w:hAnsi="宋体" w:cs="宋体"/>
          <w:sz w:val="24"/>
          <w:szCs w:val="24"/>
        </w:rPr>
      </w:pPr>
      <w:r>
        <w:rPr>
          <w:rFonts w:hint="eastAsia" w:ascii="宋体" w:hAnsi="宋体" w:cs="宋体"/>
          <w:sz w:val="24"/>
          <w:szCs w:val="24"/>
        </w:rPr>
        <w:t>13.1投标文件三部分内容（资格审查文件</w:t>
      </w:r>
      <w:r>
        <w:rPr>
          <w:rFonts w:ascii="宋体" w:hAnsi="宋体" w:cs="宋体"/>
          <w:sz w:val="24"/>
          <w:szCs w:val="24"/>
        </w:rPr>
        <w:t>、商务技术标</w:t>
      </w:r>
      <w:r>
        <w:rPr>
          <w:rFonts w:hint="eastAsia" w:ascii="宋体" w:hAnsi="宋体" w:cs="宋体"/>
          <w:sz w:val="24"/>
          <w:szCs w:val="24"/>
        </w:rPr>
        <w:t>文件、</w:t>
      </w:r>
      <w:r>
        <w:rPr>
          <w:rFonts w:ascii="宋体" w:hAnsi="宋体" w:cs="宋体"/>
          <w:sz w:val="24"/>
          <w:szCs w:val="24"/>
        </w:rPr>
        <w:t>价格标文件</w:t>
      </w:r>
      <w:r>
        <w:rPr>
          <w:rFonts w:hint="eastAsia" w:ascii="宋体" w:hAnsi="宋体" w:cs="宋体"/>
          <w:sz w:val="24"/>
          <w:szCs w:val="24"/>
        </w:rPr>
        <w:t>）须分别单独密封，并牢固装订成册，不得相互混淆，文件自编目录并连续标注页码，不得将内容拆开。报价文件不得出现于其他文件中。</w:t>
      </w:r>
    </w:p>
    <w:p w14:paraId="2ABC7734">
      <w:pPr>
        <w:spacing w:line="440" w:lineRule="exact"/>
        <w:ind w:firstLine="480" w:firstLineChars="200"/>
        <w:rPr>
          <w:rFonts w:ascii="宋体" w:hAnsi="宋体" w:cs="宋体"/>
          <w:sz w:val="24"/>
          <w:szCs w:val="24"/>
        </w:rPr>
      </w:pPr>
      <w:r>
        <w:rPr>
          <w:rFonts w:hint="eastAsia" w:ascii="宋体" w:hAnsi="宋体" w:cs="宋体"/>
          <w:sz w:val="24"/>
          <w:szCs w:val="24"/>
        </w:rPr>
        <w:t>13.2投标文件每一部分内容均须提供“一正、两副”纸质文件，并将正本、副本及图纸类等（如需提供图纸等其它资料的话）合并密封，统一装在一个密封袋或密封箱内（如有A3大小的图纸类，可单独密封）。</w:t>
      </w:r>
    </w:p>
    <w:p w14:paraId="33C792BC">
      <w:pPr>
        <w:spacing w:line="440" w:lineRule="exact"/>
        <w:ind w:firstLine="480" w:firstLineChars="200"/>
        <w:rPr>
          <w:rFonts w:ascii="宋体" w:hAnsi="宋体" w:cs="宋体"/>
          <w:sz w:val="24"/>
          <w:szCs w:val="24"/>
        </w:rPr>
      </w:pPr>
      <w:r>
        <w:rPr>
          <w:rFonts w:hint="eastAsia" w:ascii="宋体" w:hAnsi="宋体" w:cs="宋体"/>
          <w:sz w:val="24"/>
          <w:szCs w:val="24"/>
        </w:rPr>
        <w:t>13.3纸质投标文件须采用A4纸（图纸等除外），正本须打印并由法定代表人或授权人签字并加盖单位印章。副本可复印，但须加盖单位印章。文件内容中不得行间插字、涂改、增删，如修补错漏处，须由响应文件签署人签字并加盖公章。</w:t>
      </w:r>
    </w:p>
    <w:p w14:paraId="1BDD3540">
      <w:pPr>
        <w:spacing w:line="440" w:lineRule="exact"/>
        <w:ind w:firstLine="480" w:firstLineChars="200"/>
        <w:rPr>
          <w:rFonts w:ascii="宋体" w:hAnsi="宋体" w:cs="宋体"/>
          <w:sz w:val="24"/>
          <w:szCs w:val="24"/>
        </w:rPr>
      </w:pPr>
      <w:r>
        <w:rPr>
          <w:rFonts w:hint="eastAsia" w:ascii="宋体" w:hAnsi="宋体" w:cs="宋体"/>
          <w:sz w:val="24"/>
          <w:szCs w:val="24"/>
        </w:rPr>
        <w:t>13.4投标文件密封后应标明响应文件项目名称、投标人名称、日期等。</w:t>
      </w:r>
    </w:p>
    <w:p w14:paraId="3E2A96DE">
      <w:pPr>
        <w:spacing w:line="440" w:lineRule="exact"/>
        <w:ind w:firstLine="480" w:firstLineChars="200"/>
        <w:rPr>
          <w:rFonts w:ascii="宋体" w:hAnsi="宋体" w:cs="宋体"/>
          <w:sz w:val="24"/>
          <w:szCs w:val="24"/>
        </w:rPr>
      </w:pPr>
      <w:r>
        <w:rPr>
          <w:rFonts w:hint="eastAsia" w:ascii="宋体" w:hAnsi="宋体" w:cs="宋体"/>
          <w:sz w:val="24"/>
          <w:szCs w:val="24"/>
        </w:rPr>
        <w:t>13.5递交时间：供应商须在规定的投标文件接收截止时间前送达指定地点。</w:t>
      </w:r>
    </w:p>
    <w:p w14:paraId="271BBC20">
      <w:pPr>
        <w:spacing w:line="440" w:lineRule="exact"/>
        <w:ind w:firstLine="480" w:firstLineChars="200"/>
        <w:rPr>
          <w:rFonts w:ascii="宋体" w:hAnsi="宋体" w:cs="宋体"/>
          <w:sz w:val="24"/>
          <w:szCs w:val="24"/>
        </w:rPr>
      </w:pPr>
      <w:r>
        <w:rPr>
          <w:rFonts w:hint="eastAsia" w:ascii="宋体" w:hAnsi="宋体" w:cs="宋体"/>
          <w:sz w:val="24"/>
          <w:szCs w:val="24"/>
        </w:rPr>
        <w:t>友情提醒：采购人将拒绝接收未按照招标文件要求密封的投标文件，拒绝接收在投标文件接收截止时间后递交的投标文件</w:t>
      </w:r>
    </w:p>
    <w:p w14:paraId="3F2A928B">
      <w:pPr>
        <w:spacing w:line="440" w:lineRule="exact"/>
        <w:ind w:firstLine="480" w:firstLineChars="200"/>
        <w:rPr>
          <w:rFonts w:ascii="宋体" w:hAnsi="宋体" w:cs="宋体"/>
          <w:sz w:val="24"/>
          <w:szCs w:val="24"/>
        </w:rPr>
      </w:pPr>
      <w:bookmarkStart w:id="66" w:name="_Hlt26670496"/>
      <w:bookmarkEnd w:id="66"/>
      <w:bookmarkStart w:id="67" w:name="_Hlt26954752"/>
      <w:bookmarkEnd w:id="67"/>
      <w:bookmarkStart w:id="68" w:name="_Hlt26954858"/>
      <w:bookmarkEnd w:id="68"/>
      <w:r>
        <w:rPr>
          <w:rFonts w:hint="eastAsia" w:ascii="宋体" w:hAnsi="宋体" w:cs="宋体"/>
          <w:sz w:val="24"/>
          <w:szCs w:val="24"/>
        </w:rPr>
        <w:t>14、投标保证金</w:t>
      </w:r>
      <w:bookmarkEnd w:id="64"/>
      <w:bookmarkEnd w:id="65"/>
      <w:r>
        <w:rPr>
          <w:rFonts w:hint="eastAsia" w:ascii="宋体" w:hAnsi="宋体" w:cs="宋体"/>
          <w:sz w:val="24"/>
          <w:szCs w:val="24"/>
        </w:rPr>
        <w:t>：免收。</w:t>
      </w:r>
    </w:p>
    <w:p w14:paraId="479C15DA">
      <w:pPr>
        <w:spacing w:line="440" w:lineRule="exact"/>
        <w:ind w:firstLine="480" w:firstLineChars="200"/>
        <w:rPr>
          <w:rFonts w:ascii="宋体" w:hAnsi="宋体" w:cs="宋体"/>
          <w:sz w:val="24"/>
          <w:szCs w:val="24"/>
        </w:rPr>
      </w:pPr>
      <w:bookmarkStart w:id="69" w:name="_Hlt26670489"/>
      <w:bookmarkEnd w:id="69"/>
      <w:bookmarkStart w:id="70" w:name="_Hlt26954734"/>
      <w:bookmarkEnd w:id="70"/>
      <w:bookmarkStart w:id="71" w:name="_Hlt26954850"/>
      <w:bookmarkEnd w:id="71"/>
      <w:bookmarkStart w:id="72" w:name="_Toc49090511"/>
      <w:bookmarkStart w:id="73" w:name="_Toc14577360"/>
      <w:r>
        <w:rPr>
          <w:rFonts w:hint="eastAsia" w:ascii="宋体" w:hAnsi="宋体" w:cs="宋体"/>
          <w:sz w:val="24"/>
          <w:szCs w:val="24"/>
        </w:rPr>
        <w:t>15、投标有效期</w:t>
      </w:r>
      <w:bookmarkEnd w:id="72"/>
      <w:bookmarkEnd w:id="73"/>
    </w:p>
    <w:p w14:paraId="6772857E">
      <w:pPr>
        <w:spacing w:line="440" w:lineRule="exact"/>
        <w:ind w:firstLine="480" w:firstLineChars="200"/>
        <w:rPr>
          <w:rFonts w:ascii="宋体" w:hAnsi="宋体" w:cs="宋体"/>
          <w:sz w:val="24"/>
          <w:szCs w:val="24"/>
        </w:rPr>
      </w:pPr>
      <w:r>
        <w:rPr>
          <w:rFonts w:hint="eastAsia" w:ascii="宋体" w:hAnsi="宋体" w:cs="宋体"/>
          <w:sz w:val="24"/>
          <w:szCs w:val="24"/>
        </w:rPr>
        <w:t>15.1 投标有效期为采购人规定的开标之日后六十天。投标有效期比规定短的将被视为非响应性投标而予以拒绝。</w:t>
      </w:r>
    </w:p>
    <w:p w14:paraId="58B9D44E">
      <w:pPr>
        <w:spacing w:line="440" w:lineRule="exact"/>
        <w:ind w:firstLine="480" w:firstLineChars="200"/>
        <w:rPr>
          <w:rFonts w:ascii="宋体" w:hAnsi="宋体" w:cs="宋体"/>
          <w:sz w:val="24"/>
          <w:szCs w:val="24"/>
        </w:rPr>
      </w:pPr>
      <w:r>
        <w:rPr>
          <w:rFonts w:hint="eastAsia" w:ascii="宋体" w:hAnsi="宋体" w:cs="宋体"/>
          <w:sz w:val="24"/>
          <w:szCs w:val="24"/>
        </w:rPr>
        <w:t>15.2 在特殊情况下，采购人于原投标有效期满之前，可向投标人提出延长投标有效期的要求。这种要求与答复均应采用书面形式。投标人可以拒绝采购人的这一要求而放弃投标。</w:t>
      </w:r>
    </w:p>
    <w:p w14:paraId="446982C4">
      <w:pPr>
        <w:adjustRightInd w:val="0"/>
        <w:snapToGrid w:val="0"/>
        <w:spacing w:line="420" w:lineRule="exact"/>
        <w:ind w:firstLine="482" w:firstLineChars="200"/>
        <w:rPr>
          <w:b/>
          <w:sz w:val="24"/>
        </w:rPr>
      </w:pPr>
      <w:bookmarkStart w:id="74" w:name="_Hlt26954852"/>
      <w:bookmarkEnd w:id="74"/>
      <w:bookmarkStart w:id="75" w:name="_Hlt26954739"/>
      <w:bookmarkEnd w:id="75"/>
      <w:bookmarkStart w:id="76" w:name="_Toc513029229"/>
      <w:bookmarkStart w:id="77" w:name="_Toc16938545"/>
      <w:bookmarkStart w:id="78" w:name="_Toc20823301"/>
      <w:bookmarkStart w:id="79" w:name="_Toc120614218"/>
      <w:r>
        <w:rPr>
          <w:rFonts w:hint="eastAsia"/>
          <w:b/>
          <w:sz w:val="24"/>
        </w:rPr>
        <w:t>四、开标与评标</w:t>
      </w:r>
      <w:bookmarkEnd w:id="76"/>
      <w:bookmarkEnd w:id="77"/>
      <w:bookmarkEnd w:id="78"/>
      <w:bookmarkEnd w:id="79"/>
    </w:p>
    <w:p w14:paraId="56B0D567">
      <w:pPr>
        <w:spacing w:line="440" w:lineRule="exact"/>
        <w:ind w:firstLine="480" w:firstLineChars="200"/>
        <w:rPr>
          <w:rFonts w:ascii="宋体" w:hAnsi="宋体" w:cs="宋体"/>
          <w:sz w:val="24"/>
          <w:szCs w:val="24"/>
        </w:rPr>
      </w:pPr>
      <w:bookmarkStart w:id="80" w:name="_Toc16938546"/>
      <w:bookmarkStart w:id="81" w:name="_Toc20823302"/>
      <w:bookmarkStart w:id="82" w:name="_Toc513029230"/>
      <w:bookmarkStart w:id="83" w:name="_Toc16938547"/>
      <w:bookmarkStart w:id="84" w:name="_Toc20823303"/>
      <w:bookmarkStart w:id="85" w:name="_Toc513029231"/>
      <w:r>
        <w:rPr>
          <w:rFonts w:hint="eastAsia" w:ascii="宋体" w:hAnsi="宋体" w:cs="宋体"/>
          <w:sz w:val="24"/>
          <w:szCs w:val="24"/>
        </w:rPr>
        <w:t>16、开标</w:t>
      </w:r>
      <w:bookmarkEnd w:id="80"/>
      <w:bookmarkEnd w:id="81"/>
      <w:bookmarkEnd w:id="82"/>
    </w:p>
    <w:p w14:paraId="634E5F87">
      <w:pPr>
        <w:spacing w:line="440" w:lineRule="exact"/>
        <w:ind w:firstLine="480" w:firstLineChars="200"/>
        <w:rPr>
          <w:rFonts w:ascii="宋体" w:hAnsi="宋体" w:cs="宋体"/>
          <w:sz w:val="24"/>
          <w:szCs w:val="24"/>
        </w:rPr>
      </w:pPr>
      <w:r>
        <w:rPr>
          <w:rFonts w:hint="eastAsia" w:ascii="宋体" w:hAnsi="宋体" w:cs="宋体"/>
          <w:sz w:val="24"/>
          <w:szCs w:val="24"/>
        </w:rPr>
        <w:t>16.1 采购人将在招标邀请中规定的时间和地点组织开标。投标人应委派携带身份证原件的授权委托人准时参加，否则视为自动放弃投标。</w:t>
      </w:r>
    </w:p>
    <w:p w14:paraId="56DF531E">
      <w:pPr>
        <w:spacing w:line="440" w:lineRule="exact"/>
        <w:ind w:firstLine="480" w:firstLineChars="200"/>
        <w:rPr>
          <w:rFonts w:ascii="宋体" w:hAnsi="宋体" w:cs="宋体"/>
          <w:sz w:val="24"/>
          <w:szCs w:val="24"/>
        </w:rPr>
      </w:pPr>
      <w:r>
        <w:rPr>
          <w:rFonts w:hint="eastAsia" w:ascii="宋体" w:hAnsi="宋体" w:cs="宋体"/>
          <w:sz w:val="24"/>
          <w:szCs w:val="24"/>
        </w:rPr>
        <w:t>16.2开标仪式由采购人或采购代理机构组织，投标人代表、监管代表（必要时）等参加。</w:t>
      </w:r>
    </w:p>
    <w:p w14:paraId="1B14BF20">
      <w:pPr>
        <w:spacing w:line="440" w:lineRule="exact"/>
        <w:ind w:firstLine="480" w:firstLineChars="200"/>
        <w:rPr>
          <w:rFonts w:ascii="宋体" w:hAnsi="宋体" w:cs="宋体"/>
          <w:sz w:val="24"/>
          <w:szCs w:val="24"/>
        </w:rPr>
      </w:pPr>
      <w:r>
        <w:rPr>
          <w:rFonts w:hint="eastAsia" w:ascii="宋体" w:hAnsi="宋体" w:cs="宋体"/>
          <w:sz w:val="24"/>
          <w:szCs w:val="24"/>
        </w:rPr>
        <w:t>16.3按照规定同意撤回的投标将不予开封。</w:t>
      </w:r>
    </w:p>
    <w:p w14:paraId="154BBCB3">
      <w:pPr>
        <w:spacing w:line="440" w:lineRule="exact"/>
        <w:ind w:firstLine="480" w:firstLineChars="200"/>
        <w:rPr>
          <w:rFonts w:ascii="宋体" w:hAnsi="宋体" w:cs="宋体"/>
          <w:sz w:val="24"/>
          <w:szCs w:val="24"/>
        </w:rPr>
      </w:pPr>
      <w:r>
        <w:rPr>
          <w:rFonts w:hint="eastAsia" w:ascii="宋体" w:hAnsi="宋体" w:cs="宋体"/>
          <w:sz w:val="24"/>
          <w:szCs w:val="24"/>
        </w:rPr>
        <w:t>16.4开标时，由投标人或者其推选的代表检查投标文件的密封情况；经确认无误后，由采购人或者采购代理机构工作人员当众拆封，宣布投标人名称和招标文件规定的需要宣布的其他内容。</w:t>
      </w:r>
    </w:p>
    <w:p w14:paraId="6EB7572F">
      <w:pPr>
        <w:spacing w:line="440" w:lineRule="exact"/>
        <w:ind w:firstLine="480" w:firstLineChars="200"/>
        <w:rPr>
          <w:rFonts w:ascii="宋体" w:hAnsi="宋体" w:cs="宋体"/>
          <w:sz w:val="24"/>
          <w:szCs w:val="24"/>
        </w:rPr>
      </w:pPr>
      <w:r>
        <w:rPr>
          <w:rFonts w:hint="eastAsia" w:ascii="宋体" w:hAnsi="宋体" w:cs="宋体"/>
          <w:sz w:val="24"/>
          <w:szCs w:val="24"/>
        </w:rPr>
        <w:t>16.5 采购人将指定专人负责开标记录并存档备查。</w:t>
      </w:r>
    </w:p>
    <w:p w14:paraId="7EC5473C">
      <w:pPr>
        <w:spacing w:line="440" w:lineRule="exact"/>
        <w:ind w:firstLine="480" w:firstLineChars="200"/>
        <w:rPr>
          <w:rFonts w:ascii="宋体" w:hAnsi="宋体" w:cs="宋体"/>
          <w:sz w:val="24"/>
          <w:szCs w:val="24"/>
        </w:rPr>
      </w:pPr>
      <w:r>
        <w:rPr>
          <w:rFonts w:hint="eastAsia" w:ascii="宋体" w:hAnsi="宋体" w:cs="宋体"/>
          <w:sz w:val="24"/>
          <w:szCs w:val="24"/>
        </w:rPr>
        <w:t>16.6 投标人在报价时不允许采用选择性报价，否则将被视为无效投标。</w:t>
      </w:r>
    </w:p>
    <w:p w14:paraId="25D5B8FD">
      <w:pPr>
        <w:spacing w:line="440" w:lineRule="exact"/>
        <w:ind w:firstLine="480" w:firstLineChars="200"/>
        <w:rPr>
          <w:rFonts w:ascii="宋体" w:hAnsi="宋体" w:cs="宋体"/>
          <w:sz w:val="24"/>
          <w:szCs w:val="24"/>
        </w:rPr>
      </w:pPr>
      <w:r>
        <w:rPr>
          <w:rFonts w:hint="eastAsia" w:ascii="宋体" w:hAnsi="宋体" w:cs="宋体"/>
          <w:sz w:val="24"/>
          <w:szCs w:val="24"/>
        </w:rPr>
        <w:t>16.7投标人未参加开标的，视同认可开标结果。</w:t>
      </w:r>
    </w:p>
    <w:p w14:paraId="28C543C7">
      <w:pPr>
        <w:spacing w:line="440" w:lineRule="exact"/>
        <w:ind w:firstLine="480" w:firstLineChars="200"/>
        <w:rPr>
          <w:rFonts w:ascii="宋体" w:hAnsi="宋体" w:cs="宋体"/>
          <w:sz w:val="24"/>
          <w:szCs w:val="24"/>
        </w:rPr>
      </w:pPr>
      <w:r>
        <w:rPr>
          <w:rFonts w:hint="eastAsia" w:ascii="宋体" w:hAnsi="宋体" w:cs="宋体"/>
          <w:sz w:val="24"/>
          <w:szCs w:val="24"/>
        </w:rPr>
        <w:t>17、评标委员会</w:t>
      </w:r>
    </w:p>
    <w:p w14:paraId="6EB661B8">
      <w:pPr>
        <w:spacing w:line="440" w:lineRule="exact"/>
        <w:ind w:firstLine="480" w:firstLineChars="200"/>
        <w:rPr>
          <w:rFonts w:ascii="宋体" w:hAnsi="宋体" w:cs="宋体"/>
          <w:sz w:val="24"/>
          <w:szCs w:val="24"/>
        </w:rPr>
      </w:pPr>
      <w:r>
        <w:rPr>
          <w:rFonts w:hint="eastAsia" w:ascii="宋体" w:hAnsi="宋体" w:cs="宋体"/>
          <w:sz w:val="24"/>
          <w:szCs w:val="24"/>
        </w:rPr>
        <w:t>17.1开标后，采购人将立即组织评标委员会（以下简称评委会）进行评标。</w:t>
      </w:r>
    </w:p>
    <w:p w14:paraId="2D37B4FD">
      <w:pPr>
        <w:spacing w:line="440" w:lineRule="exact"/>
        <w:ind w:firstLine="480" w:firstLineChars="200"/>
        <w:rPr>
          <w:rFonts w:ascii="宋体" w:hAnsi="宋体" w:cs="宋体"/>
          <w:sz w:val="24"/>
          <w:szCs w:val="24"/>
        </w:rPr>
      </w:pPr>
      <w:r>
        <w:rPr>
          <w:rFonts w:hint="eastAsia" w:ascii="宋体" w:hAnsi="宋体" w:cs="宋体"/>
          <w:sz w:val="24"/>
          <w:szCs w:val="24"/>
        </w:rPr>
        <w:t>17.2 评委会由有关技术、经济等方面的专家组成，且人员构成符合采购有关规定。</w:t>
      </w:r>
    </w:p>
    <w:p w14:paraId="29DC3FB3">
      <w:pPr>
        <w:spacing w:line="440" w:lineRule="exact"/>
        <w:ind w:firstLine="480" w:firstLineChars="200"/>
        <w:rPr>
          <w:rFonts w:ascii="宋体" w:hAnsi="宋体" w:cs="宋体"/>
          <w:sz w:val="24"/>
          <w:szCs w:val="24"/>
        </w:rPr>
      </w:pPr>
      <w:r>
        <w:rPr>
          <w:rFonts w:hint="eastAsia" w:ascii="宋体" w:hAnsi="宋体" w:cs="宋体"/>
          <w:sz w:val="24"/>
          <w:szCs w:val="24"/>
        </w:rPr>
        <w:t>17.3评委会独立工作，负责评审所有投标文件并确定中标人。</w:t>
      </w:r>
    </w:p>
    <w:p w14:paraId="0724D190">
      <w:pPr>
        <w:spacing w:line="440" w:lineRule="exact"/>
        <w:ind w:firstLine="480" w:firstLineChars="200"/>
        <w:rPr>
          <w:rFonts w:ascii="宋体" w:hAnsi="宋体" w:cs="宋体"/>
          <w:sz w:val="24"/>
          <w:szCs w:val="24"/>
        </w:rPr>
      </w:pPr>
      <w:r>
        <w:rPr>
          <w:rFonts w:hint="eastAsia" w:ascii="宋体" w:hAnsi="宋体" w:cs="宋体"/>
          <w:sz w:val="24"/>
          <w:szCs w:val="24"/>
        </w:rPr>
        <w:t>18．评标过程的保密与公正</w:t>
      </w:r>
    </w:p>
    <w:bookmarkEnd w:id="83"/>
    <w:bookmarkEnd w:id="84"/>
    <w:bookmarkEnd w:id="85"/>
    <w:p w14:paraId="158106C3">
      <w:pPr>
        <w:spacing w:line="440" w:lineRule="exact"/>
        <w:ind w:firstLine="480" w:firstLineChars="200"/>
        <w:rPr>
          <w:rFonts w:ascii="宋体" w:hAnsi="宋体" w:cs="宋体"/>
          <w:sz w:val="24"/>
          <w:szCs w:val="24"/>
        </w:rPr>
      </w:pPr>
      <w:r>
        <w:rPr>
          <w:rFonts w:hint="eastAsia" w:ascii="宋体" w:hAnsi="宋体" w:cs="宋体"/>
          <w:sz w:val="24"/>
          <w:szCs w:val="24"/>
        </w:rPr>
        <w:t>18.1公开开标后，直至向中标的投标人授予合同时止，凡是与审查、澄清、评价和比较投标的有关资料以及授标建议等，采购人、评委、采购代理机构均不得向投标人或与评标无关的其他人员透露。</w:t>
      </w:r>
    </w:p>
    <w:p w14:paraId="07230BFE">
      <w:pPr>
        <w:spacing w:line="440" w:lineRule="exact"/>
        <w:ind w:firstLine="480" w:firstLineChars="200"/>
        <w:rPr>
          <w:rFonts w:ascii="宋体" w:hAnsi="宋体" w:cs="宋体"/>
          <w:sz w:val="24"/>
          <w:szCs w:val="24"/>
        </w:rPr>
      </w:pPr>
      <w:r>
        <w:rPr>
          <w:rFonts w:hint="eastAsia" w:ascii="宋体" w:hAnsi="宋体" w:cs="宋体"/>
          <w:sz w:val="24"/>
          <w:szCs w:val="24"/>
        </w:rPr>
        <w:t>18.2由采购人代表对投标人资格性、符合性审查，对未通过审查的供应商，应现场告知原因。</w:t>
      </w:r>
    </w:p>
    <w:p w14:paraId="4AA1B42F">
      <w:pPr>
        <w:spacing w:line="440" w:lineRule="exact"/>
        <w:ind w:firstLine="480" w:firstLineChars="200"/>
        <w:rPr>
          <w:rFonts w:ascii="宋体" w:hAnsi="宋体" w:cs="宋体"/>
          <w:sz w:val="24"/>
          <w:szCs w:val="24"/>
        </w:rPr>
      </w:pPr>
      <w:r>
        <w:rPr>
          <w:rFonts w:hint="eastAsia" w:ascii="宋体" w:hAnsi="宋体" w:cs="宋体"/>
          <w:sz w:val="24"/>
          <w:szCs w:val="24"/>
        </w:rPr>
        <w:t>18.3在评标过程中，投标人不得以任何行为影响评标过程，否则其投标文件将被作为无效投标文件。</w:t>
      </w:r>
    </w:p>
    <w:p w14:paraId="0183C577">
      <w:pPr>
        <w:spacing w:line="440" w:lineRule="exact"/>
        <w:ind w:firstLine="480" w:firstLineChars="200"/>
        <w:rPr>
          <w:rFonts w:ascii="宋体" w:hAnsi="宋体" w:cs="宋体"/>
          <w:sz w:val="24"/>
          <w:szCs w:val="24"/>
        </w:rPr>
      </w:pPr>
      <w:r>
        <w:rPr>
          <w:rFonts w:hint="eastAsia" w:ascii="宋体" w:hAnsi="宋体" w:cs="宋体"/>
          <w:sz w:val="24"/>
          <w:szCs w:val="24"/>
        </w:rPr>
        <w:t>18.4在评标期间，采购人或采购代理机构将设专门人员与投标人联系。</w:t>
      </w:r>
    </w:p>
    <w:p w14:paraId="2CCCE7B6">
      <w:pPr>
        <w:spacing w:line="440" w:lineRule="exact"/>
        <w:ind w:firstLine="480" w:firstLineChars="200"/>
        <w:rPr>
          <w:rFonts w:ascii="宋体" w:hAnsi="宋体" w:cs="宋体"/>
          <w:sz w:val="24"/>
          <w:szCs w:val="24"/>
        </w:rPr>
      </w:pPr>
      <w:r>
        <w:rPr>
          <w:rFonts w:hint="eastAsia" w:ascii="宋体" w:hAnsi="宋体" w:cs="宋体"/>
          <w:sz w:val="24"/>
          <w:szCs w:val="24"/>
        </w:rPr>
        <w:t>18.5采购人代表在见面开标室中宣布评标结果。</w:t>
      </w:r>
    </w:p>
    <w:p w14:paraId="158CCF68">
      <w:pPr>
        <w:spacing w:line="440" w:lineRule="exact"/>
        <w:ind w:firstLine="480" w:firstLineChars="200"/>
        <w:rPr>
          <w:rFonts w:ascii="宋体" w:hAnsi="宋体" w:cs="宋体"/>
          <w:sz w:val="24"/>
          <w:szCs w:val="24"/>
        </w:rPr>
      </w:pPr>
      <w:bookmarkStart w:id="86" w:name="_Toc20823304"/>
      <w:bookmarkStart w:id="87" w:name="_Toc16938548"/>
      <w:bookmarkStart w:id="88" w:name="_Toc513029232"/>
      <w:r>
        <w:rPr>
          <w:rFonts w:hint="eastAsia" w:ascii="宋体" w:hAnsi="宋体" w:cs="宋体"/>
          <w:sz w:val="24"/>
          <w:szCs w:val="24"/>
        </w:rPr>
        <w:t>19．投标的澄清</w:t>
      </w:r>
      <w:bookmarkEnd w:id="86"/>
      <w:bookmarkEnd w:id="87"/>
      <w:bookmarkEnd w:id="88"/>
    </w:p>
    <w:p w14:paraId="2F3816C8">
      <w:pPr>
        <w:spacing w:line="440" w:lineRule="exact"/>
        <w:ind w:firstLine="480" w:firstLineChars="200"/>
        <w:rPr>
          <w:rFonts w:ascii="宋体" w:hAnsi="宋体" w:cs="宋体"/>
          <w:sz w:val="24"/>
          <w:szCs w:val="24"/>
        </w:rPr>
      </w:pPr>
      <w:r>
        <w:rPr>
          <w:rFonts w:hint="eastAsia" w:ascii="宋体" w:hAnsi="宋体" w:cs="宋体"/>
          <w:sz w:val="24"/>
          <w:szCs w:val="24"/>
        </w:rPr>
        <w:t>19.1评标期间，为有助于对投标文件的审查、评价和比较，评委会有权以书面形式要求投标人对其投标文件进行澄清，但并非对每个投标人都作澄清要求。</w:t>
      </w:r>
    </w:p>
    <w:p w14:paraId="7FFD20D6">
      <w:pPr>
        <w:spacing w:line="440" w:lineRule="exact"/>
        <w:ind w:firstLine="480" w:firstLineChars="200"/>
        <w:rPr>
          <w:rFonts w:ascii="宋体" w:hAnsi="宋体" w:cs="宋体"/>
          <w:sz w:val="24"/>
          <w:szCs w:val="24"/>
        </w:rPr>
      </w:pPr>
      <w:r>
        <w:rPr>
          <w:rFonts w:hint="eastAsia" w:ascii="宋体" w:hAnsi="宋体" w:cs="宋体"/>
          <w:sz w:val="24"/>
          <w:szCs w:val="24"/>
        </w:rPr>
        <w:t>19.2接到评委会澄清要求的投标人应派人按评委会通知的时间和地点做出书面澄清，书面澄清的内容须由投标人法人或授权代表签署，并作为投标文件的补充部分，但投标的价格和实质性的内容不得做任何更改。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6BB178D0">
      <w:pPr>
        <w:spacing w:line="440" w:lineRule="exact"/>
        <w:ind w:firstLine="480" w:firstLineChars="200"/>
        <w:rPr>
          <w:rFonts w:ascii="宋体" w:hAnsi="宋体" w:cs="宋体"/>
          <w:sz w:val="24"/>
          <w:szCs w:val="24"/>
        </w:rPr>
      </w:pPr>
      <w:r>
        <w:rPr>
          <w:rFonts w:hint="eastAsia" w:ascii="宋体" w:hAnsi="宋体" w:cs="宋体"/>
          <w:sz w:val="24"/>
          <w:szCs w:val="24"/>
        </w:rPr>
        <w:t>19.3 接到评委会澄清要求的投标人如未按规定做出澄清，其风险由投标人自行承担。</w:t>
      </w:r>
    </w:p>
    <w:p w14:paraId="770A5852">
      <w:pPr>
        <w:spacing w:line="440" w:lineRule="exact"/>
        <w:ind w:firstLine="480" w:firstLineChars="200"/>
        <w:rPr>
          <w:rFonts w:ascii="宋体" w:hAnsi="宋体" w:cs="宋体"/>
          <w:sz w:val="24"/>
          <w:szCs w:val="24"/>
        </w:rPr>
      </w:pPr>
      <w:bookmarkStart w:id="89" w:name="_Toc513029233"/>
      <w:bookmarkStart w:id="90" w:name="_Toc16938549"/>
      <w:bookmarkStart w:id="91" w:name="_Toc20823305"/>
      <w:r>
        <w:rPr>
          <w:rFonts w:hint="eastAsia" w:ascii="宋体" w:hAnsi="宋体" w:cs="宋体"/>
          <w:sz w:val="24"/>
          <w:szCs w:val="24"/>
        </w:rPr>
        <w:t>20、对投标文件的初审</w:t>
      </w:r>
      <w:bookmarkEnd w:id="89"/>
      <w:bookmarkEnd w:id="90"/>
      <w:bookmarkEnd w:id="91"/>
    </w:p>
    <w:p w14:paraId="147FA7D7">
      <w:pPr>
        <w:spacing w:line="440" w:lineRule="exact"/>
        <w:ind w:firstLine="480" w:firstLineChars="200"/>
        <w:rPr>
          <w:rFonts w:ascii="宋体" w:hAnsi="宋体" w:cs="宋体"/>
          <w:sz w:val="24"/>
          <w:szCs w:val="24"/>
        </w:rPr>
      </w:pPr>
      <w:r>
        <w:rPr>
          <w:rFonts w:hint="eastAsia" w:ascii="宋体" w:hAnsi="宋体" w:cs="宋体"/>
          <w:sz w:val="24"/>
          <w:szCs w:val="24"/>
        </w:rPr>
        <w:t>20.1投标文件初审为资格性检查及符合性检查。由评委会负责实施。</w:t>
      </w:r>
    </w:p>
    <w:p w14:paraId="2B39B578">
      <w:pPr>
        <w:spacing w:line="440" w:lineRule="exact"/>
        <w:ind w:firstLine="480" w:firstLineChars="200"/>
        <w:rPr>
          <w:rFonts w:ascii="宋体" w:hAnsi="宋体" w:cs="宋体"/>
          <w:sz w:val="24"/>
          <w:szCs w:val="24"/>
        </w:rPr>
      </w:pPr>
      <w:r>
        <w:rPr>
          <w:rFonts w:hint="eastAsia" w:ascii="宋体" w:hAnsi="宋体" w:cs="宋体"/>
          <w:sz w:val="24"/>
          <w:szCs w:val="24"/>
        </w:rPr>
        <w:t>资格性检查：依据法律法规和招标文件的规定，对投标文件中的资格证明文件、投标保证金等进行审查，以确定投标供应商是否具备投标资格。</w:t>
      </w:r>
    </w:p>
    <w:p w14:paraId="310291AC">
      <w:pPr>
        <w:spacing w:line="440" w:lineRule="exact"/>
        <w:ind w:firstLine="480" w:firstLineChars="200"/>
        <w:rPr>
          <w:rFonts w:ascii="宋体" w:hAnsi="宋体" w:cs="宋体"/>
          <w:sz w:val="24"/>
          <w:szCs w:val="24"/>
        </w:rPr>
      </w:pPr>
      <w:r>
        <w:rPr>
          <w:rFonts w:hint="eastAsia" w:ascii="宋体" w:hAnsi="宋体" w:cs="宋体"/>
          <w:sz w:val="24"/>
          <w:szCs w:val="24"/>
        </w:rPr>
        <w:t>符合性检查：依据招标文件的规定，从投标文件的有效性、完整性和对招标文件的响应程度进行审查，以确定是否对招标文件的实质性要求作出响应。</w:t>
      </w:r>
    </w:p>
    <w:p w14:paraId="35BC7F44">
      <w:pPr>
        <w:spacing w:line="440" w:lineRule="exact"/>
        <w:ind w:firstLine="480" w:firstLineChars="200"/>
        <w:rPr>
          <w:rFonts w:ascii="宋体" w:hAnsi="宋体" w:cs="宋体"/>
          <w:sz w:val="24"/>
          <w:szCs w:val="24"/>
        </w:rPr>
      </w:pPr>
      <w:r>
        <w:rPr>
          <w:rFonts w:hint="eastAsia" w:ascii="宋体" w:hAnsi="宋体" w:cs="宋体"/>
          <w:sz w:val="24"/>
          <w:szCs w:val="24"/>
        </w:rPr>
        <w:t>20.2在详细评标之前，评委会将首先审查每份投标文件是否实质性响应了招标文件的要求。实质性响应的投标应该是与招标文件要求的全部条款、条件和规格相符，没有重大偏离或保留的投标。</w:t>
      </w:r>
    </w:p>
    <w:p w14:paraId="77647FAD">
      <w:pPr>
        <w:spacing w:line="440" w:lineRule="exact"/>
        <w:ind w:firstLine="480" w:firstLineChars="200"/>
        <w:rPr>
          <w:rFonts w:ascii="宋体" w:hAnsi="宋体" w:cs="宋体"/>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175B4116">
      <w:pPr>
        <w:spacing w:line="440" w:lineRule="exact"/>
        <w:ind w:firstLine="480" w:firstLineChars="200"/>
        <w:rPr>
          <w:rFonts w:ascii="宋体" w:hAnsi="宋体" w:cs="宋体"/>
          <w:sz w:val="24"/>
          <w:szCs w:val="24"/>
        </w:rPr>
      </w:pPr>
      <w:r>
        <w:rPr>
          <w:rFonts w:hint="eastAsia" w:ascii="宋体" w:hAnsi="宋体" w:cs="宋体"/>
          <w:sz w:val="24"/>
          <w:szCs w:val="24"/>
        </w:rPr>
        <w:t>20.3如果投标文件实质上没有响应招标文件的要求，评委会将予以拒绝，投标人不得通过修改或撤销不合要求的偏离或保留而使其投标成为实质性响应的投标。</w:t>
      </w:r>
    </w:p>
    <w:p w14:paraId="0F620585">
      <w:pPr>
        <w:spacing w:line="440" w:lineRule="exact"/>
        <w:ind w:firstLine="480" w:firstLineChars="200"/>
        <w:rPr>
          <w:rFonts w:ascii="宋体" w:hAnsi="宋体" w:cs="宋体"/>
          <w:sz w:val="24"/>
          <w:szCs w:val="24"/>
        </w:rPr>
      </w:pPr>
      <w:r>
        <w:rPr>
          <w:rFonts w:hint="eastAsia" w:ascii="宋体" w:hAnsi="宋体" w:cs="宋体"/>
          <w:sz w:val="24"/>
          <w:szCs w:val="24"/>
        </w:rPr>
        <w:t>20.4评委会将对确定为实质性响应的投标进行进一步审核，对投标文件中大小写金额不一致等问题的评审原则如下：</w:t>
      </w:r>
    </w:p>
    <w:p w14:paraId="6C99A327">
      <w:pPr>
        <w:spacing w:line="440" w:lineRule="exact"/>
        <w:ind w:firstLine="480" w:firstLineChars="200"/>
        <w:rPr>
          <w:rFonts w:ascii="宋体" w:hAnsi="宋体" w:cs="宋体"/>
          <w:sz w:val="24"/>
          <w:szCs w:val="24"/>
        </w:rPr>
      </w:pPr>
      <w:r>
        <w:rPr>
          <w:rFonts w:hint="eastAsia" w:ascii="宋体" w:hAnsi="宋体" w:cs="宋体"/>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质疑的，以中文文本为准。</w:t>
      </w:r>
    </w:p>
    <w:p w14:paraId="6CBF241A">
      <w:pPr>
        <w:spacing w:line="440" w:lineRule="exact"/>
        <w:ind w:firstLine="480" w:firstLineChars="200"/>
        <w:rPr>
          <w:rFonts w:ascii="宋体" w:hAnsi="宋体" w:cs="宋体"/>
          <w:sz w:val="24"/>
          <w:szCs w:val="24"/>
        </w:rPr>
      </w:pPr>
      <w:r>
        <w:rPr>
          <w:rFonts w:hint="eastAsia" w:ascii="宋体" w:hAnsi="宋体" w:cs="宋体"/>
          <w:sz w:val="24"/>
          <w:szCs w:val="24"/>
        </w:rPr>
        <w:t>20.5评委会将按上述修正错误的方法修正投标文件中的投标报价，修正后的价格经投标人确认后具有约束力。如果投标人不确认的，则其投标将被拒绝，其投标保证金不予退还。</w:t>
      </w:r>
    </w:p>
    <w:p w14:paraId="39846F1F">
      <w:pPr>
        <w:spacing w:line="440" w:lineRule="exact"/>
        <w:ind w:firstLine="480" w:firstLineChars="200"/>
        <w:rPr>
          <w:rFonts w:ascii="宋体" w:hAnsi="宋体" w:cs="宋体"/>
          <w:sz w:val="24"/>
          <w:szCs w:val="24"/>
        </w:rPr>
      </w:pPr>
      <w:r>
        <w:rPr>
          <w:rFonts w:hint="eastAsia" w:ascii="宋体" w:hAnsi="宋体" w:cs="宋体"/>
          <w:sz w:val="24"/>
          <w:szCs w:val="24"/>
        </w:rPr>
        <w:t>20.6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713D2020">
      <w:pPr>
        <w:spacing w:line="440" w:lineRule="exact"/>
        <w:ind w:firstLine="480" w:firstLineChars="200"/>
        <w:rPr>
          <w:rFonts w:ascii="宋体" w:hAnsi="宋体" w:cs="宋体"/>
          <w:sz w:val="24"/>
          <w:szCs w:val="24"/>
        </w:rPr>
      </w:pPr>
      <w:bookmarkStart w:id="92" w:name="_Toc20823306"/>
      <w:bookmarkStart w:id="93" w:name="_Toc513029234"/>
      <w:bookmarkStart w:id="94" w:name="_Toc16938550"/>
      <w:r>
        <w:rPr>
          <w:rFonts w:hint="eastAsia" w:ascii="宋体" w:hAnsi="宋体" w:cs="宋体"/>
          <w:sz w:val="24"/>
          <w:szCs w:val="24"/>
        </w:rPr>
        <w:t>21、</w:t>
      </w:r>
      <w:bookmarkEnd w:id="92"/>
      <w:bookmarkEnd w:id="93"/>
      <w:bookmarkEnd w:id="94"/>
      <w:r>
        <w:rPr>
          <w:rFonts w:hint="eastAsia" w:ascii="宋体" w:hAnsi="宋体" w:cs="宋体"/>
          <w:sz w:val="24"/>
          <w:szCs w:val="24"/>
        </w:rPr>
        <w:t>无效投标条款和废标条款</w:t>
      </w:r>
    </w:p>
    <w:p w14:paraId="614F8970">
      <w:pPr>
        <w:spacing w:line="440" w:lineRule="exact"/>
        <w:ind w:firstLine="480" w:firstLineChars="200"/>
        <w:rPr>
          <w:rFonts w:ascii="宋体" w:hAnsi="宋体" w:cs="宋体"/>
          <w:sz w:val="24"/>
          <w:szCs w:val="24"/>
        </w:rPr>
      </w:pPr>
      <w:bookmarkStart w:id="95" w:name="_Toc20823307"/>
      <w:bookmarkStart w:id="96" w:name="_Toc513029235"/>
      <w:bookmarkStart w:id="97" w:name="_Toc16938551"/>
      <w:r>
        <w:rPr>
          <w:rFonts w:hint="eastAsia" w:ascii="宋体" w:hAnsi="宋体" w:cs="宋体"/>
          <w:sz w:val="24"/>
          <w:szCs w:val="24"/>
        </w:rPr>
        <w:t>21.1无效投标条款</w:t>
      </w:r>
    </w:p>
    <w:p w14:paraId="10970F53">
      <w:pPr>
        <w:spacing w:line="440" w:lineRule="exact"/>
        <w:ind w:firstLine="480" w:firstLineChars="200"/>
        <w:rPr>
          <w:rFonts w:ascii="宋体" w:hAnsi="宋体" w:cs="宋体"/>
          <w:sz w:val="24"/>
          <w:szCs w:val="24"/>
        </w:rPr>
      </w:pPr>
      <w:r>
        <w:rPr>
          <w:rFonts w:hint="eastAsia" w:ascii="宋体" w:hAnsi="宋体" w:cs="宋体"/>
          <w:sz w:val="24"/>
          <w:szCs w:val="24"/>
        </w:rPr>
        <w:t>21.1.1未按照招标文件的规定提交投标保证金的；</w:t>
      </w:r>
    </w:p>
    <w:p w14:paraId="1E57495A">
      <w:pPr>
        <w:spacing w:line="440" w:lineRule="exact"/>
        <w:ind w:firstLine="480" w:firstLineChars="200"/>
        <w:rPr>
          <w:rFonts w:ascii="宋体" w:hAnsi="宋体" w:cs="宋体"/>
          <w:sz w:val="24"/>
          <w:szCs w:val="24"/>
        </w:rPr>
      </w:pPr>
      <w:r>
        <w:rPr>
          <w:rFonts w:hint="eastAsia" w:ascii="宋体" w:hAnsi="宋体" w:cs="宋体"/>
          <w:sz w:val="24"/>
          <w:szCs w:val="24"/>
        </w:rPr>
        <w:t>21.1.2投标文件未按招标文件要求签署、盖章的；</w:t>
      </w:r>
    </w:p>
    <w:p w14:paraId="1C35A870">
      <w:pPr>
        <w:spacing w:line="440" w:lineRule="exact"/>
        <w:ind w:firstLine="480" w:firstLineChars="200"/>
        <w:rPr>
          <w:rFonts w:ascii="宋体" w:hAnsi="宋体" w:cs="宋体"/>
          <w:sz w:val="24"/>
          <w:szCs w:val="24"/>
        </w:rPr>
      </w:pPr>
      <w:r>
        <w:rPr>
          <w:rFonts w:hint="eastAsia" w:ascii="宋体" w:hAnsi="宋体" w:cs="宋体"/>
          <w:sz w:val="24"/>
          <w:szCs w:val="24"/>
        </w:rPr>
        <w:t>21.1.3投标人在报价时采用选择性报价；</w:t>
      </w:r>
    </w:p>
    <w:p w14:paraId="4BBC573A">
      <w:pPr>
        <w:spacing w:line="440" w:lineRule="exact"/>
        <w:ind w:firstLine="480" w:firstLineChars="200"/>
        <w:rPr>
          <w:rFonts w:ascii="宋体" w:hAnsi="宋体" w:cs="宋体"/>
          <w:sz w:val="24"/>
          <w:szCs w:val="24"/>
        </w:rPr>
      </w:pPr>
      <w:r>
        <w:rPr>
          <w:rFonts w:hint="eastAsia" w:ascii="宋体" w:hAnsi="宋体" w:cs="宋体"/>
          <w:sz w:val="24"/>
          <w:szCs w:val="24"/>
        </w:rPr>
        <w:t>21.1.4不具备招标文件中规定的资格要求的；</w:t>
      </w:r>
    </w:p>
    <w:p w14:paraId="0A8DF481">
      <w:pPr>
        <w:spacing w:line="440" w:lineRule="exact"/>
        <w:ind w:firstLine="480" w:firstLineChars="200"/>
        <w:rPr>
          <w:rFonts w:ascii="宋体" w:hAnsi="宋体" w:cs="宋体"/>
          <w:sz w:val="24"/>
          <w:szCs w:val="24"/>
        </w:rPr>
      </w:pPr>
      <w:r>
        <w:rPr>
          <w:rFonts w:hint="eastAsia" w:ascii="宋体" w:hAnsi="宋体" w:cs="宋体"/>
          <w:sz w:val="24"/>
          <w:szCs w:val="24"/>
        </w:rPr>
        <w:t>21.1.5报价超过招标文件中规定的预算金额或者最高限价的；</w:t>
      </w:r>
    </w:p>
    <w:p w14:paraId="3D7B99D3">
      <w:pPr>
        <w:spacing w:line="440" w:lineRule="exact"/>
        <w:ind w:firstLine="480" w:firstLineChars="200"/>
        <w:rPr>
          <w:rFonts w:ascii="宋体" w:hAnsi="宋体" w:cs="宋体"/>
          <w:sz w:val="24"/>
          <w:szCs w:val="24"/>
        </w:rPr>
      </w:pPr>
      <w:r>
        <w:rPr>
          <w:rFonts w:hint="eastAsia" w:ascii="宋体" w:hAnsi="宋体" w:cs="宋体"/>
          <w:sz w:val="24"/>
          <w:szCs w:val="24"/>
        </w:rPr>
        <w:t>21.1.6投标文件含有采购人不能接受的附加条件的;</w:t>
      </w:r>
    </w:p>
    <w:p w14:paraId="540CBF05">
      <w:pPr>
        <w:spacing w:line="440" w:lineRule="exact"/>
        <w:ind w:firstLine="480" w:firstLineChars="200"/>
        <w:rPr>
          <w:rFonts w:ascii="宋体" w:hAnsi="宋体" w:cs="宋体"/>
          <w:sz w:val="24"/>
          <w:szCs w:val="24"/>
        </w:rPr>
      </w:pPr>
      <w:r>
        <w:rPr>
          <w:rFonts w:hint="eastAsia" w:ascii="宋体" w:hAnsi="宋体" w:cs="宋体"/>
          <w:sz w:val="24"/>
          <w:szCs w:val="24"/>
        </w:rPr>
        <w:t>21.1.7法律、法规和招标文件规定的其他无效情形；</w:t>
      </w:r>
    </w:p>
    <w:p w14:paraId="792A1837">
      <w:pPr>
        <w:spacing w:line="440" w:lineRule="exact"/>
        <w:ind w:firstLine="480" w:firstLineChars="200"/>
        <w:rPr>
          <w:rFonts w:ascii="宋体" w:hAnsi="宋体" w:cs="宋体"/>
          <w:sz w:val="24"/>
          <w:szCs w:val="24"/>
        </w:rPr>
      </w:pPr>
      <w:r>
        <w:rPr>
          <w:rFonts w:hint="eastAsia" w:ascii="宋体" w:hAnsi="宋体" w:cs="宋体"/>
          <w:sz w:val="24"/>
          <w:szCs w:val="24"/>
        </w:rPr>
        <w:t>21.1.8未通过符合性检查的；</w:t>
      </w:r>
    </w:p>
    <w:p w14:paraId="0A61E5F1">
      <w:pPr>
        <w:spacing w:line="440" w:lineRule="exact"/>
        <w:ind w:firstLine="480" w:firstLineChars="200"/>
        <w:rPr>
          <w:rFonts w:ascii="宋体" w:hAnsi="宋体" w:cs="宋体"/>
          <w:sz w:val="24"/>
          <w:szCs w:val="24"/>
        </w:rPr>
      </w:pPr>
      <w:r>
        <w:rPr>
          <w:rFonts w:hint="eastAsia" w:ascii="宋体" w:hAnsi="宋体" w:cs="宋体"/>
          <w:sz w:val="24"/>
          <w:szCs w:val="24"/>
        </w:rPr>
        <w:t>21.1.9不符合招标文件中规定的其他实质性要求和条件的；</w:t>
      </w:r>
    </w:p>
    <w:p w14:paraId="26A6B13C">
      <w:pPr>
        <w:spacing w:line="440" w:lineRule="exact"/>
        <w:ind w:firstLine="480" w:firstLineChars="200"/>
        <w:rPr>
          <w:rFonts w:ascii="宋体" w:hAnsi="宋体" w:cs="宋体"/>
          <w:sz w:val="24"/>
          <w:szCs w:val="24"/>
        </w:rPr>
      </w:pPr>
      <w:r>
        <w:rPr>
          <w:rFonts w:hint="eastAsia" w:ascii="宋体" w:hAnsi="宋体" w:cs="宋体"/>
          <w:sz w:val="24"/>
          <w:szCs w:val="24"/>
        </w:rPr>
        <w:t>21.1.10其他法律、法规及本招标文件规定的属无效投标的情形。</w:t>
      </w:r>
    </w:p>
    <w:p w14:paraId="2D4E6CF0">
      <w:pPr>
        <w:spacing w:line="440" w:lineRule="exact"/>
        <w:ind w:firstLine="480" w:firstLineChars="200"/>
        <w:rPr>
          <w:rFonts w:ascii="宋体" w:hAnsi="宋体" w:cs="宋体"/>
          <w:sz w:val="24"/>
          <w:szCs w:val="24"/>
        </w:rPr>
      </w:pPr>
      <w:r>
        <w:rPr>
          <w:rFonts w:hint="eastAsia" w:ascii="宋体" w:hAnsi="宋体" w:cs="宋体"/>
          <w:sz w:val="24"/>
          <w:szCs w:val="24"/>
        </w:rPr>
        <w:t>21.1.11资格审查文件或商务技术标文件出现报价的。</w:t>
      </w:r>
    </w:p>
    <w:p w14:paraId="29C10642">
      <w:pPr>
        <w:spacing w:line="440" w:lineRule="exact"/>
        <w:ind w:firstLine="480" w:firstLineChars="200"/>
        <w:rPr>
          <w:rFonts w:ascii="宋体" w:hAnsi="宋体" w:cs="宋体"/>
          <w:sz w:val="24"/>
          <w:szCs w:val="24"/>
        </w:rPr>
      </w:pPr>
      <w:r>
        <w:rPr>
          <w:rFonts w:hint="eastAsia" w:ascii="宋体" w:hAnsi="宋体" w:cs="宋体"/>
          <w:sz w:val="24"/>
          <w:szCs w:val="24"/>
        </w:rPr>
        <w:t>21.1.12未按招标文件要求提供电子投标文件，或者投标文件未能解密且按照招标文件明确的投标文件解密失败的补救方案补救不成功的；</w:t>
      </w:r>
    </w:p>
    <w:p w14:paraId="2F553644">
      <w:pPr>
        <w:spacing w:line="440" w:lineRule="exact"/>
        <w:ind w:firstLine="480" w:firstLineChars="200"/>
        <w:rPr>
          <w:rFonts w:ascii="宋体" w:hAnsi="宋体" w:cs="宋体"/>
          <w:sz w:val="24"/>
          <w:szCs w:val="24"/>
        </w:rPr>
      </w:pPr>
      <w:r>
        <w:rPr>
          <w:rFonts w:hint="eastAsia" w:ascii="宋体" w:hAnsi="宋体" w:cs="宋体"/>
          <w:sz w:val="24"/>
          <w:szCs w:val="24"/>
        </w:rPr>
        <w:t xml:space="preserve">21.2废标条款：                                                                                                                                                                                                                                                                                                                                                                                                                                                                                                                                                                                                                                                                                                                                                                                                                                                                                                                                                                                                                                                                                                                                                                                                                                                                                                                                                                                                                                                                         </w:t>
      </w:r>
    </w:p>
    <w:p w14:paraId="4D8DF10B">
      <w:pPr>
        <w:spacing w:line="440" w:lineRule="exact"/>
        <w:ind w:firstLine="480" w:firstLineChars="200"/>
        <w:rPr>
          <w:rFonts w:ascii="宋体" w:hAnsi="宋体" w:cs="宋体"/>
          <w:sz w:val="24"/>
          <w:szCs w:val="24"/>
        </w:rPr>
      </w:pPr>
      <w:r>
        <w:rPr>
          <w:rFonts w:hint="eastAsia" w:ascii="宋体" w:hAnsi="宋体" w:cs="宋体"/>
          <w:sz w:val="24"/>
          <w:szCs w:val="24"/>
        </w:rPr>
        <w:t>21.2.1符合专业条件的供应商或者对招标文件作实质响应的供应商不足三家的；</w:t>
      </w:r>
    </w:p>
    <w:p w14:paraId="2C213D56">
      <w:pPr>
        <w:spacing w:line="440" w:lineRule="exact"/>
        <w:ind w:firstLine="480" w:firstLineChars="200"/>
        <w:rPr>
          <w:rFonts w:ascii="宋体" w:hAnsi="宋体" w:cs="宋体"/>
          <w:sz w:val="24"/>
          <w:szCs w:val="24"/>
        </w:rPr>
      </w:pPr>
      <w:r>
        <w:rPr>
          <w:rFonts w:hint="eastAsia" w:ascii="宋体" w:hAnsi="宋体" w:cs="宋体"/>
          <w:sz w:val="24"/>
          <w:szCs w:val="24"/>
        </w:rPr>
        <w:t>21.2.2出现影响采购公正的违法、违规行为的；</w:t>
      </w:r>
    </w:p>
    <w:p w14:paraId="7C9B9688">
      <w:pPr>
        <w:spacing w:line="440" w:lineRule="exact"/>
        <w:ind w:firstLine="480" w:firstLineChars="200"/>
        <w:rPr>
          <w:rFonts w:ascii="宋体" w:hAnsi="宋体" w:cs="宋体"/>
          <w:sz w:val="24"/>
          <w:szCs w:val="24"/>
        </w:rPr>
      </w:pPr>
      <w:r>
        <w:rPr>
          <w:rFonts w:hint="eastAsia" w:ascii="宋体" w:hAnsi="宋体" w:cs="宋体"/>
          <w:sz w:val="24"/>
          <w:szCs w:val="24"/>
        </w:rPr>
        <w:t>21.2.3投标人的报价均超过预算，采购人不能支付的；</w:t>
      </w:r>
    </w:p>
    <w:p w14:paraId="60F94292">
      <w:pPr>
        <w:spacing w:line="440" w:lineRule="exact"/>
        <w:ind w:firstLine="480" w:firstLineChars="200"/>
        <w:rPr>
          <w:rFonts w:ascii="宋体" w:hAnsi="宋体" w:cs="宋体"/>
          <w:sz w:val="24"/>
          <w:szCs w:val="24"/>
        </w:rPr>
      </w:pPr>
      <w:r>
        <w:rPr>
          <w:rFonts w:hint="eastAsia" w:ascii="宋体" w:hAnsi="宋体" w:cs="宋体"/>
          <w:sz w:val="24"/>
          <w:szCs w:val="24"/>
        </w:rPr>
        <w:t>21.2.4因重大变故，采购任务取消的；</w:t>
      </w:r>
    </w:p>
    <w:p w14:paraId="4642A903">
      <w:pPr>
        <w:spacing w:line="440" w:lineRule="exact"/>
        <w:ind w:firstLine="480" w:firstLineChars="200"/>
        <w:rPr>
          <w:rFonts w:ascii="宋体" w:hAnsi="宋体"/>
          <w:b/>
          <w:sz w:val="24"/>
        </w:rPr>
      </w:pPr>
      <w:r>
        <w:rPr>
          <w:rFonts w:hint="eastAsia" w:ascii="宋体" w:hAnsi="宋体" w:cs="宋体"/>
          <w:sz w:val="24"/>
          <w:szCs w:val="24"/>
        </w:rPr>
        <w:t>21.2.5评标委员会认定招标文件存在歧义、 重大缺陷导致评审工作无法进行。</w:t>
      </w:r>
    </w:p>
    <w:p w14:paraId="6CFE80FA">
      <w:pPr>
        <w:adjustRightInd w:val="0"/>
        <w:snapToGrid w:val="0"/>
        <w:spacing w:line="420" w:lineRule="exact"/>
        <w:ind w:firstLine="482" w:firstLineChars="200"/>
        <w:rPr>
          <w:b/>
          <w:sz w:val="24"/>
        </w:rPr>
      </w:pPr>
      <w:bookmarkStart w:id="98" w:name="_Toc120614219"/>
      <w:r>
        <w:rPr>
          <w:rFonts w:hint="eastAsia"/>
          <w:b/>
          <w:sz w:val="24"/>
        </w:rPr>
        <w:t>五、</w:t>
      </w:r>
      <w:bookmarkEnd w:id="95"/>
      <w:bookmarkEnd w:id="96"/>
      <w:bookmarkEnd w:id="97"/>
      <w:r>
        <w:rPr>
          <w:rFonts w:hint="eastAsia"/>
          <w:b/>
          <w:sz w:val="24"/>
        </w:rPr>
        <w:t>定标</w:t>
      </w:r>
      <w:bookmarkEnd w:id="98"/>
    </w:p>
    <w:p w14:paraId="1BEC335C">
      <w:pPr>
        <w:spacing w:line="440" w:lineRule="exact"/>
        <w:ind w:firstLine="480" w:firstLineChars="200"/>
        <w:rPr>
          <w:rFonts w:ascii="宋体" w:hAnsi="宋体" w:cs="宋体"/>
          <w:sz w:val="24"/>
          <w:szCs w:val="24"/>
        </w:rPr>
      </w:pPr>
      <w:bookmarkStart w:id="99" w:name="_Toc513029238"/>
      <w:bookmarkStart w:id="100" w:name="_Toc16938554"/>
      <w:bookmarkStart w:id="101" w:name="_Toc20823310"/>
      <w:r>
        <w:rPr>
          <w:rFonts w:hint="eastAsia" w:ascii="宋体" w:hAnsi="宋体" w:cs="宋体"/>
          <w:sz w:val="24"/>
          <w:szCs w:val="24"/>
        </w:rPr>
        <w:t>22、</w:t>
      </w:r>
      <w:bookmarkEnd w:id="99"/>
      <w:r>
        <w:rPr>
          <w:rFonts w:hint="eastAsia" w:ascii="宋体" w:hAnsi="宋体" w:cs="宋体"/>
          <w:sz w:val="24"/>
          <w:szCs w:val="24"/>
        </w:rPr>
        <w:t>确定</w:t>
      </w:r>
      <w:bookmarkEnd w:id="100"/>
      <w:bookmarkEnd w:id="101"/>
      <w:r>
        <w:rPr>
          <w:rFonts w:hint="eastAsia" w:ascii="宋体" w:hAnsi="宋体" w:cs="宋体"/>
          <w:sz w:val="24"/>
          <w:szCs w:val="24"/>
        </w:rPr>
        <w:t>中标单位</w:t>
      </w:r>
    </w:p>
    <w:p w14:paraId="617CEED7">
      <w:pPr>
        <w:spacing w:line="440" w:lineRule="exact"/>
        <w:ind w:firstLine="480" w:firstLineChars="200"/>
        <w:rPr>
          <w:rFonts w:ascii="宋体" w:hAnsi="宋体" w:cs="宋体"/>
          <w:sz w:val="24"/>
          <w:szCs w:val="24"/>
        </w:rPr>
      </w:pPr>
      <w:r>
        <w:rPr>
          <w:rFonts w:hint="eastAsia" w:ascii="宋体" w:hAnsi="宋体" w:cs="宋体"/>
          <w:sz w:val="24"/>
          <w:szCs w:val="24"/>
        </w:rPr>
        <w:t>22.1评委会根据本招标文件规定评分办法与评分标准评出中标人。</w:t>
      </w:r>
    </w:p>
    <w:p w14:paraId="701FF101">
      <w:pPr>
        <w:spacing w:line="440" w:lineRule="exact"/>
        <w:ind w:firstLine="480" w:firstLineChars="200"/>
        <w:rPr>
          <w:rFonts w:ascii="宋体" w:hAnsi="宋体" w:cs="宋体"/>
          <w:sz w:val="24"/>
          <w:szCs w:val="24"/>
        </w:rPr>
      </w:pPr>
      <w:r>
        <w:rPr>
          <w:rFonts w:hint="eastAsia" w:ascii="宋体" w:hAnsi="宋体" w:cs="宋体"/>
          <w:sz w:val="24"/>
          <w:szCs w:val="24"/>
        </w:rPr>
        <w:t>22.2采购人将在“南通市通州区人民政府官网”发布中标公告，公告期限为1个工作日。</w:t>
      </w:r>
    </w:p>
    <w:p w14:paraId="0F0A78D5">
      <w:pPr>
        <w:spacing w:line="440" w:lineRule="exact"/>
        <w:ind w:firstLine="480" w:firstLineChars="200"/>
        <w:rPr>
          <w:rFonts w:ascii="宋体" w:hAnsi="宋体" w:cs="宋体"/>
          <w:sz w:val="24"/>
          <w:szCs w:val="24"/>
        </w:rPr>
      </w:pPr>
      <w:r>
        <w:rPr>
          <w:rFonts w:hint="eastAsia" w:ascii="宋体" w:hAnsi="宋体" w:cs="宋体"/>
          <w:sz w:val="24"/>
          <w:szCs w:val="24"/>
        </w:rPr>
        <w:t>22.3若有充分证据证明，中标人出现下列情况之一的，一经查实，将被取消中标资格：</w:t>
      </w:r>
    </w:p>
    <w:p w14:paraId="6E300362">
      <w:pPr>
        <w:spacing w:line="440" w:lineRule="exact"/>
        <w:ind w:firstLine="480" w:firstLineChars="200"/>
        <w:rPr>
          <w:rFonts w:ascii="宋体" w:hAnsi="宋体" w:cs="宋体"/>
          <w:sz w:val="24"/>
          <w:szCs w:val="24"/>
        </w:rPr>
      </w:pPr>
      <w:r>
        <w:rPr>
          <w:rFonts w:hint="eastAsia" w:ascii="宋体" w:hAnsi="宋体" w:cs="宋体"/>
          <w:sz w:val="24"/>
          <w:szCs w:val="24"/>
        </w:rPr>
        <w:t>22.3.1提供虚假材料谋取中标的；</w:t>
      </w:r>
    </w:p>
    <w:p w14:paraId="53C67C39">
      <w:pPr>
        <w:spacing w:line="440" w:lineRule="exact"/>
        <w:ind w:firstLine="480" w:firstLineChars="200"/>
        <w:rPr>
          <w:rFonts w:ascii="宋体" w:hAnsi="宋体" w:cs="宋体"/>
          <w:sz w:val="24"/>
          <w:szCs w:val="24"/>
        </w:rPr>
      </w:pPr>
      <w:r>
        <w:rPr>
          <w:rFonts w:hint="eastAsia" w:ascii="宋体" w:hAnsi="宋体" w:cs="宋体"/>
          <w:sz w:val="24"/>
          <w:szCs w:val="24"/>
        </w:rPr>
        <w:t>22.3.2向采购人行贿或者提供其他不正当利益的；</w:t>
      </w:r>
    </w:p>
    <w:p w14:paraId="1315293B">
      <w:pPr>
        <w:spacing w:line="440" w:lineRule="exact"/>
        <w:ind w:firstLine="480" w:firstLineChars="200"/>
        <w:rPr>
          <w:rFonts w:ascii="宋体" w:hAnsi="宋体" w:cs="宋体"/>
          <w:sz w:val="24"/>
          <w:szCs w:val="24"/>
        </w:rPr>
      </w:pPr>
      <w:r>
        <w:rPr>
          <w:rFonts w:hint="eastAsia" w:ascii="宋体" w:hAnsi="宋体" w:cs="宋体"/>
          <w:sz w:val="24"/>
          <w:szCs w:val="24"/>
        </w:rPr>
        <w:t>22.3.3恶意竞争，投标总报价明显低于其自身合理成本且又无法提供证明的；</w:t>
      </w:r>
    </w:p>
    <w:p w14:paraId="4FA4257A">
      <w:pPr>
        <w:spacing w:line="440" w:lineRule="exact"/>
        <w:ind w:firstLine="480" w:firstLineChars="200"/>
        <w:rPr>
          <w:rFonts w:ascii="宋体" w:hAnsi="宋体" w:cs="宋体"/>
          <w:sz w:val="24"/>
          <w:szCs w:val="24"/>
        </w:rPr>
      </w:pPr>
      <w:r>
        <w:rPr>
          <w:rFonts w:hint="eastAsia" w:ascii="宋体" w:hAnsi="宋体" w:cs="宋体"/>
          <w:sz w:val="24"/>
          <w:szCs w:val="24"/>
        </w:rPr>
        <w:t>22.3.4属于本文件规定的无效条件，但在评标过程中又未被评委会发现的；</w:t>
      </w:r>
    </w:p>
    <w:p w14:paraId="085961A6">
      <w:pPr>
        <w:spacing w:line="440" w:lineRule="exact"/>
        <w:ind w:firstLine="480" w:firstLineChars="200"/>
        <w:rPr>
          <w:rFonts w:ascii="宋体" w:hAnsi="宋体" w:cs="宋体"/>
          <w:sz w:val="24"/>
          <w:szCs w:val="24"/>
        </w:rPr>
      </w:pPr>
      <w:r>
        <w:rPr>
          <w:rFonts w:hint="eastAsia" w:ascii="宋体" w:hAnsi="宋体" w:cs="宋体"/>
          <w:sz w:val="24"/>
          <w:szCs w:val="24"/>
        </w:rPr>
        <w:t>22.3.5与采购人或者其他供应商恶意串通的；</w:t>
      </w:r>
    </w:p>
    <w:p w14:paraId="414334AA">
      <w:pPr>
        <w:spacing w:line="440" w:lineRule="exact"/>
        <w:ind w:firstLine="480" w:firstLineChars="200"/>
        <w:rPr>
          <w:rFonts w:ascii="宋体" w:hAnsi="宋体" w:cs="宋体"/>
          <w:sz w:val="24"/>
          <w:szCs w:val="24"/>
        </w:rPr>
      </w:pPr>
      <w:r>
        <w:rPr>
          <w:rFonts w:hint="eastAsia" w:ascii="宋体" w:hAnsi="宋体" w:cs="宋体"/>
          <w:sz w:val="24"/>
          <w:szCs w:val="24"/>
        </w:rPr>
        <w:t>22.3.6采取不正当手段诋毁、排挤其他供应商的；</w:t>
      </w:r>
    </w:p>
    <w:p w14:paraId="6BDAAD85">
      <w:pPr>
        <w:spacing w:line="440" w:lineRule="exact"/>
        <w:ind w:firstLine="480" w:firstLineChars="200"/>
        <w:rPr>
          <w:rFonts w:ascii="宋体" w:hAnsi="宋体" w:cs="宋体"/>
          <w:sz w:val="24"/>
          <w:szCs w:val="24"/>
        </w:rPr>
      </w:pPr>
      <w:r>
        <w:rPr>
          <w:rFonts w:hint="eastAsia" w:ascii="宋体" w:hAnsi="宋体" w:cs="宋体"/>
          <w:sz w:val="24"/>
          <w:szCs w:val="24"/>
        </w:rPr>
        <w:t>22.3.7不符合法律、法规的规定的。</w:t>
      </w:r>
      <w:bookmarkStart w:id="102" w:name="_Toc200451960"/>
    </w:p>
    <w:p w14:paraId="67F15BA1">
      <w:pPr>
        <w:spacing w:line="440" w:lineRule="exact"/>
        <w:ind w:firstLine="480" w:firstLineChars="200"/>
        <w:rPr>
          <w:rFonts w:ascii="宋体" w:hAnsi="宋体" w:cs="宋体"/>
          <w:sz w:val="24"/>
          <w:szCs w:val="24"/>
        </w:rPr>
      </w:pPr>
      <w:r>
        <w:rPr>
          <w:rFonts w:hint="eastAsia" w:ascii="宋体" w:hAnsi="宋体" w:cs="宋体"/>
          <w:sz w:val="24"/>
          <w:szCs w:val="24"/>
        </w:rPr>
        <w:t>22.4.有下列情形之一的，视为投标人串通投标，其投标无效：</w:t>
      </w:r>
    </w:p>
    <w:p w14:paraId="3C221A24">
      <w:pPr>
        <w:spacing w:line="440" w:lineRule="exact"/>
        <w:ind w:firstLine="480" w:firstLineChars="200"/>
        <w:rPr>
          <w:rFonts w:ascii="宋体" w:hAnsi="宋体" w:cs="宋体"/>
          <w:sz w:val="24"/>
          <w:szCs w:val="24"/>
        </w:rPr>
      </w:pPr>
      <w:r>
        <w:rPr>
          <w:rFonts w:hint="eastAsia" w:ascii="宋体" w:hAnsi="宋体" w:cs="宋体"/>
          <w:sz w:val="24"/>
          <w:szCs w:val="24"/>
        </w:rPr>
        <w:t>22.4.1不同投标人的投标文件由同一单位或者个人编制；</w:t>
      </w:r>
    </w:p>
    <w:p w14:paraId="0DD64AFA">
      <w:pPr>
        <w:spacing w:line="440" w:lineRule="exact"/>
        <w:ind w:firstLine="480" w:firstLineChars="200"/>
        <w:rPr>
          <w:rFonts w:ascii="宋体" w:hAnsi="宋体" w:cs="宋体"/>
          <w:sz w:val="24"/>
          <w:szCs w:val="24"/>
        </w:rPr>
      </w:pPr>
      <w:r>
        <w:rPr>
          <w:rFonts w:hint="eastAsia" w:ascii="宋体" w:hAnsi="宋体" w:cs="宋体"/>
          <w:sz w:val="24"/>
          <w:szCs w:val="24"/>
        </w:rPr>
        <w:t>22.4.2不同投标人委托同一单位或者个人办理投标事宜；</w:t>
      </w:r>
    </w:p>
    <w:p w14:paraId="617708AD">
      <w:pPr>
        <w:spacing w:line="440" w:lineRule="exact"/>
        <w:ind w:firstLine="480" w:firstLineChars="200"/>
        <w:rPr>
          <w:rFonts w:ascii="宋体" w:hAnsi="宋体" w:cs="宋体"/>
          <w:sz w:val="24"/>
          <w:szCs w:val="24"/>
        </w:rPr>
      </w:pPr>
      <w:r>
        <w:rPr>
          <w:rFonts w:hint="eastAsia" w:ascii="宋体" w:hAnsi="宋体" w:cs="宋体"/>
          <w:sz w:val="24"/>
          <w:szCs w:val="24"/>
        </w:rPr>
        <w:t>22.4.3不同投标人的投标文件载明的项目管理成员或者联系人员为同一人；</w:t>
      </w:r>
    </w:p>
    <w:p w14:paraId="09C10424">
      <w:pPr>
        <w:spacing w:line="440" w:lineRule="exact"/>
        <w:ind w:firstLine="480" w:firstLineChars="200"/>
        <w:rPr>
          <w:rFonts w:ascii="宋体" w:hAnsi="宋体" w:cs="宋体"/>
          <w:sz w:val="24"/>
          <w:szCs w:val="24"/>
        </w:rPr>
      </w:pPr>
      <w:r>
        <w:rPr>
          <w:rFonts w:hint="eastAsia" w:ascii="宋体" w:hAnsi="宋体" w:cs="宋体"/>
          <w:sz w:val="24"/>
          <w:szCs w:val="24"/>
        </w:rPr>
        <w:t>22.4.4不同投标人的投标文件异常一致或者投标报价呈规律性差异；</w:t>
      </w:r>
    </w:p>
    <w:p w14:paraId="1E859A50">
      <w:pPr>
        <w:spacing w:line="440" w:lineRule="exact"/>
        <w:ind w:firstLine="480" w:firstLineChars="200"/>
        <w:rPr>
          <w:rFonts w:ascii="宋体" w:hAnsi="宋体" w:cs="宋体"/>
          <w:sz w:val="24"/>
          <w:szCs w:val="24"/>
        </w:rPr>
      </w:pPr>
      <w:r>
        <w:rPr>
          <w:rFonts w:hint="eastAsia" w:ascii="宋体" w:hAnsi="宋体" w:cs="宋体"/>
          <w:sz w:val="24"/>
          <w:szCs w:val="24"/>
        </w:rPr>
        <w:t>22.4.5不同投标人的投标文件相互混装；</w:t>
      </w:r>
    </w:p>
    <w:p w14:paraId="5F4CD0E6">
      <w:pPr>
        <w:spacing w:line="440" w:lineRule="exact"/>
        <w:ind w:firstLine="480" w:firstLineChars="200"/>
        <w:rPr>
          <w:rFonts w:ascii="宋体" w:hAnsi="宋体" w:cs="宋体"/>
          <w:sz w:val="24"/>
          <w:szCs w:val="24"/>
        </w:rPr>
      </w:pPr>
      <w:r>
        <w:rPr>
          <w:rFonts w:hint="eastAsia" w:ascii="宋体" w:hAnsi="宋体" w:cs="宋体"/>
          <w:sz w:val="24"/>
          <w:szCs w:val="24"/>
        </w:rPr>
        <w:t>22.4.6不同投标人的投标保证金从同一单位或者个人的账户转出。</w:t>
      </w:r>
    </w:p>
    <w:p w14:paraId="45B0F7F1">
      <w:pPr>
        <w:spacing w:line="440" w:lineRule="exact"/>
        <w:ind w:firstLine="480" w:firstLineChars="200"/>
        <w:rPr>
          <w:rFonts w:ascii="宋体" w:hAnsi="宋体" w:cs="宋体"/>
          <w:sz w:val="24"/>
          <w:szCs w:val="24"/>
        </w:rPr>
      </w:pPr>
      <w:r>
        <w:rPr>
          <w:rFonts w:hint="eastAsia" w:ascii="宋体" w:hAnsi="宋体" w:cs="宋体"/>
          <w:sz w:val="24"/>
          <w:szCs w:val="24"/>
        </w:rPr>
        <w:t>23、质疑处理</w:t>
      </w:r>
      <w:bookmarkEnd w:id="102"/>
    </w:p>
    <w:p w14:paraId="5AE78DB2">
      <w:pPr>
        <w:spacing w:line="440" w:lineRule="exact"/>
        <w:ind w:firstLine="480" w:firstLineChars="200"/>
        <w:rPr>
          <w:rFonts w:ascii="宋体" w:hAnsi="宋体" w:cs="宋体"/>
          <w:sz w:val="24"/>
          <w:szCs w:val="24"/>
        </w:rPr>
      </w:pPr>
      <w:r>
        <w:rPr>
          <w:rFonts w:hint="eastAsia" w:ascii="宋体" w:hAnsi="宋体" w:cs="宋体"/>
          <w:sz w:val="24"/>
          <w:szCs w:val="24"/>
        </w:rPr>
        <w:t>23.1供应商对采购活动事项有疑问的，应当按照7.1条规定的时间前向采购人提出询问，采购人将按照7.1条规定的时间前对供应商依法提出的询问作出答复。</w:t>
      </w:r>
    </w:p>
    <w:p w14:paraId="68AC4FCE">
      <w:pPr>
        <w:spacing w:line="440" w:lineRule="exact"/>
        <w:ind w:firstLine="480" w:firstLineChars="200"/>
        <w:rPr>
          <w:rFonts w:ascii="宋体" w:hAnsi="宋体" w:cs="宋体"/>
          <w:sz w:val="24"/>
          <w:szCs w:val="24"/>
        </w:rPr>
      </w:pPr>
      <w:r>
        <w:rPr>
          <w:rFonts w:hint="eastAsia" w:ascii="宋体" w:hAnsi="宋体" w:cs="宋体"/>
          <w:sz w:val="24"/>
          <w:szCs w:val="24"/>
        </w:rPr>
        <w:t>23.2投标人认为采购文件使自己的权益受到损害的，可以按照7.2条规定的时间前前，以书面形式向采购人提出质疑。采购人将在收到投标人的书面质疑后7个工作日内对投标人依法提出的质疑作出答复，并将通知质疑投标人和其他有关投标人，但答复内容涉及商业秘密的除外。</w:t>
      </w:r>
    </w:p>
    <w:p w14:paraId="021F67B9">
      <w:pPr>
        <w:spacing w:line="440" w:lineRule="exact"/>
        <w:ind w:firstLine="480" w:firstLineChars="200"/>
        <w:rPr>
          <w:rFonts w:ascii="宋体" w:hAnsi="宋体" w:cs="宋体"/>
          <w:sz w:val="24"/>
          <w:szCs w:val="24"/>
        </w:rPr>
      </w:pPr>
      <w:r>
        <w:rPr>
          <w:rFonts w:hint="eastAsia" w:ascii="宋体" w:hAnsi="宋体" w:cs="宋体"/>
          <w:sz w:val="24"/>
          <w:szCs w:val="24"/>
        </w:rPr>
        <w:t>23.3采购人委托招标代理机构采购的，投标人可以向招标代理机构提出质疑，招标代理机构依照《中华人民共和国政府采购法》有关规定就采购人委托授权范围内的事项作出答复。</w:t>
      </w:r>
    </w:p>
    <w:p w14:paraId="4DC99E7D">
      <w:pPr>
        <w:spacing w:line="440" w:lineRule="exact"/>
        <w:ind w:firstLine="480" w:firstLineChars="200"/>
        <w:rPr>
          <w:rFonts w:ascii="宋体" w:hAnsi="宋体" w:cs="宋体"/>
          <w:sz w:val="24"/>
          <w:szCs w:val="24"/>
        </w:rPr>
      </w:pPr>
      <w:r>
        <w:rPr>
          <w:rFonts w:hint="eastAsia" w:ascii="宋体" w:hAnsi="宋体" w:cs="宋体"/>
          <w:sz w:val="24"/>
          <w:szCs w:val="24"/>
        </w:rPr>
        <w:t>23.4</w:t>
      </w:r>
      <w:r>
        <w:rPr>
          <w:rFonts w:ascii="宋体" w:hAnsi="宋体" w:cs="宋体"/>
          <w:sz w:val="24"/>
          <w:szCs w:val="24"/>
        </w:rPr>
        <w:t>对采购过程提出质疑的，为各采购程序环节结束之日；</w:t>
      </w:r>
    </w:p>
    <w:p w14:paraId="3A62E85E">
      <w:pPr>
        <w:spacing w:line="440" w:lineRule="exact"/>
        <w:ind w:firstLine="480" w:firstLineChars="200"/>
        <w:rPr>
          <w:rFonts w:ascii="宋体" w:hAnsi="宋体" w:cs="宋体"/>
          <w:sz w:val="24"/>
          <w:szCs w:val="24"/>
        </w:rPr>
      </w:pPr>
      <w:r>
        <w:rPr>
          <w:rFonts w:hint="eastAsia" w:ascii="宋体" w:hAnsi="宋体" w:cs="宋体"/>
          <w:sz w:val="24"/>
          <w:szCs w:val="24"/>
        </w:rPr>
        <w:t>23.5</w:t>
      </w:r>
      <w:r>
        <w:rPr>
          <w:rFonts w:ascii="宋体" w:hAnsi="宋体" w:cs="宋体"/>
          <w:sz w:val="24"/>
          <w:szCs w:val="24"/>
        </w:rPr>
        <w:t>对中标或者成交结果提出质疑的，为中标或者成交结果公告期限届满之日。</w:t>
      </w:r>
    </w:p>
    <w:p w14:paraId="39F5E74F">
      <w:pPr>
        <w:spacing w:line="440" w:lineRule="exact"/>
        <w:ind w:firstLine="480" w:firstLineChars="200"/>
        <w:rPr>
          <w:rFonts w:ascii="宋体" w:hAnsi="宋体" w:cs="宋体"/>
          <w:sz w:val="24"/>
          <w:szCs w:val="24"/>
        </w:rPr>
      </w:pPr>
      <w:r>
        <w:rPr>
          <w:rFonts w:hint="eastAsia" w:ascii="宋体" w:hAnsi="宋体" w:cs="宋体"/>
          <w:sz w:val="24"/>
          <w:szCs w:val="24"/>
        </w:rPr>
        <w:t>23.6质疑必须以参加投标供应商法定代表人或授权代表（投标文件中所确定的）原件送达的方式提交，未按上述要求提交的质疑函（含传真、电子邮件等）采购人有权不予受理。</w:t>
      </w:r>
    </w:p>
    <w:p w14:paraId="0D078045">
      <w:pPr>
        <w:spacing w:line="440" w:lineRule="exact"/>
        <w:ind w:firstLine="480" w:firstLineChars="200"/>
        <w:rPr>
          <w:rFonts w:ascii="宋体" w:hAnsi="宋体" w:cs="宋体"/>
          <w:sz w:val="24"/>
          <w:szCs w:val="24"/>
        </w:rPr>
      </w:pPr>
      <w:r>
        <w:rPr>
          <w:rFonts w:hint="eastAsia" w:ascii="宋体" w:hAnsi="宋体" w:cs="宋体"/>
          <w:sz w:val="24"/>
          <w:szCs w:val="24"/>
        </w:rPr>
        <w:t>23.7未参加投标活动的供应商或在投标活动中自身权益未受到损害的供应商所提出的质疑不予受理。</w:t>
      </w:r>
    </w:p>
    <w:p w14:paraId="2C794049">
      <w:pPr>
        <w:spacing w:line="440" w:lineRule="exact"/>
        <w:ind w:firstLine="480" w:firstLineChars="200"/>
        <w:rPr>
          <w:rFonts w:ascii="宋体" w:hAnsi="宋体" w:cs="宋体"/>
          <w:sz w:val="24"/>
          <w:szCs w:val="24"/>
        </w:rPr>
      </w:pPr>
      <w:r>
        <w:rPr>
          <w:rFonts w:hint="eastAsia" w:ascii="宋体" w:hAnsi="宋体" w:cs="宋体"/>
          <w:sz w:val="24"/>
          <w:szCs w:val="24"/>
        </w:rPr>
        <w:t>23.8质疑函应当包括下列内容：</w:t>
      </w:r>
    </w:p>
    <w:p w14:paraId="32B97D66">
      <w:pPr>
        <w:spacing w:line="440" w:lineRule="exact"/>
        <w:ind w:firstLine="480" w:firstLineChars="200"/>
        <w:rPr>
          <w:rFonts w:ascii="宋体" w:hAnsi="宋体" w:cs="宋体"/>
          <w:sz w:val="24"/>
          <w:szCs w:val="24"/>
        </w:rPr>
      </w:pPr>
      <w:r>
        <w:rPr>
          <w:rFonts w:hint="eastAsia" w:ascii="宋体" w:hAnsi="宋体" w:cs="宋体"/>
          <w:sz w:val="24"/>
          <w:szCs w:val="24"/>
        </w:rPr>
        <w:t>23.4.1质疑投标人的名称、地址、邮编、联系人、联系电话；</w:t>
      </w:r>
    </w:p>
    <w:p w14:paraId="1EC2030F">
      <w:pPr>
        <w:spacing w:line="440" w:lineRule="exact"/>
        <w:ind w:firstLine="480" w:firstLineChars="200"/>
        <w:rPr>
          <w:rFonts w:ascii="宋体" w:hAnsi="宋体" w:cs="宋体"/>
          <w:sz w:val="24"/>
          <w:szCs w:val="24"/>
        </w:rPr>
      </w:pPr>
      <w:r>
        <w:rPr>
          <w:rFonts w:hint="eastAsia" w:ascii="宋体" w:hAnsi="宋体" w:cs="宋体"/>
          <w:sz w:val="24"/>
          <w:szCs w:val="24"/>
        </w:rPr>
        <w:t>23.4.2具体的质疑事项及明确的请求；</w:t>
      </w:r>
    </w:p>
    <w:p w14:paraId="735E0CC1">
      <w:pPr>
        <w:spacing w:line="440" w:lineRule="exact"/>
        <w:ind w:firstLine="480" w:firstLineChars="200"/>
        <w:rPr>
          <w:rFonts w:ascii="宋体" w:hAnsi="宋体" w:cs="宋体"/>
          <w:sz w:val="24"/>
          <w:szCs w:val="24"/>
        </w:rPr>
      </w:pPr>
      <w:r>
        <w:rPr>
          <w:rFonts w:hint="eastAsia" w:ascii="宋体" w:hAnsi="宋体" w:cs="宋体"/>
          <w:sz w:val="24"/>
          <w:szCs w:val="24"/>
        </w:rPr>
        <w:t>23.4.3认为自己合法权益受到损害或可能受到损害的相关证据材料；</w:t>
      </w:r>
    </w:p>
    <w:p w14:paraId="4FD9D9AF">
      <w:pPr>
        <w:spacing w:line="440" w:lineRule="exact"/>
        <w:ind w:firstLine="480" w:firstLineChars="200"/>
        <w:rPr>
          <w:rFonts w:ascii="宋体" w:hAnsi="宋体" w:cs="宋体"/>
          <w:sz w:val="24"/>
          <w:szCs w:val="24"/>
        </w:rPr>
      </w:pPr>
      <w:r>
        <w:rPr>
          <w:rFonts w:hint="eastAsia" w:ascii="宋体" w:hAnsi="宋体" w:cs="宋体"/>
          <w:sz w:val="24"/>
          <w:szCs w:val="24"/>
        </w:rPr>
        <w:t>23.4.4提起质疑的日期；</w:t>
      </w:r>
    </w:p>
    <w:p w14:paraId="6DECDC76">
      <w:pPr>
        <w:spacing w:line="440" w:lineRule="exact"/>
        <w:ind w:firstLine="480" w:firstLineChars="200"/>
        <w:rPr>
          <w:rFonts w:ascii="宋体" w:hAnsi="宋体" w:cs="宋体"/>
          <w:sz w:val="24"/>
          <w:szCs w:val="24"/>
        </w:rPr>
      </w:pPr>
      <w:r>
        <w:rPr>
          <w:rFonts w:hint="eastAsia" w:ascii="宋体" w:hAnsi="宋体" w:cs="宋体"/>
          <w:sz w:val="24"/>
          <w:szCs w:val="24"/>
        </w:rPr>
        <w:t>23.4.5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2FFB36ED">
      <w:pPr>
        <w:spacing w:line="440" w:lineRule="exact"/>
        <w:ind w:firstLine="480" w:firstLineChars="200"/>
        <w:rPr>
          <w:rFonts w:ascii="宋体" w:hAnsi="宋体" w:cs="宋体"/>
          <w:sz w:val="24"/>
          <w:szCs w:val="24"/>
        </w:rPr>
      </w:pPr>
      <w:r>
        <w:rPr>
          <w:rFonts w:hint="eastAsia" w:ascii="宋体" w:hAnsi="宋体" w:cs="宋体"/>
          <w:sz w:val="24"/>
          <w:szCs w:val="24"/>
        </w:rPr>
        <w:t>23.9采购人收到质疑函后，将对质疑的形式和内容进行审查，如质疑函内容、格式不符合规定，采购人将告知质疑人进行补正。</w:t>
      </w:r>
    </w:p>
    <w:p w14:paraId="2367BAA1">
      <w:pPr>
        <w:spacing w:line="440" w:lineRule="exact"/>
        <w:ind w:firstLine="480" w:firstLineChars="200"/>
        <w:rPr>
          <w:rFonts w:ascii="宋体" w:hAnsi="宋体" w:cs="宋体"/>
          <w:sz w:val="24"/>
          <w:szCs w:val="24"/>
        </w:rPr>
      </w:pPr>
      <w:r>
        <w:rPr>
          <w:rFonts w:hint="eastAsia" w:ascii="宋体" w:hAnsi="宋体" w:cs="宋体"/>
          <w:sz w:val="24"/>
          <w:szCs w:val="24"/>
        </w:rPr>
        <w:t>23.10质疑人应当在法定质疑期限内进行补正并重新提交质疑函，拒不补正或者在法定期限内未重新提交质疑函的，为无效质疑，采购人有权不予受理。</w:t>
      </w:r>
    </w:p>
    <w:p w14:paraId="22B80452">
      <w:pPr>
        <w:spacing w:line="440" w:lineRule="exact"/>
        <w:ind w:firstLine="480" w:firstLineChars="200"/>
        <w:rPr>
          <w:rFonts w:ascii="宋体" w:hAnsi="宋体" w:cs="宋体"/>
          <w:sz w:val="24"/>
          <w:szCs w:val="24"/>
        </w:rPr>
      </w:pPr>
      <w:r>
        <w:rPr>
          <w:rFonts w:hint="eastAsia" w:ascii="宋体" w:hAnsi="宋体" w:cs="宋体"/>
          <w:sz w:val="24"/>
          <w:szCs w:val="24"/>
        </w:rPr>
        <w:t>23.11对于内容、格式符合规定的质疑函，采购人应当在收到投标供应商的书面质疑后七个工作日内作出答复，并以书面形式通知质疑供应商和其他有关供应商，但答复的内容不得涉及商业秘密。</w:t>
      </w:r>
    </w:p>
    <w:p w14:paraId="3909E1DB">
      <w:pPr>
        <w:spacing w:line="440" w:lineRule="exact"/>
        <w:ind w:firstLine="480" w:firstLineChars="200"/>
        <w:rPr>
          <w:rFonts w:ascii="宋体" w:hAnsi="宋体" w:cs="宋体"/>
          <w:sz w:val="24"/>
          <w:szCs w:val="24"/>
        </w:rPr>
      </w:pPr>
      <w:r>
        <w:rPr>
          <w:rFonts w:hint="eastAsia" w:ascii="宋体" w:hAnsi="宋体" w:cs="宋体"/>
          <w:sz w:val="24"/>
          <w:szCs w:val="24"/>
        </w:rPr>
        <w:t>23.12投标人提出书面质疑必须有理、有据，不得恶意质疑或提交虚假质疑。否则，一经查实，采购人有权依据《江苏省政府采购供应商监督管理暂行办法》的规定，扣减其诚信记录分，并报请政府采购监管部门对该投标人进行相应的行政处罚。</w:t>
      </w:r>
    </w:p>
    <w:p w14:paraId="3E36C0D0">
      <w:pPr>
        <w:spacing w:line="440" w:lineRule="exact"/>
        <w:ind w:firstLine="480" w:firstLineChars="200"/>
        <w:rPr>
          <w:rFonts w:ascii="宋体" w:hAnsi="宋体" w:cs="宋体"/>
          <w:sz w:val="24"/>
          <w:szCs w:val="24"/>
        </w:rPr>
      </w:pPr>
      <w:r>
        <w:rPr>
          <w:rFonts w:hint="eastAsia" w:ascii="宋体" w:hAnsi="宋体" w:cs="宋体"/>
          <w:sz w:val="24"/>
          <w:szCs w:val="24"/>
        </w:rPr>
        <w:t>24、中标通知书</w:t>
      </w:r>
    </w:p>
    <w:p w14:paraId="325F038A">
      <w:pPr>
        <w:spacing w:line="440" w:lineRule="exact"/>
        <w:ind w:firstLine="480" w:firstLineChars="200"/>
        <w:rPr>
          <w:rFonts w:ascii="宋体" w:hAnsi="宋体" w:cs="宋体"/>
          <w:sz w:val="24"/>
          <w:szCs w:val="24"/>
        </w:rPr>
      </w:pPr>
      <w:r>
        <w:rPr>
          <w:rFonts w:hint="eastAsia" w:ascii="宋体" w:hAnsi="宋体" w:cs="宋体"/>
          <w:sz w:val="24"/>
          <w:szCs w:val="24"/>
        </w:rPr>
        <w:t>24.l中标结果确定后，采购人将向中标供应商发出中标通知书。</w:t>
      </w:r>
    </w:p>
    <w:p w14:paraId="0B2CB61E">
      <w:pPr>
        <w:spacing w:line="440" w:lineRule="exact"/>
        <w:ind w:firstLine="480" w:firstLineChars="200"/>
        <w:rPr>
          <w:rFonts w:ascii="宋体" w:hAnsi="宋体" w:cs="宋体"/>
          <w:sz w:val="24"/>
          <w:szCs w:val="24"/>
        </w:rPr>
      </w:pPr>
      <w:r>
        <w:rPr>
          <w:rFonts w:hint="eastAsia" w:ascii="宋体" w:hAnsi="宋体" w:cs="宋体"/>
          <w:sz w:val="24"/>
          <w:szCs w:val="24"/>
        </w:rPr>
        <w:t>24.2 中标供应商法定代表人或授权代表（投标文件中所确定的）须到采购人处签收中标通知书。</w:t>
      </w:r>
    </w:p>
    <w:p w14:paraId="332B8CF9">
      <w:pPr>
        <w:spacing w:line="440" w:lineRule="exact"/>
        <w:ind w:firstLine="480" w:firstLineChars="200"/>
        <w:rPr>
          <w:rFonts w:ascii="宋体" w:hAnsi="宋体" w:cs="宋体"/>
          <w:sz w:val="24"/>
          <w:szCs w:val="24"/>
        </w:rPr>
      </w:pPr>
      <w:r>
        <w:rPr>
          <w:rFonts w:hint="eastAsia" w:ascii="宋体" w:hAnsi="宋体" w:cs="宋体"/>
          <w:sz w:val="24"/>
          <w:szCs w:val="24"/>
        </w:rPr>
        <w:t>24.3中标通知书将是合同的一个组成部分。对采购人和中标供应商均具有法律效力。中标通知书发出后，采购人改变中标结果的，或者中标供应商放弃中标项目的，应当依法承担法律责任。</w:t>
      </w:r>
    </w:p>
    <w:p w14:paraId="407E021D">
      <w:pPr>
        <w:adjustRightInd w:val="0"/>
        <w:snapToGrid w:val="0"/>
        <w:spacing w:line="440" w:lineRule="exact"/>
        <w:ind w:firstLine="482" w:firstLineChars="200"/>
        <w:rPr>
          <w:b/>
          <w:sz w:val="24"/>
        </w:rPr>
      </w:pPr>
      <w:bookmarkStart w:id="103" w:name="_Toc120614220"/>
      <w:bookmarkStart w:id="104" w:name="_Toc513029236"/>
      <w:bookmarkStart w:id="105" w:name="_Toc16938552"/>
      <w:bookmarkStart w:id="106" w:name="_Toc20823308"/>
      <w:r>
        <w:rPr>
          <w:rFonts w:hint="eastAsia"/>
          <w:b/>
          <w:sz w:val="24"/>
        </w:rPr>
        <w:t>六、合同</w:t>
      </w:r>
      <w:bookmarkEnd w:id="103"/>
      <w:r>
        <w:rPr>
          <w:rFonts w:hint="eastAsia"/>
          <w:b/>
          <w:sz w:val="24"/>
        </w:rPr>
        <w:t>签订相关事项</w:t>
      </w:r>
    </w:p>
    <w:bookmarkEnd w:id="104"/>
    <w:bookmarkEnd w:id="105"/>
    <w:bookmarkEnd w:id="106"/>
    <w:p w14:paraId="2A745433">
      <w:pPr>
        <w:spacing w:line="440" w:lineRule="exact"/>
        <w:ind w:firstLine="480" w:firstLineChars="200"/>
        <w:rPr>
          <w:rFonts w:ascii="宋体" w:hAnsi="宋体" w:cs="宋体"/>
          <w:sz w:val="24"/>
          <w:szCs w:val="24"/>
        </w:rPr>
      </w:pPr>
      <w:r>
        <w:rPr>
          <w:rFonts w:hint="eastAsia" w:ascii="宋体" w:hAnsi="宋体" w:cs="宋体"/>
          <w:sz w:val="24"/>
          <w:szCs w:val="24"/>
        </w:rPr>
        <w:t>25. 签订合同</w:t>
      </w:r>
    </w:p>
    <w:p w14:paraId="534CD135">
      <w:pPr>
        <w:spacing w:line="440" w:lineRule="exact"/>
        <w:ind w:firstLine="480" w:firstLineChars="200"/>
        <w:rPr>
          <w:rFonts w:ascii="宋体" w:hAnsi="宋体" w:cs="宋体"/>
          <w:sz w:val="24"/>
          <w:szCs w:val="24"/>
        </w:rPr>
      </w:pPr>
      <w:r>
        <w:rPr>
          <w:rFonts w:hint="eastAsia" w:ascii="宋体" w:hAnsi="宋体" w:cs="宋体"/>
          <w:sz w:val="24"/>
          <w:szCs w:val="24"/>
        </w:rPr>
        <w:t>25.l中标人应按中标通知书规定的时间、地点,按照招标文件确定的事项与采购人签订政府采购合同，且不得迟于中标通知书发出之日起十日内，由此给采购人造成损失的，中标人还应承担赔偿责任。</w:t>
      </w:r>
    </w:p>
    <w:p w14:paraId="64B11A89">
      <w:pPr>
        <w:spacing w:line="440" w:lineRule="exact"/>
        <w:ind w:firstLine="480" w:firstLineChars="200"/>
        <w:rPr>
          <w:rFonts w:ascii="宋体" w:hAnsi="宋体" w:cs="宋体"/>
          <w:sz w:val="24"/>
          <w:szCs w:val="24"/>
        </w:rPr>
      </w:pPr>
      <w:r>
        <w:rPr>
          <w:rFonts w:hint="eastAsia" w:ascii="宋体" w:hAnsi="宋体" w:cs="宋体"/>
          <w:sz w:val="24"/>
          <w:szCs w:val="24"/>
        </w:rPr>
        <w:t>25.2招标文件、中标人的投标文件及招标过程中有关澄清、承诺文件均应作为合同附件。</w:t>
      </w:r>
    </w:p>
    <w:p w14:paraId="24856DAF">
      <w:pPr>
        <w:spacing w:line="440" w:lineRule="exact"/>
        <w:ind w:firstLine="480" w:firstLineChars="200"/>
        <w:rPr>
          <w:rFonts w:ascii="宋体" w:hAnsi="宋体" w:cs="宋体"/>
          <w:sz w:val="24"/>
          <w:szCs w:val="24"/>
        </w:rPr>
      </w:pPr>
      <w:r>
        <w:rPr>
          <w:rFonts w:hint="eastAsia" w:ascii="宋体" w:hAnsi="宋体" w:cs="宋体"/>
          <w:sz w:val="24"/>
          <w:szCs w:val="24"/>
        </w:rPr>
        <w:t>25.3 签订合同后，中标人不得将货物、服务及其他相关服务进行转包。未经采购人同意，中标人也不得采用分包的形式履行合同，否则采购人有权终止合同，中标人的履约保证金将不予退还。转包或分包造成采购人损失的，中标人应承担相应赔偿责任。</w:t>
      </w:r>
    </w:p>
    <w:p w14:paraId="548D6822">
      <w:pPr>
        <w:tabs>
          <w:tab w:val="left" w:pos="900"/>
        </w:tabs>
        <w:spacing w:afterLines="50" w:line="420" w:lineRule="exact"/>
        <w:ind w:firstLine="477" w:firstLineChars="199"/>
        <w:rPr>
          <w:rFonts w:ascii="宋体" w:hAnsi="宋体" w:cs="宋体"/>
          <w:sz w:val="24"/>
        </w:rPr>
      </w:pPr>
      <w:r>
        <w:rPr>
          <w:rFonts w:hint="eastAsia" w:ascii="宋体" w:hAnsi="宋体" w:cs="宋体"/>
          <w:sz w:val="24"/>
        </w:rPr>
        <w:t>26.履约保证金</w:t>
      </w:r>
    </w:p>
    <w:p w14:paraId="1A102611">
      <w:pPr>
        <w:spacing w:line="440" w:lineRule="exact"/>
        <w:ind w:firstLine="480" w:firstLineChars="200"/>
        <w:rPr>
          <w:rFonts w:ascii="宋体" w:hAnsi="宋体" w:cs="宋体"/>
          <w:sz w:val="24"/>
          <w:szCs w:val="24"/>
        </w:rPr>
      </w:pPr>
      <w:r>
        <w:rPr>
          <w:rFonts w:hint="eastAsia" w:ascii="宋体" w:hAnsi="宋体" w:cs="宋体"/>
          <w:sz w:val="24"/>
        </w:rPr>
        <w:t>本项目无。</w:t>
      </w:r>
    </w:p>
    <w:p w14:paraId="45D6554C">
      <w:pPr>
        <w:spacing w:line="360" w:lineRule="auto"/>
        <w:jc w:val="center"/>
        <w:rPr>
          <w:rFonts w:ascii="宋体" w:hAnsi="宋体" w:cs="宋体"/>
          <w:b/>
          <w:bCs/>
          <w:color w:val="000000"/>
          <w:sz w:val="36"/>
          <w:szCs w:val="36"/>
        </w:rPr>
      </w:pPr>
    </w:p>
    <w:p w14:paraId="6BCB6B15">
      <w:pPr>
        <w:spacing w:line="360" w:lineRule="auto"/>
        <w:jc w:val="center"/>
        <w:rPr>
          <w:rFonts w:ascii="宋体" w:hAnsi="宋体" w:cs="宋体"/>
          <w:b/>
          <w:bCs/>
          <w:color w:val="000000"/>
          <w:sz w:val="36"/>
          <w:szCs w:val="36"/>
        </w:rPr>
      </w:pPr>
      <w:r>
        <w:rPr>
          <w:rFonts w:hint="eastAsia" w:ascii="宋体" w:hAnsi="宋体" w:cs="宋体"/>
          <w:b/>
          <w:bCs/>
          <w:color w:val="000000"/>
          <w:sz w:val="36"/>
          <w:szCs w:val="36"/>
        </w:rPr>
        <w:t>第三章　</w:t>
      </w:r>
      <w:bookmarkStart w:id="107" w:name="_Toc341880210"/>
      <w:bookmarkStart w:id="108" w:name="_Toc358633673"/>
      <w:bookmarkStart w:id="109" w:name="_Toc392498225"/>
      <w:bookmarkStart w:id="110" w:name="_Toc393207971"/>
      <w:bookmarkStart w:id="111" w:name="_Toc358637063"/>
      <w:r>
        <w:rPr>
          <w:rFonts w:hint="eastAsia" w:ascii="宋体" w:hAnsi="宋体" w:cs="宋体"/>
          <w:b/>
          <w:bCs/>
          <w:color w:val="000000"/>
          <w:sz w:val="36"/>
          <w:szCs w:val="36"/>
        </w:rPr>
        <w:t>评标方法与评标标准</w:t>
      </w:r>
    </w:p>
    <w:p w14:paraId="355D3704">
      <w:pPr>
        <w:spacing w:line="520" w:lineRule="exact"/>
        <w:ind w:firstLine="480" w:firstLineChars="200"/>
        <w:rPr>
          <w:rFonts w:ascii="宋体" w:hAnsi="宋体" w:cs="宋体"/>
          <w:sz w:val="24"/>
          <w:szCs w:val="24"/>
        </w:rPr>
      </w:pPr>
      <w:r>
        <w:rPr>
          <w:rFonts w:hint="eastAsia" w:ascii="宋体" w:hAnsi="宋体" w:cs="宋体"/>
          <w:sz w:val="24"/>
          <w:szCs w:val="24"/>
        </w:rPr>
        <w:t>一、评标方法:本次招标采用综合评分法。</w:t>
      </w:r>
    </w:p>
    <w:p w14:paraId="4969360A">
      <w:pPr>
        <w:spacing w:line="520" w:lineRule="exact"/>
        <w:ind w:firstLine="480" w:firstLineChars="200"/>
        <w:rPr>
          <w:rFonts w:ascii="宋体" w:hAnsi="宋体" w:cs="宋体"/>
          <w:sz w:val="24"/>
          <w:szCs w:val="24"/>
        </w:rPr>
      </w:pPr>
      <w:r>
        <w:rPr>
          <w:rFonts w:hint="eastAsia" w:ascii="宋体" w:hAnsi="宋体" w:cs="宋体"/>
          <w:sz w:val="24"/>
          <w:szCs w:val="24"/>
        </w:rPr>
        <w:t>（一）评标程序及评标标准</w:t>
      </w:r>
    </w:p>
    <w:p w14:paraId="2DFC4FD1">
      <w:pPr>
        <w:spacing w:line="520" w:lineRule="exact"/>
        <w:ind w:firstLine="480" w:firstLineChars="200"/>
        <w:rPr>
          <w:rFonts w:ascii="宋体" w:hAnsi="宋体" w:cs="宋体"/>
          <w:sz w:val="24"/>
          <w:szCs w:val="24"/>
        </w:rPr>
      </w:pPr>
      <w:r>
        <w:rPr>
          <w:rFonts w:hint="eastAsia" w:ascii="宋体" w:hAnsi="宋体" w:cs="宋体"/>
          <w:sz w:val="24"/>
          <w:szCs w:val="24"/>
        </w:rPr>
        <w:t>1资格性审查评审——2商务技术标评审——3价格标评审——4确定中标候选人。</w:t>
      </w:r>
    </w:p>
    <w:p w14:paraId="6D13CFBF">
      <w:pPr>
        <w:spacing w:line="520" w:lineRule="exact"/>
        <w:ind w:firstLine="480" w:firstLineChars="200"/>
        <w:rPr>
          <w:rFonts w:ascii="宋体" w:hAnsi="宋体" w:cs="宋体"/>
          <w:sz w:val="24"/>
          <w:szCs w:val="24"/>
        </w:rPr>
      </w:pPr>
      <w:r>
        <w:rPr>
          <w:rFonts w:hint="eastAsia" w:ascii="宋体" w:hAnsi="宋体" w:cs="宋体"/>
          <w:sz w:val="24"/>
          <w:szCs w:val="24"/>
        </w:rPr>
        <w:t>（二）资格审查程序及评审内容</w:t>
      </w:r>
    </w:p>
    <w:p w14:paraId="096950F4">
      <w:pPr>
        <w:spacing w:line="520" w:lineRule="exact"/>
        <w:ind w:firstLine="480" w:firstLineChars="200"/>
        <w:rPr>
          <w:rFonts w:ascii="宋体" w:hAnsi="宋体" w:cs="宋体"/>
          <w:sz w:val="24"/>
          <w:szCs w:val="24"/>
        </w:rPr>
      </w:pPr>
      <w:r>
        <w:rPr>
          <w:rFonts w:hint="eastAsia" w:ascii="宋体" w:hAnsi="宋体" w:cs="宋体"/>
          <w:sz w:val="24"/>
          <w:szCs w:val="24"/>
        </w:rPr>
        <w:t>⑴投标人全部进入资格审查，由本采购项目评标委员会根据参加资格审查的投标人递交的资格证明文件，并按照本采购项目招标文件《资格审查标准》对投标人的资格进行审查。</w:t>
      </w:r>
    </w:p>
    <w:p w14:paraId="560BB945">
      <w:pPr>
        <w:spacing w:line="520" w:lineRule="exact"/>
        <w:ind w:firstLine="480" w:firstLineChars="200"/>
        <w:rPr>
          <w:rFonts w:ascii="宋体" w:hAnsi="宋体" w:cs="宋体"/>
          <w:sz w:val="24"/>
          <w:szCs w:val="24"/>
        </w:rPr>
      </w:pPr>
      <w:r>
        <w:rPr>
          <w:rFonts w:hint="eastAsia" w:ascii="宋体" w:hAnsi="宋体" w:cs="宋体"/>
          <w:sz w:val="24"/>
          <w:szCs w:val="24"/>
        </w:rPr>
        <w:t>⑵本次资格审查采用符合性审查，各投标人资格审查通过后方能进入技术标、商务标及价格标的评审。</w:t>
      </w:r>
    </w:p>
    <w:p w14:paraId="3898E7F1">
      <w:pPr>
        <w:spacing w:line="520" w:lineRule="exact"/>
        <w:ind w:firstLine="480" w:firstLineChars="200"/>
        <w:rPr>
          <w:rFonts w:ascii="宋体" w:hAnsi="宋体" w:cs="宋体"/>
          <w:sz w:val="24"/>
          <w:szCs w:val="24"/>
        </w:rPr>
      </w:pPr>
      <w:r>
        <w:rPr>
          <w:rFonts w:hint="eastAsia" w:ascii="宋体" w:hAnsi="宋体" w:cs="宋体"/>
          <w:sz w:val="24"/>
          <w:szCs w:val="24"/>
        </w:rPr>
        <w:t>⑶资格性审查必要合格条件标准如下：</w:t>
      </w:r>
    </w:p>
    <w:p w14:paraId="532B64D4">
      <w:pPr>
        <w:spacing w:line="520" w:lineRule="exact"/>
        <w:ind w:firstLine="480" w:firstLineChars="200"/>
        <w:rPr>
          <w:rFonts w:ascii="宋体" w:hAnsi="宋体" w:cs="宋体"/>
          <w:sz w:val="24"/>
          <w:szCs w:val="24"/>
        </w:rPr>
      </w:pPr>
      <w:r>
        <w:rPr>
          <w:rFonts w:hint="eastAsia" w:ascii="宋体" w:hAnsi="宋体" w:cs="宋体"/>
          <w:sz w:val="24"/>
          <w:szCs w:val="24"/>
        </w:rPr>
        <w:t>1、法定代表人身份证明书及法定代表人身份证复印件；</w:t>
      </w:r>
    </w:p>
    <w:p w14:paraId="75B96F62">
      <w:pPr>
        <w:spacing w:line="520" w:lineRule="exact"/>
        <w:ind w:firstLine="480" w:firstLineChars="200"/>
        <w:rPr>
          <w:rFonts w:ascii="宋体" w:hAnsi="宋体" w:cs="宋体"/>
          <w:sz w:val="24"/>
          <w:szCs w:val="24"/>
        </w:rPr>
      </w:pPr>
      <w:r>
        <w:rPr>
          <w:rFonts w:hint="eastAsia" w:ascii="宋体" w:hAnsi="宋体" w:cs="宋体"/>
          <w:sz w:val="24"/>
          <w:szCs w:val="24"/>
        </w:rPr>
        <w:t xml:space="preserve">2、法定代表人授权委托书及委托代理人身份证复印件（如有授权）； </w:t>
      </w:r>
    </w:p>
    <w:p w14:paraId="27F01C9D">
      <w:pPr>
        <w:spacing w:line="520" w:lineRule="exact"/>
        <w:ind w:firstLine="480" w:firstLineChars="200"/>
        <w:rPr>
          <w:rFonts w:ascii="宋体" w:hAnsi="宋体" w:cs="宋体"/>
          <w:sz w:val="24"/>
          <w:szCs w:val="24"/>
        </w:rPr>
      </w:pPr>
      <w:r>
        <w:rPr>
          <w:rFonts w:hint="eastAsia" w:ascii="宋体" w:hAnsi="宋体" w:cs="宋体"/>
          <w:sz w:val="24"/>
          <w:szCs w:val="24"/>
        </w:rPr>
        <w:t>3、投标人营业执照（复印件加盖公章）；</w:t>
      </w:r>
    </w:p>
    <w:p w14:paraId="2A84AF47">
      <w:pPr>
        <w:spacing w:line="520" w:lineRule="exact"/>
        <w:ind w:firstLine="480" w:firstLineChars="200"/>
        <w:rPr>
          <w:rFonts w:ascii="宋体" w:hAnsi="宋体" w:cs="宋体"/>
          <w:sz w:val="24"/>
          <w:szCs w:val="24"/>
        </w:rPr>
      </w:pPr>
      <w:r>
        <w:rPr>
          <w:rFonts w:hint="eastAsia" w:ascii="宋体" w:hAnsi="宋体" w:cs="宋体"/>
          <w:sz w:val="24"/>
          <w:szCs w:val="24"/>
        </w:rPr>
        <w:t>4、投标声明函；</w:t>
      </w:r>
    </w:p>
    <w:p w14:paraId="650A3454">
      <w:pPr>
        <w:spacing w:line="520" w:lineRule="exact"/>
        <w:ind w:firstLine="480" w:firstLineChars="200"/>
        <w:rPr>
          <w:rFonts w:ascii="宋体" w:hAnsi="宋体" w:cs="宋体"/>
          <w:sz w:val="24"/>
          <w:szCs w:val="24"/>
        </w:rPr>
      </w:pPr>
      <w:r>
        <w:rPr>
          <w:rFonts w:hint="eastAsia" w:ascii="宋体" w:hAnsi="宋体" w:cs="宋体"/>
          <w:sz w:val="24"/>
          <w:szCs w:val="24"/>
        </w:rPr>
        <w:t>5、具备履行合同所必需的设备和专业技术能力的书面声明；</w:t>
      </w:r>
    </w:p>
    <w:p w14:paraId="53E367B5">
      <w:pPr>
        <w:spacing w:line="520" w:lineRule="exact"/>
        <w:ind w:firstLine="480" w:firstLineChars="200"/>
        <w:rPr>
          <w:rFonts w:ascii="宋体" w:hAnsi="宋体" w:cs="宋体"/>
          <w:sz w:val="24"/>
          <w:szCs w:val="24"/>
        </w:rPr>
      </w:pPr>
      <w:r>
        <w:rPr>
          <w:rFonts w:hint="eastAsia" w:ascii="宋体" w:hAnsi="宋体" w:cs="宋体"/>
          <w:sz w:val="24"/>
          <w:szCs w:val="24"/>
        </w:rPr>
        <w:t>6、参加政府采购活动前 3 年内在经营活动中没有重大违法记录的书面声明；</w:t>
      </w:r>
    </w:p>
    <w:p w14:paraId="2BF1EAB4">
      <w:pPr>
        <w:spacing w:line="520" w:lineRule="exact"/>
        <w:ind w:firstLine="480" w:firstLineChars="200"/>
        <w:rPr>
          <w:rFonts w:ascii="宋体" w:hAnsi="宋体"/>
          <w:iCs/>
          <w:sz w:val="24"/>
        </w:rPr>
      </w:pPr>
      <w:r>
        <w:rPr>
          <w:rFonts w:hint="eastAsia" w:ascii="宋体" w:hAnsi="宋体" w:cs="宋体"/>
          <w:sz w:val="24"/>
          <w:szCs w:val="24"/>
        </w:rPr>
        <w:t>7、</w:t>
      </w:r>
      <w:r>
        <w:rPr>
          <w:rFonts w:hint="eastAsia" w:ascii="宋体" w:hAnsi="宋体"/>
          <w:iCs/>
          <w:sz w:val="24"/>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263E9344">
      <w:pPr>
        <w:spacing w:line="520" w:lineRule="exact"/>
        <w:ind w:firstLine="480" w:firstLineChars="200"/>
        <w:rPr>
          <w:rFonts w:ascii="宋体" w:hAnsi="宋体"/>
          <w:sz w:val="24"/>
        </w:rPr>
      </w:pPr>
      <w:r>
        <w:rPr>
          <w:rFonts w:hint="eastAsia" w:ascii="宋体" w:hAnsi="宋体"/>
          <w:iCs/>
          <w:sz w:val="24"/>
        </w:rPr>
        <w:t>8、</w:t>
      </w:r>
      <w:r>
        <w:rPr>
          <w:rFonts w:hint="eastAsia" w:ascii="宋体" w:hAnsi="宋体"/>
          <w:sz w:val="24"/>
        </w:rPr>
        <w:t>委托代理人</w:t>
      </w:r>
      <w:r>
        <w:rPr>
          <w:rFonts w:hint="eastAsia" w:ascii="宋体" w:hAnsi="宋体"/>
          <w:sz w:val="24"/>
          <w:lang w:val="zh-CN"/>
        </w:rPr>
        <w:t>与企业签订的有效劳动合同，投标企业所在地社保机构出具的由企业为</w:t>
      </w:r>
      <w:r>
        <w:rPr>
          <w:rFonts w:hint="eastAsia" w:ascii="宋体" w:hAnsi="宋体"/>
          <w:sz w:val="24"/>
        </w:rPr>
        <w:t>委托代理人</w:t>
      </w:r>
      <w:r>
        <w:rPr>
          <w:rFonts w:hint="eastAsia" w:ascii="宋体" w:hAnsi="宋体"/>
          <w:sz w:val="24"/>
          <w:lang w:val="zh-CN"/>
        </w:rPr>
        <w:t>缴纳的投标截止时间前三个月（不含投标截止时间当月）</w:t>
      </w:r>
      <w:r>
        <w:rPr>
          <w:rFonts w:hint="eastAsia" w:ascii="宋体" w:hAnsi="宋体"/>
          <w:sz w:val="24"/>
        </w:rPr>
        <w:t>中</w:t>
      </w:r>
      <w:r>
        <w:rPr>
          <w:rFonts w:hint="eastAsia" w:ascii="宋体" w:hAnsi="宋体"/>
          <w:sz w:val="24"/>
          <w:lang w:val="zh-CN"/>
        </w:rPr>
        <w:t>至少一个月的养老保险缴费证明或依法免除的证明；</w:t>
      </w:r>
    </w:p>
    <w:p w14:paraId="66B19254">
      <w:pPr>
        <w:spacing w:line="520" w:lineRule="exact"/>
        <w:ind w:firstLine="480" w:firstLineChars="200"/>
        <w:rPr>
          <w:rFonts w:ascii="宋体" w:hAnsi="宋体"/>
          <w:iCs/>
          <w:sz w:val="24"/>
        </w:rPr>
      </w:pPr>
      <w:r>
        <w:rPr>
          <w:rFonts w:hint="eastAsia" w:ascii="宋体" w:hAnsi="宋体"/>
          <w:iCs/>
          <w:sz w:val="24"/>
        </w:rPr>
        <w:t>9、2024年度的财务审计报告（成立不满一年无需提供）或投标截止时间前三个月（不含投标截止时间当月）中任意一个月的银行资信证明；</w:t>
      </w:r>
    </w:p>
    <w:p w14:paraId="694ABB83">
      <w:pPr>
        <w:spacing w:line="520" w:lineRule="exact"/>
        <w:ind w:firstLine="480" w:firstLineChars="200"/>
        <w:rPr>
          <w:rFonts w:ascii="宋体" w:hAnsi="宋体" w:cs="宋体"/>
          <w:sz w:val="24"/>
          <w:szCs w:val="24"/>
        </w:rPr>
      </w:pPr>
      <w:r>
        <w:rPr>
          <w:rFonts w:hint="eastAsia" w:ascii="宋体" w:hAnsi="宋体" w:cs="宋体"/>
          <w:sz w:val="24"/>
          <w:szCs w:val="24"/>
        </w:rPr>
        <w:t>备注说明：</w:t>
      </w:r>
    </w:p>
    <w:p w14:paraId="5A286E86">
      <w:pPr>
        <w:spacing w:line="520" w:lineRule="exact"/>
        <w:ind w:firstLine="482" w:firstLineChars="200"/>
        <w:rPr>
          <w:rFonts w:ascii="宋体" w:hAnsi="宋体" w:cs="宋体"/>
          <w:b/>
          <w:bCs/>
          <w:sz w:val="24"/>
          <w:szCs w:val="24"/>
        </w:rPr>
      </w:pPr>
      <w:r>
        <w:rPr>
          <w:rFonts w:hint="eastAsia" w:ascii="宋体" w:hAnsi="宋体" w:cs="宋体"/>
          <w:b/>
          <w:bCs/>
          <w:sz w:val="24"/>
          <w:szCs w:val="24"/>
        </w:rPr>
        <w:t>上述</w:t>
      </w:r>
      <w:r>
        <w:rPr>
          <w:rFonts w:hint="eastAsia" w:ascii="微软雅黑" w:hAnsi="微软雅黑" w:eastAsia="微软雅黑" w:cs="微软雅黑"/>
          <w:b/>
          <w:bCs/>
          <w:sz w:val="24"/>
          <w:szCs w:val="24"/>
        </w:rPr>
        <w:t>1—9</w:t>
      </w:r>
      <w:r>
        <w:rPr>
          <w:rFonts w:hint="eastAsia" w:ascii="宋体" w:hAnsi="宋体" w:cs="宋体"/>
          <w:b/>
          <w:bCs/>
          <w:sz w:val="24"/>
          <w:szCs w:val="24"/>
        </w:rPr>
        <w:t>中任何一条不符合要求，则资格性审查不通过。</w:t>
      </w:r>
    </w:p>
    <w:p w14:paraId="686BBC9E">
      <w:pPr>
        <w:spacing w:line="520" w:lineRule="exact"/>
        <w:ind w:firstLine="480" w:firstLineChars="200"/>
        <w:rPr>
          <w:rFonts w:ascii="宋体" w:hAnsi="宋体" w:cs="宋体"/>
          <w:sz w:val="24"/>
          <w:szCs w:val="24"/>
        </w:rPr>
      </w:pPr>
      <w:r>
        <w:rPr>
          <w:rFonts w:hint="eastAsia" w:ascii="宋体" w:hAnsi="宋体" w:cs="宋体"/>
          <w:sz w:val="24"/>
          <w:szCs w:val="24"/>
        </w:rPr>
        <w:t>（三）评分细则</w:t>
      </w:r>
    </w:p>
    <w:p w14:paraId="6C5E4F91">
      <w:pPr>
        <w:spacing w:line="520" w:lineRule="exact"/>
        <w:ind w:firstLine="480" w:firstLineChars="200"/>
        <w:rPr>
          <w:rFonts w:ascii="宋体" w:hAnsi="宋体" w:cs="宋体"/>
          <w:sz w:val="24"/>
          <w:szCs w:val="24"/>
        </w:rPr>
      </w:pPr>
      <w:r>
        <w:rPr>
          <w:rFonts w:hint="eastAsia" w:ascii="宋体" w:hAnsi="宋体" w:cs="宋体"/>
          <w:sz w:val="24"/>
          <w:szCs w:val="24"/>
        </w:rPr>
        <w:t>本项目采用综合评分法确定中标候选人，评标委员会按下表所列评分办法和标准进行评分，总分值100分（其中技术商务技术标70分，价格标30分）。</w:t>
      </w:r>
    </w:p>
    <w:p w14:paraId="6CE8ED7D">
      <w:pPr>
        <w:rPr>
          <w:vanish/>
        </w:rPr>
      </w:pPr>
    </w:p>
    <w:p w14:paraId="18A22EF5">
      <w:pPr>
        <w:spacing w:line="360" w:lineRule="exact"/>
        <w:ind w:firstLine="480" w:firstLineChars="200"/>
        <w:rPr>
          <w:rFonts w:eastAsia="方正仿宋简体"/>
          <w:sz w:val="24"/>
        </w:rPr>
      </w:pPr>
    </w:p>
    <w:p w14:paraId="0D25AB66">
      <w:pPr>
        <w:spacing w:line="360" w:lineRule="exact"/>
        <w:ind w:firstLine="480" w:firstLineChars="200"/>
        <w:rPr>
          <w:rFonts w:eastAsia="方正仿宋简体"/>
          <w:sz w:val="24"/>
        </w:rPr>
      </w:pPr>
      <w:r>
        <w:rPr>
          <w:rFonts w:eastAsia="方正仿宋简体"/>
          <w:sz w:val="24"/>
        </w:rPr>
        <w:t>第</w:t>
      </w:r>
      <w:r>
        <w:rPr>
          <w:rFonts w:hint="eastAsia" w:eastAsia="方正仿宋简体"/>
          <w:sz w:val="24"/>
        </w:rPr>
        <w:t>一</w:t>
      </w:r>
      <w:r>
        <w:rPr>
          <w:rFonts w:eastAsia="方正仿宋简体"/>
          <w:sz w:val="24"/>
        </w:rPr>
        <w:t>部分：商务技术分（</w:t>
      </w:r>
      <w:r>
        <w:rPr>
          <w:rFonts w:hint="eastAsia" w:eastAsia="方正仿宋简体"/>
          <w:sz w:val="24"/>
        </w:rPr>
        <w:t>7</w:t>
      </w:r>
      <w:r>
        <w:rPr>
          <w:rFonts w:eastAsia="方正仿宋简体"/>
          <w:sz w:val="24"/>
        </w:rPr>
        <w:t>0分）</w:t>
      </w:r>
    </w:p>
    <w:tbl>
      <w:tblPr>
        <w:tblStyle w:val="12"/>
        <w:tblW w:w="5000" w:type="pct"/>
        <w:tblInd w:w="0" w:type="dxa"/>
        <w:shd w:val="clear" w:color="auto" w:fill="FFFFFF" w:themeFill="background1"/>
        <w:tblLayout w:type="autofit"/>
        <w:tblCellMar>
          <w:top w:w="15" w:type="dxa"/>
          <w:left w:w="15" w:type="dxa"/>
          <w:bottom w:w="15" w:type="dxa"/>
          <w:right w:w="15" w:type="dxa"/>
        </w:tblCellMar>
      </w:tblPr>
      <w:tblGrid>
        <w:gridCol w:w="917"/>
        <w:gridCol w:w="2305"/>
        <w:gridCol w:w="922"/>
        <w:gridCol w:w="5074"/>
      </w:tblGrid>
      <w:tr w14:paraId="521F66D5">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0E619434">
            <w:pPr>
              <w:widowControl/>
              <w:jc w:val="center"/>
              <w:rPr>
                <w:rFonts w:ascii="宋体" w:hAnsi="宋体" w:cs="宋体"/>
                <w:b/>
                <w:bCs/>
              </w:rPr>
            </w:pPr>
            <w:r>
              <w:rPr>
                <w:rFonts w:hint="eastAsia" w:ascii="宋体" w:hAnsi="宋体" w:cs="宋体"/>
                <w:b/>
                <w:bCs/>
              </w:rPr>
              <w:t>序号</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2DDE7FEA">
            <w:pPr>
              <w:widowControl/>
              <w:jc w:val="center"/>
              <w:rPr>
                <w:rFonts w:ascii="宋体" w:hAnsi="宋体" w:cs="宋体"/>
                <w:b/>
                <w:bCs/>
              </w:rPr>
            </w:pPr>
            <w:r>
              <w:rPr>
                <w:rFonts w:hint="eastAsia" w:ascii="宋体" w:hAnsi="宋体" w:cs="宋体"/>
                <w:b/>
                <w:bCs/>
              </w:rPr>
              <w:t>评分项目</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7422EC84">
            <w:pPr>
              <w:widowControl/>
              <w:jc w:val="center"/>
              <w:rPr>
                <w:rFonts w:ascii="宋体" w:hAnsi="宋体" w:cs="宋体"/>
                <w:b/>
                <w:bCs/>
              </w:rPr>
            </w:pPr>
            <w:r>
              <w:rPr>
                <w:rFonts w:hint="eastAsia" w:ascii="宋体" w:hAnsi="宋体" w:cs="宋体"/>
                <w:b/>
                <w:bCs/>
              </w:rPr>
              <w:t>分值</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30319823">
            <w:pPr>
              <w:widowControl/>
              <w:jc w:val="center"/>
              <w:rPr>
                <w:rFonts w:ascii="宋体" w:hAnsi="宋体" w:cs="宋体"/>
                <w:b/>
                <w:bCs/>
              </w:rPr>
            </w:pPr>
            <w:r>
              <w:rPr>
                <w:rFonts w:hint="eastAsia" w:ascii="宋体" w:hAnsi="宋体" w:cs="宋体"/>
                <w:b/>
                <w:bCs/>
              </w:rPr>
              <w:t>评分标准细化</w:t>
            </w:r>
          </w:p>
        </w:tc>
      </w:tr>
      <w:tr w14:paraId="31947489">
        <w:tblPrEx>
          <w:shd w:val="clear" w:color="auto" w:fill="FFFFFF" w:themeFill="background1"/>
          <w:tblCellMar>
            <w:top w:w="15" w:type="dxa"/>
            <w:left w:w="15" w:type="dxa"/>
            <w:bottom w:w="15" w:type="dxa"/>
            <w:right w:w="15"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4F0CEF08">
            <w:pPr>
              <w:widowControl/>
              <w:jc w:val="left"/>
              <w:rPr>
                <w:rFonts w:ascii="宋体" w:hAnsi="宋体" w:cs="宋体"/>
                <w:b/>
                <w:bCs/>
              </w:rPr>
            </w:pPr>
            <w:r>
              <w:rPr>
                <w:rFonts w:hint="eastAsia" w:ascii="宋体" w:hAnsi="宋体" w:cs="宋体"/>
                <w:b/>
                <w:bCs/>
              </w:rPr>
              <w:t>一、服务方案（35分）</w:t>
            </w:r>
          </w:p>
        </w:tc>
      </w:tr>
      <w:tr w14:paraId="4D099B60">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64ADF85C">
            <w:pPr>
              <w:widowControl/>
              <w:jc w:val="center"/>
              <w:rPr>
                <w:rFonts w:ascii="宋体" w:hAnsi="宋体" w:cs="宋体"/>
              </w:rPr>
            </w:pPr>
            <w:r>
              <w:rPr>
                <w:rFonts w:hint="eastAsia" w:ascii="宋体" w:hAnsi="宋体" w:cs="宋体"/>
              </w:rPr>
              <w:t>1.1</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1C37BDDB">
            <w:pPr>
              <w:widowControl/>
              <w:jc w:val="center"/>
              <w:rPr>
                <w:rFonts w:ascii="宋体" w:hAnsi="宋体" w:cs="宋体"/>
              </w:rPr>
            </w:pPr>
            <w:r>
              <w:rPr>
                <w:rFonts w:hint="eastAsia" w:ascii="宋体" w:hAnsi="宋体" w:cs="宋体"/>
              </w:rPr>
              <w:t>对项目需求的详细理解</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42BC6583">
            <w:pPr>
              <w:widowControl/>
              <w:jc w:val="center"/>
              <w:rPr>
                <w:rFonts w:ascii="宋体" w:hAnsi="宋体" w:cs="宋体"/>
              </w:rPr>
            </w:pPr>
            <w:r>
              <w:rPr>
                <w:rFonts w:hint="eastAsia" w:ascii="宋体" w:hAnsi="宋体" w:cs="宋体"/>
              </w:rPr>
              <w:t>17</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482A2E43">
            <w:pPr>
              <w:widowControl/>
              <w:spacing w:line="276" w:lineRule="auto"/>
              <w:jc w:val="left"/>
              <w:rPr>
                <w:rFonts w:ascii="宋体" w:hAnsi="宋体" w:cs="宋体"/>
                <w:color w:val="000000"/>
                <w:kern w:val="0"/>
                <w:sz w:val="22"/>
                <w:szCs w:val="22"/>
              </w:rPr>
            </w:pPr>
            <w:r>
              <w:rPr>
                <w:rFonts w:hint="eastAsia" w:ascii="宋体" w:hAnsi="宋体" w:cs="宋体"/>
                <w:color w:val="000000"/>
                <w:kern w:val="0"/>
                <w:sz w:val="22"/>
                <w:szCs w:val="22"/>
              </w:rPr>
              <w:t>1、投标人提供对项目需求的详细理解方案，包括并不限于项目组人员组成、质量保证措施、针对本项目需求的理解程度和项目现状分析等，项目组管理人员配备齐全、合理，技术人员有一定的资历和技术水平，有健全的质量保证体系，质量保证措施合理可行、对本项目需求的理解程度和项目现状分析具有针对性，以上符合或优于项目需求的得10分，和项目需求有一定关联的得7分，欠合理的得3分，不提供不得分；</w:t>
            </w:r>
          </w:p>
          <w:p w14:paraId="0E63D591">
            <w:pPr>
              <w:widowControl/>
              <w:spacing w:line="276" w:lineRule="auto"/>
              <w:jc w:val="left"/>
              <w:rPr>
                <w:rFonts w:ascii="宋体" w:hAnsi="宋体" w:cs="宋体"/>
                <w:color w:val="000000"/>
                <w:kern w:val="0"/>
                <w:sz w:val="22"/>
                <w:szCs w:val="22"/>
                <w:highlight w:val="none"/>
              </w:rPr>
            </w:pPr>
            <w:r>
              <w:rPr>
                <w:rFonts w:hint="eastAsia" w:ascii="宋体" w:hAnsi="宋体" w:cs="宋体"/>
                <w:color w:val="000000"/>
                <w:kern w:val="0"/>
                <w:sz w:val="22"/>
                <w:szCs w:val="22"/>
              </w:rPr>
              <w:t>2、投标人</w:t>
            </w:r>
            <w:r>
              <w:rPr>
                <w:rFonts w:hint="eastAsia" w:ascii="宋体" w:hAnsi="宋体" w:cs="宋体"/>
                <w:color w:val="000000"/>
                <w:kern w:val="0"/>
                <w:sz w:val="22"/>
                <w:szCs w:val="22"/>
                <w:highlight w:val="none"/>
              </w:rPr>
              <w:t>能准确说明本项目具休布置及使用情况并对以上情况提供详细图片（图表）材料的得3分，一般性说明的得1分。</w:t>
            </w:r>
          </w:p>
          <w:p w14:paraId="20659626">
            <w:pPr>
              <w:widowControl/>
              <w:spacing w:line="276" w:lineRule="auto"/>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3、投标人能对前端点位分布情况以图表形式提供并能清晰说明的得3分，作一般性说明的得1分。</w:t>
            </w:r>
          </w:p>
          <w:p w14:paraId="1A70FCD0">
            <w:pPr>
              <w:widowControl/>
              <w:spacing w:line="276" w:lineRule="auto"/>
              <w:rPr>
                <w:rFonts w:ascii="宋体" w:hAnsi="宋体" w:cs="宋体"/>
              </w:rPr>
            </w:pPr>
            <w:r>
              <w:rPr>
                <w:rFonts w:hint="eastAsia" w:ascii="宋体" w:hAnsi="宋体" w:cs="宋体"/>
                <w:color w:val="000000"/>
                <w:kern w:val="0"/>
                <w:sz w:val="22"/>
                <w:szCs w:val="22"/>
                <w:highlight w:val="none"/>
              </w:rPr>
              <w:t>4、投标人提供网络拓扑图的得1分。</w:t>
            </w:r>
          </w:p>
        </w:tc>
      </w:tr>
      <w:tr w14:paraId="242FA570">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0844F920">
            <w:pPr>
              <w:widowControl/>
              <w:jc w:val="center"/>
              <w:rPr>
                <w:rFonts w:ascii="宋体" w:hAnsi="宋体" w:cs="宋体"/>
              </w:rPr>
            </w:pPr>
            <w:r>
              <w:rPr>
                <w:rFonts w:hint="eastAsia" w:ascii="宋体" w:hAnsi="宋体" w:cs="宋体"/>
              </w:rPr>
              <w:t>1.2</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08B96B54">
            <w:pPr>
              <w:widowControl/>
              <w:jc w:val="center"/>
              <w:rPr>
                <w:rFonts w:ascii="宋体" w:hAnsi="宋体" w:cs="宋体"/>
              </w:rPr>
            </w:pPr>
            <w:r>
              <w:rPr>
                <w:rFonts w:hint="eastAsia"/>
              </w:rPr>
              <w:t>维保</w:t>
            </w:r>
            <w:r>
              <w:t>与</w:t>
            </w:r>
            <w:r>
              <w:rPr>
                <w:rFonts w:hint="eastAsia"/>
              </w:rPr>
              <w:t>运维</w:t>
            </w:r>
            <w:r>
              <w:t>能力评价</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6C016B6F">
            <w:pPr>
              <w:widowControl/>
              <w:jc w:val="center"/>
              <w:rPr>
                <w:rFonts w:ascii="宋体" w:hAnsi="宋体" w:cs="宋体"/>
              </w:rPr>
            </w:pPr>
            <w:r>
              <w:rPr>
                <w:rFonts w:hint="eastAsia" w:ascii="宋体" w:hAnsi="宋体" w:cs="宋体"/>
              </w:rPr>
              <w:t>8</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6BB65502">
            <w:pPr>
              <w:widowControl/>
              <w:spacing w:line="276" w:lineRule="auto"/>
              <w:jc w:val="left"/>
              <w:rPr>
                <w:rFonts w:ascii="宋体" w:hAnsi="宋体" w:cs="宋体"/>
                <w:color w:val="000000"/>
                <w:kern w:val="0"/>
                <w:sz w:val="22"/>
                <w:szCs w:val="22"/>
              </w:rPr>
            </w:pPr>
            <w:r>
              <w:rPr>
                <w:rFonts w:hint="eastAsia" w:ascii="宋体" w:hAnsi="宋体" w:cs="宋体"/>
                <w:color w:val="000000"/>
                <w:kern w:val="0"/>
                <w:sz w:val="22"/>
                <w:szCs w:val="22"/>
              </w:rPr>
              <w:t>1、投标人承诺的维保响应时间、具体的保障措施、专业维护队伍的完备和管理情况、详细的维修维护方案、培训方案，承诺全面完善、科学合理、针对性强、可操作性强、内容详细，符合或优于项目需求的得4 分；有一定关联的得2分，欠合理的得1分，未提供不得分；</w:t>
            </w:r>
          </w:p>
          <w:p w14:paraId="5ACB19C1">
            <w:pPr>
              <w:pStyle w:val="17"/>
              <w:spacing w:line="276" w:lineRule="auto"/>
              <w:ind w:left="0"/>
              <w:jc w:val="both"/>
            </w:pPr>
            <w:r>
              <w:rPr>
                <w:rFonts w:hint="eastAsia" w:ascii="宋体" w:hAnsi="宋体" w:cs="宋体"/>
                <w:color w:val="000000"/>
                <w:kern w:val="0"/>
                <w:sz w:val="22"/>
              </w:rPr>
              <w:t>2、投标人能提供相关运维平台实时反应项目设备实时状态的，提供平台截图的得4分，未提供不得分。</w:t>
            </w:r>
          </w:p>
        </w:tc>
      </w:tr>
      <w:tr w14:paraId="2335C662">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62DB1577">
            <w:pPr>
              <w:widowControl/>
              <w:jc w:val="center"/>
              <w:rPr>
                <w:rFonts w:ascii="宋体" w:hAnsi="宋体" w:cs="宋体"/>
              </w:rPr>
            </w:pPr>
            <w:r>
              <w:rPr>
                <w:rFonts w:hint="eastAsia" w:ascii="宋体" w:hAnsi="宋体" w:cs="宋体"/>
              </w:rPr>
              <w:t>1.4</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404EEE12">
            <w:pPr>
              <w:widowControl/>
              <w:jc w:val="center"/>
              <w:rPr>
                <w:rFonts w:ascii="宋体" w:hAnsi="宋体" w:cs="宋体"/>
              </w:rPr>
            </w:pPr>
            <w:r>
              <w:rPr>
                <w:rFonts w:hint="eastAsia" w:ascii="宋体" w:hAnsi="宋体" w:cs="宋体"/>
              </w:rPr>
              <w:t>技术支持能力水平</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0AC11E18">
            <w:pPr>
              <w:widowControl/>
              <w:jc w:val="center"/>
              <w:rPr>
                <w:rFonts w:ascii="宋体" w:hAnsi="宋体" w:cs="宋体"/>
              </w:rPr>
            </w:pPr>
            <w:r>
              <w:rPr>
                <w:rFonts w:hint="eastAsia" w:ascii="宋体" w:hAnsi="宋体" w:cs="宋体"/>
              </w:rPr>
              <w:t>10</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2AC97245">
            <w:pPr>
              <w:widowControl/>
              <w:spacing w:line="276" w:lineRule="auto"/>
              <w:jc w:val="left"/>
              <w:rPr>
                <w:rFonts w:ascii="宋体" w:hAnsi="宋体" w:cs="宋体"/>
              </w:rPr>
            </w:pPr>
            <w:r>
              <w:rPr>
                <w:rFonts w:hint="eastAsia" w:ascii="宋体" w:hAnsi="宋体" w:cs="宋体"/>
                <w:color w:val="000000"/>
                <w:kern w:val="0"/>
                <w:sz w:val="22"/>
                <w:szCs w:val="22"/>
              </w:rPr>
              <w:t>投标人提供的技术支持能力水平</w:t>
            </w:r>
            <w:r>
              <w:rPr>
                <w:rFonts w:hint="eastAsia" w:ascii="宋体" w:hAnsi="宋体" w:cs="宋体"/>
                <w:color w:val="000000"/>
                <w:kern w:val="0"/>
                <w:sz w:val="22"/>
                <w:szCs w:val="22"/>
                <w:highlight w:val="none"/>
              </w:rPr>
              <w:t>方案（包括并不限定于本项目的软件平台、服务器存储设备技术支持等）以及与此相关的承诺，符合或优于项目需求的得10分，和项目有一定关联的得7分，</w:t>
            </w:r>
            <w:r>
              <w:rPr>
                <w:rFonts w:hint="eastAsia" w:ascii="宋体" w:hAnsi="宋体" w:cs="宋体"/>
                <w:color w:val="000000"/>
                <w:kern w:val="0"/>
                <w:sz w:val="22"/>
                <w:szCs w:val="22"/>
              </w:rPr>
              <w:t>欠合理的得3分，不提供不得分。</w:t>
            </w:r>
          </w:p>
        </w:tc>
      </w:tr>
      <w:tr w14:paraId="2B58E3D5">
        <w:tblPrEx>
          <w:tblCellMar>
            <w:top w:w="15" w:type="dxa"/>
            <w:left w:w="15" w:type="dxa"/>
            <w:bottom w:w="15" w:type="dxa"/>
            <w:right w:w="15"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674A6EB8">
            <w:pPr>
              <w:widowControl/>
              <w:spacing w:line="276" w:lineRule="auto"/>
              <w:jc w:val="left"/>
              <w:rPr>
                <w:rFonts w:ascii="宋体" w:hAnsi="宋体" w:cs="宋体"/>
              </w:rPr>
            </w:pPr>
            <w:r>
              <w:rPr>
                <w:rFonts w:hint="eastAsia" w:ascii="宋体" w:hAnsi="宋体" w:cs="宋体"/>
              </w:rPr>
              <w:t>二、商务部分（35分）</w:t>
            </w:r>
          </w:p>
        </w:tc>
      </w:tr>
      <w:tr w14:paraId="18375970">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087F1EF5">
            <w:pPr>
              <w:widowControl/>
              <w:jc w:val="center"/>
              <w:rPr>
                <w:rFonts w:ascii="宋体" w:hAnsi="宋体" w:cs="宋体"/>
              </w:rPr>
            </w:pPr>
            <w:r>
              <w:rPr>
                <w:rFonts w:hint="eastAsia" w:ascii="宋体" w:hAnsi="宋体" w:cs="宋体"/>
              </w:rPr>
              <w:t>3.1</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75558E26">
            <w:pPr>
              <w:widowControl/>
              <w:jc w:val="center"/>
              <w:rPr>
                <w:rFonts w:ascii="宋体" w:hAnsi="宋体" w:cs="宋体"/>
              </w:rPr>
            </w:pPr>
            <w:r>
              <w:rPr>
                <w:rFonts w:hint="eastAsia" w:ascii="宋体" w:hAnsi="宋体" w:cs="宋体"/>
              </w:rPr>
              <w:t>供应商能力</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34DDAB29">
            <w:pPr>
              <w:widowControl/>
              <w:jc w:val="center"/>
              <w:rPr>
                <w:rFonts w:ascii="宋体" w:hAnsi="宋体" w:cs="宋体"/>
              </w:rPr>
            </w:pPr>
            <w:r>
              <w:rPr>
                <w:rFonts w:hint="eastAsia" w:ascii="宋体" w:hAnsi="宋体" w:cs="宋体"/>
              </w:rPr>
              <w:t>17</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72BE826D">
            <w:pPr>
              <w:widowControl/>
              <w:spacing w:line="276" w:lineRule="auto"/>
              <w:jc w:val="left"/>
              <w:rPr>
                <w:rFonts w:ascii="宋体" w:hAnsi="宋体" w:cs="宋体"/>
                <w:highlight w:val="none"/>
              </w:rPr>
            </w:pPr>
            <w:r>
              <w:rPr>
                <w:rFonts w:hint="eastAsia" w:ascii="宋体" w:hAnsi="宋体" w:cs="宋体"/>
              </w:rPr>
              <w:t>（1）投标人具有服务质量评价体系认证证书、企业诚信管理体系</w:t>
            </w:r>
            <w:r>
              <w:rPr>
                <w:rFonts w:hint="eastAsia" w:ascii="宋体" w:hAnsi="宋体" w:cs="宋体"/>
                <w:highlight w:val="none"/>
              </w:rPr>
              <w:t>认证证书、业务连续性管理体系认证证书、服务认证证书，全部提供得4分，提供3项得2分，提供2项及以下不得分。</w:t>
            </w:r>
          </w:p>
          <w:p w14:paraId="725EEC78">
            <w:pPr>
              <w:widowControl/>
              <w:spacing w:line="276" w:lineRule="auto"/>
              <w:jc w:val="left"/>
              <w:rPr>
                <w:rFonts w:ascii="宋体" w:hAnsi="宋体" w:cs="宋体"/>
                <w:highlight w:val="none"/>
              </w:rPr>
            </w:pPr>
            <w:r>
              <w:rPr>
                <w:rFonts w:hint="eastAsia" w:ascii="宋体" w:hAnsi="宋体" w:cs="宋体"/>
                <w:highlight w:val="none"/>
              </w:rPr>
              <w:t>（2）投标人具有信息系统建设和服务能力评估五级（CS5）的得4分，四级（CS4）的得2分，三级（CS3）及以下的得1分，未提供不得分；</w:t>
            </w:r>
          </w:p>
          <w:p w14:paraId="21B4FF66">
            <w:pPr>
              <w:widowControl/>
              <w:spacing w:line="276" w:lineRule="auto"/>
              <w:jc w:val="left"/>
              <w:rPr>
                <w:rFonts w:ascii="宋体" w:hAnsi="宋体" w:cs="宋体"/>
                <w:highlight w:val="none"/>
              </w:rPr>
            </w:pPr>
            <w:r>
              <w:rPr>
                <w:rFonts w:hint="eastAsia" w:ascii="宋体" w:hAnsi="宋体" w:cs="宋体"/>
                <w:highlight w:val="none"/>
              </w:rPr>
              <w:t>（3）投标人具有信息化工程与技术服务能力评价证书，达到卓越级（CN-IETS E）的得3分，CN-IETS 1级的得1分，未提供不得分；</w:t>
            </w:r>
          </w:p>
          <w:p w14:paraId="3EDD5F7D">
            <w:pPr>
              <w:widowControl/>
              <w:spacing w:line="276" w:lineRule="auto"/>
              <w:jc w:val="left"/>
              <w:rPr>
                <w:rFonts w:ascii="宋体" w:hAnsi="宋体" w:cs="宋体"/>
                <w:highlight w:val="none"/>
              </w:rPr>
            </w:pPr>
            <w:r>
              <w:rPr>
                <w:rFonts w:hint="eastAsia" w:ascii="宋体" w:hAnsi="宋体" w:cs="宋体"/>
                <w:highlight w:val="none"/>
              </w:rPr>
              <w:t>（4）信息技术服务标准（ITSS）符合性证书运行维护一级的得2分，二级的得1分，未提供不得分；</w:t>
            </w:r>
          </w:p>
          <w:p w14:paraId="1F2300ED">
            <w:pPr>
              <w:widowControl/>
              <w:spacing w:line="276" w:lineRule="auto"/>
              <w:jc w:val="left"/>
              <w:rPr>
                <w:rFonts w:ascii="宋体" w:hAnsi="宋体" w:cs="宋体"/>
              </w:rPr>
            </w:pPr>
            <w:r>
              <w:rPr>
                <w:rFonts w:hint="eastAsia" w:ascii="宋体" w:hAnsi="宋体" w:cs="宋体"/>
                <w:highlight w:val="none"/>
              </w:rPr>
              <w:t>（5）售后服务完善度认证证书（十二星级）的得2分，十二星级以下的得1分，未提供不得分</w:t>
            </w:r>
            <w:r>
              <w:rPr>
                <w:rFonts w:hint="eastAsia" w:ascii="宋体" w:hAnsi="宋体" w:cs="宋体"/>
              </w:rPr>
              <w:t>；</w:t>
            </w:r>
          </w:p>
          <w:p w14:paraId="09FE0B30">
            <w:pPr>
              <w:widowControl/>
              <w:spacing w:line="276" w:lineRule="auto"/>
              <w:jc w:val="left"/>
              <w:rPr>
                <w:rFonts w:ascii="宋体" w:hAnsi="宋体" w:cs="宋体"/>
              </w:rPr>
            </w:pPr>
            <w:r>
              <w:rPr>
                <w:rFonts w:hint="eastAsia" w:ascii="宋体" w:hAnsi="宋体" w:cs="宋体"/>
              </w:rPr>
              <w:t>（6）投标人具有CCID信息系统服务交付能力等级证书一级的得2分，二级及以下的得1分，未提供不得分；</w:t>
            </w:r>
          </w:p>
          <w:p w14:paraId="28BFA351">
            <w:pPr>
              <w:widowControl/>
              <w:spacing w:line="276" w:lineRule="auto"/>
              <w:jc w:val="left"/>
            </w:pPr>
            <w:r>
              <w:rPr>
                <w:rFonts w:hint="eastAsia" w:ascii="宋体" w:hAnsi="宋体" w:cs="宋体"/>
              </w:rPr>
              <w:t>以上内容均需提供证明材料扫描件并加盖供应商公章，否则不得分。</w:t>
            </w:r>
          </w:p>
        </w:tc>
      </w:tr>
      <w:tr w14:paraId="3326D536">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37239F2F">
            <w:pPr>
              <w:widowControl/>
              <w:jc w:val="center"/>
              <w:rPr>
                <w:rFonts w:ascii="宋体" w:hAnsi="宋体" w:cs="宋体"/>
              </w:rPr>
            </w:pPr>
            <w:r>
              <w:rPr>
                <w:rFonts w:hint="eastAsia" w:ascii="宋体" w:hAnsi="宋体" w:cs="宋体"/>
              </w:rPr>
              <w:t>3.2</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6FCF8A20">
            <w:pPr>
              <w:widowControl/>
              <w:jc w:val="center"/>
              <w:rPr>
                <w:rFonts w:ascii="宋体" w:hAnsi="宋体" w:cs="宋体"/>
              </w:rPr>
            </w:pPr>
            <w:r>
              <w:rPr>
                <w:rFonts w:hint="eastAsia" w:ascii="宋体" w:hAnsi="宋体" w:cs="宋体"/>
              </w:rPr>
              <w:t>项目人员配备</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2D175D25">
            <w:pPr>
              <w:widowControl/>
              <w:jc w:val="center"/>
              <w:rPr>
                <w:rFonts w:ascii="宋体" w:hAnsi="宋体" w:cs="宋体"/>
              </w:rPr>
            </w:pPr>
            <w:r>
              <w:rPr>
                <w:rFonts w:hint="eastAsia" w:ascii="宋体" w:hAnsi="宋体" w:cs="宋体"/>
              </w:rPr>
              <w:t>10</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5C312E09">
            <w:pPr>
              <w:widowControl/>
              <w:spacing w:line="276" w:lineRule="auto"/>
              <w:jc w:val="left"/>
              <w:rPr>
                <w:rFonts w:ascii="宋体" w:hAnsi="宋体" w:cs="宋体"/>
                <w:highlight w:val="none"/>
              </w:rPr>
            </w:pPr>
            <w:r>
              <w:rPr>
                <w:rFonts w:hint="eastAsia" w:ascii="宋体" w:hAnsi="宋体" w:cs="宋体"/>
                <w:highlight w:val="none"/>
              </w:rPr>
              <w:t>（1）</w:t>
            </w:r>
            <w:r>
              <w:rPr>
                <w:rFonts w:hint="eastAsia"/>
                <w:highlight w:val="none"/>
              </w:rPr>
              <w:t>项目负责人（1名）：具备信息系统项目管理师证书、注册信息安全专业人员、ITSS-IT服务项目经理、信息系统业务安全服务工程师(高级)、CISAW 信息安全保障人员（应急服务），全部具备得5分，提供4项得2分，提供3项得1分，提供2项及以下不得分</w:t>
            </w:r>
            <w:r>
              <w:rPr>
                <w:rFonts w:hint="eastAsia" w:ascii="宋体" w:hAnsi="宋体" w:cs="宋体"/>
                <w:highlight w:val="none"/>
              </w:rPr>
              <w:t>。同时须提供其在投标人单位投标截止时间前三个月（不含投标截止时间当月）中任意一个月的社保缴费证明。</w:t>
            </w:r>
          </w:p>
          <w:p w14:paraId="10461AAF">
            <w:pPr>
              <w:widowControl/>
              <w:spacing w:line="276" w:lineRule="auto"/>
              <w:jc w:val="left"/>
              <w:rPr>
                <w:rFonts w:ascii="宋体" w:hAnsi="宋体" w:cs="宋体"/>
                <w:highlight w:val="none"/>
              </w:rPr>
            </w:pPr>
            <w:r>
              <w:rPr>
                <w:rFonts w:hint="eastAsia" w:ascii="宋体" w:hAnsi="宋体" w:cs="宋体"/>
                <w:highlight w:val="none"/>
              </w:rPr>
              <w:t>（2）</w:t>
            </w:r>
            <w:r>
              <w:rPr>
                <w:rFonts w:hint="eastAsia"/>
                <w:highlight w:val="none"/>
              </w:rPr>
              <w:t>网络技术负责人（1名）：具备信息系统项目管理师、信息安全工程师、网络工程师、ITSS-IT服务工程师、CISAW 信息安全保障人员（安全运维），全部具备得5分，提供4项得2分，提供3项得1分，提供2项及以下不得分</w:t>
            </w:r>
            <w:r>
              <w:rPr>
                <w:rFonts w:hint="eastAsia" w:ascii="宋体" w:hAnsi="宋体" w:cs="宋体"/>
                <w:highlight w:val="none"/>
              </w:rPr>
              <w:t>。</w:t>
            </w:r>
          </w:p>
          <w:p w14:paraId="00EEA09C">
            <w:pPr>
              <w:widowControl/>
              <w:spacing w:line="276" w:lineRule="auto"/>
              <w:jc w:val="left"/>
              <w:rPr>
                <w:rFonts w:ascii="宋体" w:hAnsi="宋体" w:cs="宋体"/>
                <w:highlight w:val="none"/>
              </w:rPr>
            </w:pPr>
            <w:r>
              <w:rPr>
                <w:rFonts w:hint="eastAsia" w:ascii="宋体" w:hAnsi="宋体" w:cs="宋体"/>
                <w:highlight w:val="none"/>
              </w:rPr>
              <w:t>同时须提供其在投标人单位投标截止时间前三个月（不含投标截止时间当月）中任意一个月的社保缴费证明。</w:t>
            </w:r>
          </w:p>
        </w:tc>
      </w:tr>
      <w:tr w14:paraId="612AD9C0">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63C7B188">
            <w:pPr>
              <w:widowControl/>
              <w:jc w:val="center"/>
              <w:rPr>
                <w:rFonts w:ascii="宋体" w:hAnsi="宋体" w:cs="宋体"/>
              </w:rPr>
            </w:pPr>
            <w:r>
              <w:rPr>
                <w:rFonts w:hint="eastAsia" w:ascii="宋体" w:hAnsi="宋体" w:cs="宋体"/>
              </w:rPr>
              <w:t>3.3</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48949A39">
            <w:pPr>
              <w:widowControl/>
              <w:jc w:val="center"/>
              <w:rPr>
                <w:rFonts w:ascii="宋体" w:hAnsi="宋体" w:cs="宋体"/>
              </w:rPr>
            </w:pPr>
            <w:r>
              <w:rPr>
                <w:rFonts w:hint="eastAsia" w:ascii="宋体" w:hAnsi="宋体" w:cs="宋体"/>
              </w:rPr>
              <w:t>售后服务承诺</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799695E9">
            <w:pPr>
              <w:widowControl/>
              <w:jc w:val="center"/>
              <w:rPr>
                <w:rFonts w:ascii="宋体" w:hAnsi="宋体" w:cs="宋体"/>
              </w:rPr>
            </w:pPr>
            <w:r>
              <w:rPr>
                <w:rFonts w:hint="eastAsia" w:ascii="宋体" w:hAnsi="宋体" w:cs="宋体"/>
              </w:rPr>
              <w:t>2</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bottom"/>
          </w:tcPr>
          <w:p w14:paraId="01225A62">
            <w:pPr>
              <w:widowControl/>
              <w:spacing w:line="276" w:lineRule="auto"/>
              <w:jc w:val="left"/>
              <w:rPr>
                <w:rFonts w:ascii="宋体" w:hAnsi="宋体" w:cs="宋体"/>
              </w:rPr>
            </w:pPr>
            <w:r>
              <w:rPr>
                <w:rFonts w:hint="eastAsia" w:ascii="宋体" w:hAnsi="宋体" w:cs="宋体"/>
              </w:rPr>
              <w:t>供应商承诺（承诺书格式自拟）：</w:t>
            </w:r>
          </w:p>
          <w:p w14:paraId="6170EBD6">
            <w:pPr>
              <w:widowControl/>
              <w:spacing w:line="276" w:lineRule="auto"/>
              <w:jc w:val="left"/>
              <w:rPr>
                <w:rFonts w:ascii="宋体" w:hAnsi="宋体" w:cs="宋体"/>
              </w:rPr>
            </w:pPr>
            <w:r>
              <w:rPr>
                <w:rFonts w:hint="eastAsia" w:ascii="宋体" w:hAnsi="宋体" w:cs="宋体"/>
              </w:rPr>
              <w:t>1．主要设备应当提供备用件；</w:t>
            </w:r>
          </w:p>
          <w:p w14:paraId="2DD4F41E">
            <w:pPr>
              <w:widowControl/>
              <w:spacing w:line="276" w:lineRule="auto"/>
              <w:jc w:val="left"/>
              <w:rPr>
                <w:rFonts w:ascii="宋体" w:hAnsi="宋体" w:cs="宋体"/>
              </w:rPr>
            </w:pPr>
            <w:r>
              <w:rPr>
                <w:rFonts w:hint="eastAsia" w:ascii="宋体" w:hAnsi="宋体" w:cs="宋体"/>
              </w:rPr>
              <w:t>2．关键性设备损坏2小时内修复；</w:t>
            </w:r>
          </w:p>
          <w:p w14:paraId="6ED71FBC">
            <w:pPr>
              <w:widowControl/>
              <w:spacing w:line="276" w:lineRule="auto"/>
              <w:jc w:val="left"/>
              <w:rPr>
                <w:rFonts w:ascii="宋体" w:hAnsi="宋体" w:cs="宋体"/>
              </w:rPr>
            </w:pPr>
            <w:r>
              <w:rPr>
                <w:rFonts w:hint="eastAsia" w:ascii="宋体" w:hAnsi="宋体" w:cs="宋体"/>
              </w:rPr>
              <w:t>以上均满足得2分，少一项不得分。</w:t>
            </w:r>
          </w:p>
        </w:tc>
      </w:tr>
      <w:tr w14:paraId="50BD79BC">
        <w:tblPrEx>
          <w:shd w:val="clear" w:color="auto" w:fill="FFFFFF" w:themeFill="background1"/>
          <w:tblCellMar>
            <w:top w:w="15" w:type="dxa"/>
            <w:left w:w="15" w:type="dxa"/>
            <w:bottom w:w="15" w:type="dxa"/>
            <w:right w:w="15" w:type="dxa"/>
          </w:tblCellMar>
        </w:tblPrEx>
        <w:trPr>
          <w:trHeight w:val="23" w:hRule="atLeast"/>
        </w:trPr>
        <w:tc>
          <w:tcPr>
            <w:tcW w:w="498"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396E409F">
            <w:pPr>
              <w:widowControl/>
              <w:jc w:val="center"/>
              <w:rPr>
                <w:rFonts w:ascii="宋体" w:hAnsi="宋体" w:cs="宋体"/>
              </w:rPr>
            </w:pPr>
            <w:r>
              <w:rPr>
                <w:rFonts w:hint="eastAsia" w:ascii="宋体" w:hAnsi="宋体" w:cs="宋体"/>
              </w:rPr>
              <w:t>3.4</w:t>
            </w:r>
          </w:p>
        </w:tc>
        <w:tc>
          <w:tcPr>
            <w:tcW w:w="125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1EBEA131">
            <w:pPr>
              <w:widowControl/>
              <w:jc w:val="center"/>
              <w:rPr>
                <w:rFonts w:ascii="宋体" w:hAnsi="宋体" w:cs="宋体"/>
              </w:rPr>
            </w:pPr>
            <w:r>
              <w:rPr>
                <w:rFonts w:hint="eastAsia" w:ascii="宋体" w:hAnsi="宋体" w:cs="宋体"/>
              </w:rPr>
              <w:t>业绩案例</w:t>
            </w:r>
          </w:p>
        </w:tc>
        <w:tc>
          <w:tcPr>
            <w:tcW w:w="50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center"/>
          </w:tcPr>
          <w:p w14:paraId="130DC99B">
            <w:pPr>
              <w:widowControl/>
              <w:jc w:val="center"/>
              <w:rPr>
                <w:rFonts w:ascii="宋体" w:hAnsi="宋体" w:cs="宋体"/>
              </w:rPr>
            </w:pPr>
            <w:r>
              <w:rPr>
                <w:rFonts w:hint="eastAsia" w:ascii="宋体" w:hAnsi="宋体" w:cs="宋体"/>
              </w:rPr>
              <w:t>6</w:t>
            </w:r>
          </w:p>
        </w:tc>
        <w:tc>
          <w:tcPr>
            <w:tcW w:w="275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96" w:type="dxa"/>
              <w:left w:w="96" w:type="dxa"/>
              <w:bottom w:w="96" w:type="dxa"/>
              <w:right w:w="96" w:type="dxa"/>
            </w:tcMar>
            <w:vAlign w:val="bottom"/>
          </w:tcPr>
          <w:p w14:paraId="3855595D">
            <w:pPr>
              <w:widowControl/>
              <w:spacing w:line="276" w:lineRule="auto"/>
              <w:jc w:val="left"/>
              <w:rPr>
                <w:rFonts w:ascii="宋体" w:hAnsi="宋体" w:cs="宋体"/>
                <w:highlight w:val="none"/>
              </w:rPr>
            </w:pPr>
            <w:r>
              <w:rPr>
                <w:rFonts w:hint="eastAsia" w:ascii="宋体" w:hAnsi="宋体" w:cs="宋体"/>
                <w:highlight w:val="none"/>
              </w:rPr>
              <w:t>供应商2021年1月以来具备相关建设、维护类似业绩的，提供二份业绩得1分，提供三份业绩得3分，提供四份业绩得6分。提供合同复印件加盖公章。（时间以合同签订时间为准）</w:t>
            </w:r>
          </w:p>
        </w:tc>
      </w:tr>
    </w:tbl>
    <w:p w14:paraId="00DD070F">
      <w:pPr>
        <w:spacing w:line="520" w:lineRule="exact"/>
        <w:ind w:firstLine="482" w:firstLineChars="200"/>
        <w:rPr>
          <w:rFonts w:ascii="宋体" w:hAnsi="宋体" w:cs="宋体"/>
          <w:b/>
          <w:bCs/>
          <w:sz w:val="24"/>
          <w:szCs w:val="24"/>
        </w:rPr>
      </w:pPr>
      <w:r>
        <w:rPr>
          <w:rFonts w:hint="eastAsia" w:ascii="宋体" w:hAnsi="宋体" w:cs="宋体"/>
          <w:b/>
          <w:bCs/>
          <w:sz w:val="24"/>
          <w:szCs w:val="24"/>
        </w:rPr>
        <w:t>第二部分：价格分（30分）</w:t>
      </w:r>
    </w:p>
    <w:tbl>
      <w:tblPr>
        <w:tblStyle w:val="12"/>
        <w:tblW w:w="9211" w:type="dxa"/>
        <w:jc w:val="center"/>
        <w:tblLayout w:type="fixed"/>
        <w:tblCellMar>
          <w:top w:w="0" w:type="dxa"/>
          <w:left w:w="108" w:type="dxa"/>
          <w:bottom w:w="0" w:type="dxa"/>
          <w:right w:w="108" w:type="dxa"/>
        </w:tblCellMar>
      </w:tblPr>
      <w:tblGrid>
        <w:gridCol w:w="762"/>
        <w:gridCol w:w="785"/>
        <w:gridCol w:w="7664"/>
      </w:tblGrid>
      <w:tr w14:paraId="185F80FD">
        <w:tblPrEx>
          <w:tblCellMar>
            <w:top w:w="0" w:type="dxa"/>
            <w:left w:w="108" w:type="dxa"/>
            <w:bottom w:w="0" w:type="dxa"/>
            <w:right w:w="108" w:type="dxa"/>
          </w:tblCellMar>
        </w:tblPrEx>
        <w:trPr>
          <w:trHeight w:val="699" w:hRule="atLeast"/>
          <w:jc w:val="center"/>
        </w:trPr>
        <w:tc>
          <w:tcPr>
            <w:tcW w:w="762" w:type="dxa"/>
            <w:tcBorders>
              <w:top w:val="single" w:color="auto" w:sz="4" w:space="0"/>
              <w:left w:val="single" w:color="auto" w:sz="4" w:space="0"/>
              <w:bottom w:val="single" w:color="auto" w:sz="4" w:space="0"/>
              <w:right w:val="single" w:color="auto" w:sz="4" w:space="0"/>
            </w:tcBorders>
            <w:noWrap/>
            <w:vAlign w:val="center"/>
          </w:tcPr>
          <w:p w14:paraId="4A135CF8">
            <w:pPr>
              <w:spacing w:line="320" w:lineRule="exact"/>
              <w:jc w:val="center"/>
              <w:rPr>
                <w:rFonts w:ascii="宋体" w:hAnsi="宋体" w:cs="宋体"/>
              </w:rPr>
            </w:pPr>
            <w:r>
              <w:rPr>
                <w:rFonts w:hint="eastAsia" w:ascii="宋体" w:hAnsi="宋体" w:cs="宋体"/>
              </w:rPr>
              <w:t>报价部分</w:t>
            </w:r>
          </w:p>
        </w:tc>
        <w:tc>
          <w:tcPr>
            <w:tcW w:w="785" w:type="dxa"/>
            <w:tcBorders>
              <w:top w:val="single" w:color="auto" w:sz="4" w:space="0"/>
              <w:left w:val="nil"/>
              <w:bottom w:val="single" w:color="auto" w:sz="4" w:space="0"/>
              <w:right w:val="single" w:color="auto" w:sz="4" w:space="0"/>
            </w:tcBorders>
            <w:noWrap/>
            <w:vAlign w:val="center"/>
          </w:tcPr>
          <w:p w14:paraId="2B5CFAAE">
            <w:pPr>
              <w:spacing w:line="320" w:lineRule="exact"/>
              <w:jc w:val="center"/>
              <w:rPr>
                <w:rFonts w:ascii="宋体" w:hAnsi="宋体" w:cs="宋体"/>
              </w:rPr>
            </w:pPr>
            <w:r>
              <w:rPr>
                <w:rFonts w:hint="eastAsia" w:ascii="宋体" w:hAnsi="宋体" w:cs="宋体"/>
              </w:rPr>
              <w:t>30分</w:t>
            </w:r>
          </w:p>
        </w:tc>
        <w:tc>
          <w:tcPr>
            <w:tcW w:w="7664" w:type="dxa"/>
            <w:tcBorders>
              <w:top w:val="single" w:color="auto" w:sz="4" w:space="0"/>
              <w:left w:val="nil"/>
              <w:bottom w:val="single" w:color="auto" w:sz="4" w:space="0"/>
              <w:right w:val="single" w:color="auto" w:sz="4" w:space="0"/>
            </w:tcBorders>
            <w:noWrap/>
            <w:vAlign w:val="center"/>
          </w:tcPr>
          <w:p w14:paraId="2DEE7974">
            <w:pPr>
              <w:spacing w:line="460" w:lineRule="exact"/>
              <w:ind w:firstLine="480" w:firstLineChars="200"/>
              <w:rPr>
                <w:rFonts w:ascii="宋体" w:hAnsi="宋体"/>
                <w:sz w:val="24"/>
              </w:rPr>
            </w:pPr>
            <w:r>
              <w:rPr>
                <w:rFonts w:hint="eastAsia" w:ascii="宋体" w:hAnsi="宋体"/>
                <w:sz w:val="24"/>
              </w:rPr>
              <w:t>满足招标文件实质性要求的最低的投标报价总价为评标基准价，其价格分为满分30分。其他投标人的价格分统一按照下列公式计算：</w:t>
            </w:r>
          </w:p>
          <w:p w14:paraId="7D0F7085">
            <w:pPr>
              <w:spacing w:line="460" w:lineRule="exact"/>
              <w:ind w:firstLine="480" w:firstLineChars="200"/>
              <w:rPr>
                <w:rFonts w:ascii="宋体" w:hAnsi="宋体"/>
                <w:sz w:val="24"/>
              </w:rPr>
            </w:pPr>
            <w:r>
              <w:rPr>
                <w:rFonts w:hint="eastAsia" w:ascii="宋体" w:hAnsi="宋体"/>
                <w:sz w:val="24"/>
              </w:rPr>
              <w:t>投标报价得分=（评标基准价/投标报价）*30。</w:t>
            </w:r>
          </w:p>
          <w:p w14:paraId="05BC5203">
            <w:pPr>
              <w:spacing w:line="460" w:lineRule="exact"/>
              <w:ind w:firstLine="480" w:firstLineChars="200"/>
              <w:rPr>
                <w:rFonts w:ascii="宋体" w:hAnsi="宋体"/>
                <w:sz w:val="24"/>
              </w:rPr>
            </w:pPr>
            <w:r>
              <w:rPr>
                <w:rFonts w:hint="eastAsia" w:ascii="宋体" w:hAnsi="宋体"/>
                <w:sz w:val="24"/>
              </w:rPr>
              <w:t>若投标人报价明显异常，评标委员会有权要求投标人做出合理说明，并以投票方式，按照少数服从多数的原则，决定是否为无效投标。</w:t>
            </w:r>
          </w:p>
          <w:p w14:paraId="0C43D8C0">
            <w:pPr>
              <w:spacing w:line="460" w:lineRule="exact"/>
              <w:ind w:firstLine="480" w:firstLineChars="200"/>
              <w:rPr>
                <w:rFonts w:ascii="宋体" w:hAnsi="宋体"/>
                <w:sz w:val="24"/>
              </w:rPr>
            </w:pPr>
            <w:r>
              <w:rPr>
                <w:rFonts w:hint="eastAsia" w:ascii="宋体" w:hAnsi="宋体"/>
                <w:sz w:val="24"/>
              </w:rPr>
              <w:t>根据江苏省财政厅苏财购〔2025〕62号文件要求：</w:t>
            </w:r>
          </w:p>
          <w:p w14:paraId="6584CA12">
            <w:pPr>
              <w:spacing w:line="460" w:lineRule="exact"/>
              <w:ind w:firstLine="480" w:firstLineChars="200"/>
              <w:rPr>
                <w:rFonts w:ascii="宋体" w:hAnsi="宋体"/>
                <w:sz w:val="24"/>
              </w:rPr>
            </w:pPr>
            <w:r>
              <w:rPr>
                <w:rFonts w:hint="eastAsia" w:ascii="宋体" w:hAnsi="宋体"/>
                <w:sz w:val="24"/>
              </w:rPr>
              <w:t xml:space="preserve">（一）评审过程中出现下列情形之一的，磋商小组应当启动异常低价投标（响应）审查程序： </w:t>
            </w:r>
          </w:p>
          <w:p w14:paraId="04002B93">
            <w:pPr>
              <w:spacing w:line="460" w:lineRule="exact"/>
              <w:ind w:firstLine="480" w:firstLineChars="200"/>
              <w:rPr>
                <w:rFonts w:ascii="宋体" w:hAnsi="宋体"/>
                <w:sz w:val="24"/>
              </w:rPr>
            </w:pPr>
            <w:r>
              <w:rPr>
                <w:rFonts w:hint="eastAsia" w:ascii="宋体" w:hAnsi="宋体"/>
                <w:sz w:val="24"/>
              </w:rPr>
              <w:t xml:space="preserve">1．投标（响应）报价低于采购项目预算50%的，即投标（响应）报价&lt;采购项目预算×50%； </w:t>
            </w:r>
          </w:p>
          <w:p w14:paraId="4D2403C6">
            <w:pPr>
              <w:spacing w:line="460" w:lineRule="exact"/>
              <w:ind w:firstLine="480" w:firstLineChars="200"/>
              <w:rPr>
                <w:rFonts w:ascii="宋体" w:hAnsi="宋体"/>
                <w:sz w:val="24"/>
              </w:rPr>
            </w:pPr>
            <w:r>
              <w:rPr>
                <w:rFonts w:hint="eastAsia" w:ascii="宋体" w:hAnsi="宋体"/>
                <w:sz w:val="24"/>
              </w:rPr>
              <w:t xml:space="preserve">2．投标（响应）报价低于采购项目最高限价45%的，即投标（响应）报价&lt;采购项目最高限价×45%； </w:t>
            </w:r>
          </w:p>
          <w:p w14:paraId="53AFD7CC">
            <w:pPr>
              <w:spacing w:line="460" w:lineRule="exact"/>
              <w:ind w:firstLine="480" w:firstLineChars="200"/>
              <w:rPr>
                <w:rFonts w:ascii="宋体" w:hAnsi="宋体"/>
                <w:sz w:val="24"/>
              </w:rPr>
            </w:pPr>
            <w:r>
              <w:rPr>
                <w:rFonts w:hint="eastAsia" w:ascii="宋体" w:hAnsi="宋体"/>
                <w:sz w:val="24"/>
              </w:rPr>
              <w:t>3．磋商小组认定的供应商报价过低、有可能影响产品质量或者不能诚信履约的其他情形。</w:t>
            </w:r>
          </w:p>
          <w:p w14:paraId="463C265A">
            <w:pPr>
              <w:spacing w:line="320" w:lineRule="exact"/>
              <w:jc w:val="left"/>
              <w:rPr>
                <w:rFonts w:ascii="宋体" w:hAnsi="宋体" w:cs="宋体"/>
              </w:rPr>
            </w:pPr>
            <w:r>
              <w:rPr>
                <w:rFonts w:hint="eastAsia" w:ascii="宋体" w:hAnsi="宋体"/>
                <w:sz w:val="24"/>
              </w:rPr>
              <w:t>（二）启动异常低价投标（响应）审查后，磋商小组应当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tc>
      </w:tr>
    </w:tbl>
    <w:p w14:paraId="6AE3F413">
      <w:pPr>
        <w:pStyle w:val="7"/>
      </w:pPr>
    </w:p>
    <w:p w14:paraId="214CB962">
      <w:pPr>
        <w:pStyle w:val="11"/>
        <w:spacing w:before="0" w:beforeAutospacing="0" w:after="0" w:afterAutospacing="0" w:line="400" w:lineRule="exact"/>
        <w:ind w:firstLine="482" w:firstLineChars="200"/>
        <w:jc w:val="both"/>
        <w:rPr>
          <w:color w:val="030303"/>
        </w:rPr>
      </w:pPr>
      <w:r>
        <w:rPr>
          <w:rStyle w:val="14"/>
          <w:rFonts w:hint="eastAsia"/>
          <w:color w:val="000000"/>
        </w:rPr>
        <w:t>（四）、中标人的确定</w:t>
      </w:r>
    </w:p>
    <w:p w14:paraId="37FB3C78">
      <w:pPr>
        <w:pStyle w:val="11"/>
        <w:spacing w:before="0" w:beforeAutospacing="0" w:after="0" w:afterAutospacing="0" w:line="400" w:lineRule="exact"/>
        <w:ind w:firstLine="679" w:firstLineChars="283"/>
        <w:jc w:val="both"/>
        <w:rPr>
          <w:color w:val="030303"/>
        </w:rPr>
      </w:pPr>
      <w:r>
        <w:rPr>
          <w:rFonts w:hint="eastAsia"/>
          <w:color w:val="000000"/>
        </w:rPr>
        <w:t>评标委员会各成员独立对每个有效的投标文件技术标进行评价、打分，按算术平均值计算商务技术标分值，与价格标分值相加为投标人的综合得分（四舍五入保留两位小数），</w:t>
      </w:r>
      <w:r>
        <w:rPr>
          <w:rFonts w:hint="eastAsia" w:hAnsi="宋体"/>
        </w:rPr>
        <w:t>综合得分最高者为中标人。</w:t>
      </w:r>
      <w:r>
        <w:rPr>
          <w:rFonts w:hint="eastAsia"/>
          <w:color w:val="000000"/>
        </w:rPr>
        <w:t xml:space="preserve">综合得分相同时，报价低者中标。 </w:t>
      </w:r>
    </w:p>
    <w:p w14:paraId="5AF18F74">
      <w:pPr>
        <w:pStyle w:val="11"/>
        <w:spacing w:before="0" w:beforeAutospacing="0" w:after="0" w:afterAutospacing="0" w:line="400" w:lineRule="exact"/>
        <w:ind w:firstLine="480" w:firstLineChars="200"/>
        <w:jc w:val="both"/>
        <w:rPr>
          <w:color w:val="000000"/>
        </w:rPr>
      </w:pPr>
      <w:r>
        <w:rPr>
          <w:rFonts w:hint="eastAsia"/>
          <w:color w:val="000000"/>
        </w:rPr>
        <w:t>评标过程中出现本评标办法未尽事宜，由评标委员会根据有关法律、法规讨论决定。</w:t>
      </w:r>
    </w:p>
    <w:bookmarkEnd w:id="107"/>
    <w:bookmarkEnd w:id="108"/>
    <w:bookmarkEnd w:id="109"/>
    <w:bookmarkEnd w:id="110"/>
    <w:bookmarkEnd w:id="111"/>
    <w:p w14:paraId="2A90BF60">
      <w:pPr>
        <w:rPr>
          <w:rFonts w:eastAsia="方正仿宋简体"/>
          <w:sz w:val="24"/>
          <w:szCs w:val="24"/>
        </w:rPr>
      </w:pPr>
    </w:p>
    <w:p w14:paraId="69F38487">
      <w:pPr>
        <w:numPr>
          <w:ilvl w:val="0"/>
          <w:numId w:val="2"/>
        </w:numPr>
        <w:spacing w:line="360" w:lineRule="auto"/>
        <w:ind w:right="-334" w:rightChars="-159"/>
        <w:jc w:val="center"/>
        <w:rPr>
          <w:rFonts w:ascii="宋体" w:hAnsi="宋体" w:cs="宋体"/>
          <w:b/>
          <w:bCs/>
          <w:color w:val="595959"/>
          <w:sz w:val="36"/>
          <w:szCs w:val="36"/>
        </w:rPr>
      </w:pPr>
      <w:r>
        <w:rPr>
          <w:rFonts w:hint="eastAsia" w:ascii="宋体" w:hAnsi="宋体" w:cs="宋体"/>
          <w:b/>
          <w:bCs/>
          <w:color w:val="595959"/>
          <w:sz w:val="36"/>
          <w:szCs w:val="36"/>
        </w:rPr>
        <w:t xml:space="preserve">   项目需求</w:t>
      </w:r>
    </w:p>
    <w:p w14:paraId="0DD36965">
      <w:pPr>
        <w:spacing w:line="360" w:lineRule="auto"/>
        <w:ind w:firstLine="480" w:firstLineChars="200"/>
        <w:rPr>
          <w:rFonts w:ascii="宋体" w:hAnsi="宋体" w:cs="宋体"/>
          <w:sz w:val="24"/>
          <w:szCs w:val="24"/>
        </w:rPr>
      </w:pPr>
      <w:r>
        <w:rPr>
          <w:rFonts w:hint="eastAsia" w:ascii="宋体" w:hAnsi="宋体" w:cs="宋体"/>
          <w:sz w:val="24"/>
          <w:szCs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AFDB6C6">
      <w:pPr>
        <w:pStyle w:val="2"/>
        <w:rPr>
          <w:sz w:val="28"/>
        </w:rPr>
      </w:pPr>
      <w:bookmarkStart w:id="112" w:name="_Toc924"/>
      <w:r>
        <w:rPr>
          <w:rFonts w:hint="eastAsia"/>
          <w:sz w:val="28"/>
        </w:rPr>
        <w:t>1.1 项目背景与现状分析</w:t>
      </w:r>
      <w:bookmarkEnd w:id="112"/>
    </w:p>
    <w:p w14:paraId="7484FAD5">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南通市通州区市场监督管理局（以下简称“通州区市监局”）为适应新时代市场监管需求，自2016年历经“惠民工程”一期、二期、“天网工程（三期）”及多次乡镇扩容，已建设并投入运行了一套覆盖全区、互联互通、功能完善的智慧化市场监管体系。该体系包括前端监控点位、视频会议系统、中心机房云存储、指挥中心以及各类应用软件平台。这些系统是履行食品药品安全、特种设备监管、智慧市场监管等核心职能的重要技术支撑，其稳定、高效、持续运行至关重要。</w:t>
      </w:r>
    </w:p>
    <w:p w14:paraId="330FF652">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项目核心成果包括：</w:t>
      </w:r>
    </w:p>
    <w:p w14:paraId="72FE42AA">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全域感知网络：累计接入全区千余家企业（包括特种设备企业、药店、餐饮、机关企事业食堂、食品加工企业、近视防控企业、冷链企业、液化气充气站、集贸市场、会销企业等），布控近三千个前端监控点位，实现对关键生产经营环节的远程、实时、可视化监管。</w:t>
      </w:r>
    </w:p>
    <w:p w14:paraId="230A0D28">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强大中心枢纽：建设了以集中机房和区级指挥中心为核心的大脑中枢，配备了数十台服务器、海量存储及核心网络设备，搭载了一体化监管平台、视频质量诊断、视频分析等核心系统，保障了数据汇聚与业务高效运行。</w:t>
      </w:r>
    </w:p>
    <w:p w14:paraId="05BA8D9E">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多维应用体系：构建了集视频监控、信息发布、视频会议、移动执法（单兵、车载）、快检实验室、GPS定位、手机APP、舆情监测等于一体的多元化监管手段，实现了从源头到终端、从固定到移动的全链条监管。</w:t>
      </w:r>
    </w:p>
    <w:p w14:paraId="3FCBF7C7">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持续演进能力：通过平台持续升级和乡镇区域扩容，系统接入能力和智能化水平不断提升，展现了良好的扩展性和适应性。</w:t>
      </w:r>
    </w:p>
    <w:p w14:paraId="5FEEF6CD">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目前，整个系统已全面建成并稳定运行，形成了“中心指挥、移动巡查、远程监控、快速响应”的现代化监管新模式，为提升区域食品安全保障水平和市场监管效能奠定了坚实的物质与技术基础。</w:t>
      </w:r>
    </w:p>
    <w:p w14:paraId="7F5C1CFE">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目前，系统已过原厂质保期，需更专业、更及时的日常维护。为保障全局业务的连续性，防范技术风险，提升系统可用性，特制定本维保服务方案，旨在通过系统化、标准化、主动式的运维保障，确保所有信息化资产处于最佳运行状态。</w:t>
      </w:r>
    </w:p>
    <w:p w14:paraId="5857B500">
      <w:pPr>
        <w:pStyle w:val="11"/>
        <w:shd w:val="clear" w:color="auto" w:fill="FFFFFF"/>
        <w:spacing w:before="240" w:beforeAutospacing="0" w:after="240" w:afterAutospacing="0"/>
        <w:jc w:val="both"/>
        <w:rPr>
          <w:rFonts w:hAnsi="宋体"/>
          <w:color w:val="0F1115"/>
          <w:shd w:val="clear" w:color="auto" w:fill="FFFFFF"/>
        </w:rPr>
      </w:pPr>
    </w:p>
    <w:p w14:paraId="1EDE328C">
      <w:pPr>
        <w:pStyle w:val="2"/>
      </w:pPr>
      <w:bookmarkStart w:id="113" w:name="_Toc30859"/>
      <w:r>
        <w:rPr>
          <w:rFonts w:hint="eastAsia"/>
        </w:rPr>
        <w:t>1.2 维保服务范围</w:t>
      </w:r>
      <w:bookmarkEnd w:id="113"/>
    </w:p>
    <w:p w14:paraId="44B7F6BC">
      <w:pPr>
        <w:pStyle w:val="11"/>
        <w:shd w:val="clear" w:color="auto" w:fill="FFFFFF"/>
        <w:spacing w:beforeAutospacing="0" w:afterAutospacing="0" w:line="360" w:lineRule="auto"/>
        <w:ind w:firstLine="480" w:firstLineChars="200"/>
        <w:jc w:val="both"/>
        <w:rPr>
          <w:rFonts w:hAnsi="宋体"/>
          <w:color w:val="auto"/>
          <w:shd w:val="clear" w:color="auto" w:fill="FFFFFF"/>
        </w:rPr>
      </w:pPr>
      <w:r>
        <w:rPr>
          <w:rFonts w:hint="eastAsia" w:hAnsi="宋体"/>
          <w:color w:val="auto"/>
          <w:shd w:val="clear" w:color="auto" w:fill="FFFFFF"/>
        </w:rPr>
        <w:t>维保服务包括人工费、材料费、交通费、维修费、住宿费、税费等所有费用（后端服务器类除外），故障检查排除、例行巡检、线路故障检测、线路迁建等工作。</w:t>
      </w:r>
    </w:p>
    <w:p w14:paraId="1C21CEF8">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本方案维保范围涵盖通州区市监局及其下辖各分局的所有相关软硬件设施，具体包括：</w:t>
      </w:r>
    </w:p>
    <w:p w14:paraId="01C65FEA">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1、前端监控系统：</w:t>
      </w:r>
      <w:r>
        <w:rPr>
          <w:rFonts w:hint="eastAsia" w:hAnsi="宋体"/>
          <w:color w:val="0F1115"/>
          <w:shd w:val="clear" w:color="auto" w:fill="FFFFFF"/>
        </w:rPr>
        <w:t> 遍布全区的药店、餐饮单位、机关企事业食堂、养老中心、食品加工企业、特种设备使用单位等的前端网络摄像机以及配套的录像机、交换机、设备箱、电源适配器等。</w:t>
      </w:r>
    </w:p>
    <w:p w14:paraId="2CFD2F2F">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2、视频会议系统：</w:t>
      </w:r>
      <w:r>
        <w:rPr>
          <w:rFonts w:hint="eastAsia" w:hAnsi="宋体"/>
          <w:color w:val="0F1115"/>
          <w:shd w:val="clear" w:color="auto" w:fill="FFFFFF"/>
        </w:rPr>
        <w:t> 位于市监总局的中心会场及各分局分会场的全套系统，包括扩声系统（功放、音箱、麦克风）、数字会议系统（会议主机、代表单元）、显示系统（液晶显示屏、投影机、拼接屏）、视频系统（视频矩阵、视频会议终端服务器、摄像头）及中央控制系统。</w:t>
      </w:r>
    </w:p>
    <w:p w14:paraId="1D6A716C">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4、云存储与服务器系统：</w:t>
      </w:r>
      <w:r>
        <w:rPr>
          <w:rFonts w:hint="eastAsia" w:hAnsi="宋体"/>
          <w:color w:val="0F1115"/>
          <w:shd w:val="clear" w:color="auto" w:fill="FFFFFF"/>
        </w:rPr>
        <w:t> 位于数据中心的云主机、物理服务器、机箱式核心交换机及相关机柜、存储服务器设备等。</w:t>
      </w:r>
    </w:p>
    <w:p w14:paraId="7BC5EC27">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5、指挥中心系统：</w:t>
      </w:r>
      <w:r>
        <w:rPr>
          <w:rFonts w:hint="eastAsia" w:hAnsi="宋体"/>
          <w:color w:val="0F1115"/>
          <w:shd w:val="clear" w:color="auto" w:fill="FFFFFF"/>
        </w:rPr>
        <w:t> 指挥大厅内的各类应用服务器、数据库服务器、汇聚交换机、网络录音电话系统等。</w:t>
      </w:r>
    </w:p>
    <w:p w14:paraId="28C30459">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6、应用软件系统：</w:t>
      </w:r>
      <w:r>
        <w:rPr>
          <w:rFonts w:hint="eastAsia" w:hAnsi="宋体"/>
          <w:color w:val="0F1115"/>
          <w:shd w:val="clear" w:color="auto" w:fill="FFFFFF"/>
        </w:rPr>
        <w:t> 中心控制平台软件、数据库软件（如Oracle/MySQL/SQL Server）、云存储管理软件、视频会议管理平台等。</w:t>
      </w:r>
    </w:p>
    <w:p w14:paraId="15135A86">
      <w:pPr>
        <w:pStyle w:val="11"/>
        <w:shd w:val="clear" w:color="auto" w:fill="FFFFFF"/>
        <w:spacing w:beforeAutospacing="0" w:afterAutospacing="0" w:line="360" w:lineRule="auto"/>
        <w:ind w:firstLine="482" w:firstLineChars="200"/>
        <w:jc w:val="both"/>
        <w:rPr>
          <w:rFonts w:hAnsi="宋体"/>
          <w:color w:val="0F1115"/>
          <w:shd w:val="clear" w:color="auto" w:fill="FFFFFF"/>
        </w:rPr>
      </w:pPr>
      <w:r>
        <w:rPr>
          <w:rStyle w:val="14"/>
          <w:rFonts w:hint="eastAsia" w:hAnsi="宋体"/>
          <w:color w:val="0F1115"/>
          <w:shd w:val="clear" w:color="auto" w:fill="FFFFFF"/>
        </w:rPr>
        <w:t>7、重大活动保障与专项服务：</w:t>
      </w:r>
      <w:r>
        <w:rPr>
          <w:rFonts w:hint="eastAsia" w:hAnsi="宋体"/>
          <w:color w:val="0F1115"/>
          <w:shd w:val="clear" w:color="auto" w:fill="FFFFFF"/>
        </w:rPr>
        <w:t> 应对重大会议、应急指挥、上级检查等活动的现场技术保障，以及定期的数据库性能优化与历史数据清理等。</w:t>
      </w:r>
    </w:p>
    <w:p w14:paraId="1635DCD5">
      <w:pPr>
        <w:pStyle w:val="2"/>
      </w:pPr>
      <w:bookmarkStart w:id="114" w:name="_Toc1622"/>
      <w:r>
        <w:rPr>
          <w:rFonts w:hint="eastAsia"/>
        </w:rPr>
        <w:t>1.3清单</w:t>
      </w:r>
      <w:bookmarkEnd w:id="114"/>
    </w:p>
    <w:p w14:paraId="249FB655">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本方案维保范围涵盖通州区市监局及其下辖各分局的所有相关软硬件设施，具体包括：</w:t>
      </w:r>
    </w:p>
    <w:p w14:paraId="133C9B9F">
      <w:pPr>
        <w:pStyle w:val="3"/>
      </w:pPr>
      <w:bookmarkStart w:id="115" w:name="_Toc1649"/>
      <w:r>
        <w:rPr>
          <w:rFonts w:hint="eastAsia"/>
        </w:rPr>
        <w:t>1.3.1 维护设备清单</w:t>
      </w:r>
      <w:bookmarkEnd w:id="115"/>
    </w:p>
    <w:tbl>
      <w:tblPr>
        <w:tblStyle w:val="12"/>
        <w:tblW w:w="5000" w:type="pct"/>
        <w:tblInd w:w="0" w:type="dxa"/>
        <w:tblLayout w:type="autofit"/>
        <w:tblCellMar>
          <w:top w:w="0" w:type="dxa"/>
          <w:left w:w="108" w:type="dxa"/>
          <w:bottom w:w="0" w:type="dxa"/>
          <w:right w:w="108" w:type="dxa"/>
        </w:tblCellMar>
      </w:tblPr>
      <w:tblGrid>
        <w:gridCol w:w="1514"/>
        <w:gridCol w:w="1293"/>
        <w:gridCol w:w="3878"/>
        <w:gridCol w:w="970"/>
        <w:gridCol w:w="432"/>
        <w:gridCol w:w="722"/>
        <w:gridCol w:w="433"/>
      </w:tblGrid>
      <w:tr w14:paraId="22A20D55">
        <w:tblPrEx>
          <w:tblCellMar>
            <w:top w:w="0" w:type="dxa"/>
            <w:left w:w="108" w:type="dxa"/>
            <w:bottom w:w="0" w:type="dxa"/>
            <w:right w:w="108" w:type="dxa"/>
          </w:tblCellMar>
        </w:tblPrEx>
        <w:trPr>
          <w:trHeight w:val="570" w:hRule="atLeast"/>
        </w:trPr>
        <w:tc>
          <w:tcPr>
            <w:tcW w:w="5000" w:type="pct"/>
            <w:gridSpan w:val="7"/>
            <w:tcBorders>
              <w:top w:val="nil"/>
              <w:left w:val="nil"/>
              <w:bottom w:val="nil"/>
              <w:right w:val="nil"/>
            </w:tcBorders>
            <w:shd w:val="clear" w:color="000000" w:fill="FFFFFF"/>
            <w:vAlign w:val="center"/>
          </w:tcPr>
          <w:p w14:paraId="1DFB56E0">
            <w:pPr>
              <w:widowControl/>
              <w:jc w:val="center"/>
              <w:rPr>
                <w:rFonts w:ascii="宋体" w:hAnsi="宋体" w:cs="宋体"/>
                <w:b/>
                <w:bCs/>
                <w:kern w:val="0"/>
                <w:sz w:val="28"/>
                <w:szCs w:val="28"/>
              </w:rPr>
            </w:pPr>
            <w:r>
              <w:rPr>
                <w:rFonts w:hint="eastAsia" w:ascii="宋体" w:hAnsi="宋体" w:cs="宋体"/>
                <w:b/>
                <w:bCs/>
                <w:kern w:val="0"/>
                <w:sz w:val="28"/>
                <w:szCs w:val="28"/>
              </w:rPr>
              <w:t>设备清单</w:t>
            </w:r>
          </w:p>
        </w:tc>
      </w:tr>
      <w:tr w14:paraId="78016C26">
        <w:tblPrEx>
          <w:tblCellMar>
            <w:top w:w="0" w:type="dxa"/>
            <w:left w:w="108" w:type="dxa"/>
            <w:bottom w:w="0" w:type="dxa"/>
            <w:right w:w="108" w:type="dxa"/>
          </w:tblCellMar>
        </w:tblPrEx>
        <w:trPr>
          <w:trHeight w:val="570" w:hRule="atLeast"/>
        </w:trPr>
        <w:tc>
          <w:tcPr>
            <w:tcW w:w="441" w:type="pct"/>
            <w:tcBorders>
              <w:top w:val="single" w:color="auto" w:sz="4" w:space="0"/>
              <w:left w:val="single" w:color="auto" w:sz="4" w:space="0"/>
              <w:bottom w:val="single" w:color="auto" w:sz="4" w:space="0"/>
              <w:right w:val="single" w:color="auto" w:sz="4" w:space="0"/>
            </w:tcBorders>
            <w:shd w:val="clear" w:color="000000" w:fill="FFFFFF"/>
            <w:vAlign w:val="center"/>
          </w:tcPr>
          <w:p w14:paraId="6BA415E8">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849" w:type="pct"/>
            <w:tcBorders>
              <w:top w:val="single" w:color="auto" w:sz="4" w:space="0"/>
              <w:left w:val="nil"/>
              <w:bottom w:val="single" w:color="auto" w:sz="4" w:space="0"/>
              <w:right w:val="single" w:color="auto" w:sz="4" w:space="0"/>
            </w:tcBorders>
            <w:shd w:val="clear" w:color="000000" w:fill="FFFFFF"/>
            <w:vAlign w:val="center"/>
          </w:tcPr>
          <w:p w14:paraId="466829C0">
            <w:pPr>
              <w:widowControl/>
              <w:jc w:val="left"/>
              <w:rPr>
                <w:rFonts w:ascii="宋体" w:hAnsi="宋体" w:cs="宋体"/>
                <w:b/>
                <w:bCs/>
                <w:kern w:val="0"/>
                <w:sz w:val="22"/>
                <w:szCs w:val="22"/>
              </w:rPr>
            </w:pPr>
            <w:r>
              <w:rPr>
                <w:rFonts w:hint="eastAsia" w:ascii="宋体" w:hAnsi="宋体" w:cs="宋体"/>
                <w:b/>
                <w:bCs/>
                <w:kern w:val="0"/>
                <w:sz w:val="22"/>
                <w:szCs w:val="22"/>
              </w:rPr>
              <w:t>项目名称</w:t>
            </w:r>
          </w:p>
        </w:tc>
        <w:tc>
          <w:tcPr>
            <w:tcW w:w="2219" w:type="pct"/>
            <w:tcBorders>
              <w:top w:val="single" w:color="auto" w:sz="4" w:space="0"/>
              <w:left w:val="nil"/>
              <w:bottom w:val="single" w:color="auto" w:sz="4" w:space="0"/>
              <w:right w:val="single" w:color="auto" w:sz="4" w:space="0"/>
            </w:tcBorders>
            <w:shd w:val="clear" w:color="000000" w:fill="FFFFFF"/>
            <w:vAlign w:val="center"/>
          </w:tcPr>
          <w:p w14:paraId="37CE470F">
            <w:pPr>
              <w:widowControl/>
              <w:jc w:val="center"/>
              <w:rPr>
                <w:rFonts w:ascii="宋体" w:hAnsi="宋体" w:cs="宋体"/>
                <w:b/>
                <w:bCs/>
                <w:kern w:val="0"/>
                <w:sz w:val="22"/>
                <w:szCs w:val="22"/>
              </w:rPr>
            </w:pPr>
            <w:r>
              <w:rPr>
                <w:rFonts w:hint="eastAsia" w:ascii="宋体" w:hAnsi="宋体" w:cs="宋体"/>
                <w:b/>
                <w:bCs/>
                <w:kern w:val="0"/>
                <w:sz w:val="22"/>
                <w:szCs w:val="22"/>
              </w:rPr>
              <w:t>设备参数</w:t>
            </w:r>
          </w:p>
        </w:tc>
        <w:tc>
          <w:tcPr>
            <w:tcW w:w="344" w:type="pct"/>
            <w:tcBorders>
              <w:top w:val="single" w:color="auto" w:sz="4" w:space="0"/>
              <w:left w:val="nil"/>
              <w:bottom w:val="single" w:color="auto" w:sz="4" w:space="0"/>
              <w:right w:val="single" w:color="auto" w:sz="4" w:space="0"/>
            </w:tcBorders>
            <w:shd w:val="clear" w:color="000000" w:fill="FFFFFF"/>
            <w:vAlign w:val="center"/>
          </w:tcPr>
          <w:p w14:paraId="43EBABBF">
            <w:pPr>
              <w:widowControl/>
              <w:jc w:val="center"/>
              <w:rPr>
                <w:rFonts w:ascii="宋体" w:hAnsi="宋体" w:cs="宋体"/>
                <w:kern w:val="0"/>
                <w:sz w:val="22"/>
                <w:szCs w:val="22"/>
              </w:rPr>
            </w:pPr>
            <w:r>
              <w:rPr>
                <w:rFonts w:hint="eastAsia" w:ascii="宋体" w:hAnsi="宋体" w:cs="宋体"/>
                <w:kern w:val="0"/>
                <w:sz w:val="22"/>
                <w:szCs w:val="22"/>
              </w:rPr>
              <w:t>品牌</w:t>
            </w:r>
          </w:p>
        </w:tc>
        <w:tc>
          <w:tcPr>
            <w:tcW w:w="330" w:type="pct"/>
            <w:tcBorders>
              <w:top w:val="single" w:color="auto" w:sz="4" w:space="0"/>
              <w:left w:val="nil"/>
              <w:bottom w:val="single" w:color="auto" w:sz="4" w:space="0"/>
              <w:right w:val="single" w:color="auto" w:sz="4" w:space="0"/>
            </w:tcBorders>
            <w:shd w:val="clear" w:color="000000" w:fill="FFFFFF"/>
            <w:vAlign w:val="center"/>
          </w:tcPr>
          <w:p w14:paraId="28231BD1">
            <w:pPr>
              <w:widowControl/>
              <w:jc w:val="center"/>
              <w:rPr>
                <w:rFonts w:ascii="宋体" w:hAnsi="宋体" w:cs="宋体"/>
                <w:b/>
                <w:bCs/>
                <w:kern w:val="0"/>
                <w:sz w:val="22"/>
                <w:szCs w:val="22"/>
              </w:rPr>
            </w:pPr>
            <w:r>
              <w:rPr>
                <w:rFonts w:hint="eastAsia" w:ascii="宋体" w:hAnsi="宋体" w:cs="宋体"/>
                <w:b/>
                <w:bCs/>
                <w:kern w:val="0"/>
                <w:sz w:val="22"/>
                <w:szCs w:val="22"/>
              </w:rPr>
              <w:t>单位</w:t>
            </w:r>
          </w:p>
        </w:tc>
        <w:tc>
          <w:tcPr>
            <w:tcW w:w="355" w:type="pct"/>
            <w:tcBorders>
              <w:top w:val="single" w:color="auto" w:sz="4" w:space="0"/>
              <w:left w:val="nil"/>
              <w:bottom w:val="single" w:color="auto" w:sz="4" w:space="0"/>
              <w:right w:val="single" w:color="auto" w:sz="4" w:space="0"/>
            </w:tcBorders>
            <w:shd w:val="clear" w:color="000000" w:fill="FFFFFF"/>
            <w:vAlign w:val="center"/>
          </w:tcPr>
          <w:p w14:paraId="335CEBE1">
            <w:pPr>
              <w:widowControl/>
              <w:jc w:val="center"/>
              <w:rPr>
                <w:rFonts w:ascii="宋体" w:hAnsi="宋体" w:cs="宋体"/>
                <w:b/>
                <w:bCs/>
                <w:kern w:val="0"/>
                <w:sz w:val="22"/>
                <w:szCs w:val="22"/>
              </w:rPr>
            </w:pPr>
            <w:r>
              <w:rPr>
                <w:rFonts w:hint="eastAsia" w:ascii="宋体" w:hAnsi="宋体" w:cs="宋体"/>
                <w:b/>
                <w:bCs/>
                <w:kern w:val="0"/>
                <w:sz w:val="22"/>
                <w:szCs w:val="22"/>
              </w:rPr>
              <w:t>数量</w:t>
            </w:r>
          </w:p>
        </w:tc>
        <w:tc>
          <w:tcPr>
            <w:tcW w:w="462" w:type="pct"/>
            <w:tcBorders>
              <w:top w:val="single" w:color="auto" w:sz="4" w:space="0"/>
              <w:left w:val="nil"/>
              <w:bottom w:val="single" w:color="auto" w:sz="4" w:space="0"/>
              <w:right w:val="single" w:color="auto" w:sz="4" w:space="0"/>
            </w:tcBorders>
            <w:shd w:val="clear" w:color="000000" w:fill="FFFFFF"/>
            <w:vAlign w:val="center"/>
          </w:tcPr>
          <w:p w14:paraId="5A293FE7">
            <w:pPr>
              <w:widowControl/>
              <w:jc w:val="center"/>
              <w:rPr>
                <w:rFonts w:ascii="宋体" w:hAnsi="宋体" w:cs="宋体"/>
                <w:b/>
                <w:bCs/>
                <w:kern w:val="0"/>
                <w:sz w:val="22"/>
                <w:szCs w:val="22"/>
              </w:rPr>
            </w:pPr>
            <w:r>
              <w:rPr>
                <w:rFonts w:hint="eastAsia" w:ascii="宋体" w:hAnsi="宋体" w:cs="宋体"/>
                <w:b/>
                <w:bCs/>
                <w:kern w:val="0"/>
                <w:sz w:val="22"/>
                <w:szCs w:val="22"/>
              </w:rPr>
              <w:t>备注</w:t>
            </w:r>
          </w:p>
        </w:tc>
      </w:tr>
      <w:tr w14:paraId="782EDA85">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noWrap/>
            <w:vAlign w:val="center"/>
          </w:tcPr>
          <w:p w14:paraId="5641198E">
            <w:pPr>
              <w:widowControl/>
              <w:jc w:val="left"/>
              <w:rPr>
                <w:rFonts w:ascii="宋体" w:hAnsi="宋体" w:cs="宋体"/>
                <w:b/>
                <w:bCs/>
                <w:kern w:val="0"/>
                <w:sz w:val="22"/>
                <w:szCs w:val="22"/>
              </w:rPr>
            </w:pPr>
            <w:r>
              <w:rPr>
                <w:rFonts w:hint="eastAsia" w:ascii="宋体" w:hAnsi="宋体" w:cs="宋体"/>
                <w:b/>
                <w:bCs/>
                <w:kern w:val="0"/>
                <w:sz w:val="22"/>
                <w:szCs w:val="22"/>
              </w:rPr>
              <w:t>视频监管系统</w:t>
            </w:r>
          </w:p>
        </w:tc>
        <w:tc>
          <w:tcPr>
            <w:tcW w:w="849" w:type="pct"/>
            <w:tcBorders>
              <w:top w:val="nil"/>
              <w:left w:val="nil"/>
              <w:bottom w:val="single" w:color="auto" w:sz="4" w:space="0"/>
              <w:right w:val="single" w:color="auto" w:sz="4" w:space="0"/>
            </w:tcBorders>
            <w:shd w:val="clear" w:color="000000" w:fill="FFFFFF"/>
            <w:vAlign w:val="center"/>
          </w:tcPr>
          <w:p w14:paraId="73B5300B">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2219" w:type="pct"/>
            <w:tcBorders>
              <w:top w:val="nil"/>
              <w:left w:val="nil"/>
              <w:bottom w:val="single" w:color="auto" w:sz="4" w:space="0"/>
              <w:right w:val="single" w:color="auto" w:sz="4" w:space="0"/>
            </w:tcBorders>
            <w:shd w:val="clear" w:color="000000" w:fill="FFFFFF"/>
            <w:vAlign w:val="center"/>
          </w:tcPr>
          <w:p w14:paraId="4F004C10">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344" w:type="pct"/>
            <w:tcBorders>
              <w:top w:val="nil"/>
              <w:left w:val="nil"/>
              <w:bottom w:val="single" w:color="auto" w:sz="4" w:space="0"/>
              <w:right w:val="single" w:color="auto" w:sz="4" w:space="0"/>
            </w:tcBorders>
            <w:shd w:val="clear" w:color="000000" w:fill="FFFFFF"/>
            <w:vAlign w:val="center"/>
          </w:tcPr>
          <w:p w14:paraId="2875EFB0">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1866097E">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355" w:type="pct"/>
            <w:tcBorders>
              <w:top w:val="nil"/>
              <w:left w:val="nil"/>
              <w:bottom w:val="single" w:color="auto" w:sz="4" w:space="0"/>
              <w:right w:val="single" w:color="auto" w:sz="4" w:space="0"/>
            </w:tcBorders>
            <w:shd w:val="clear" w:color="000000" w:fill="FFFFFF"/>
            <w:vAlign w:val="center"/>
          </w:tcPr>
          <w:p w14:paraId="46C17619">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462" w:type="pct"/>
            <w:tcBorders>
              <w:top w:val="nil"/>
              <w:left w:val="nil"/>
              <w:bottom w:val="single" w:color="auto" w:sz="4" w:space="0"/>
              <w:right w:val="single" w:color="auto" w:sz="4" w:space="0"/>
            </w:tcBorders>
            <w:shd w:val="clear" w:color="000000" w:fill="FFFFFF"/>
            <w:vAlign w:val="center"/>
          </w:tcPr>
          <w:p w14:paraId="54A33BD9">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27CC6863">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CB82750">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849" w:type="pct"/>
            <w:tcBorders>
              <w:top w:val="nil"/>
              <w:left w:val="nil"/>
              <w:bottom w:val="single" w:color="auto" w:sz="4" w:space="0"/>
              <w:right w:val="single" w:color="auto" w:sz="4" w:space="0"/>
            </w:tcBorders>
            <w:shd w:val="clear" w:color="000000" w:fill="FFFFFF"/>
            <w:vAlign w:val="center"/>
          </w:tcPr>
          <w:p w14:paraId="1F4EB300">
            <w:pPr>
              <w:widowControl/>
              <w:jc w:val="left"/>
              <w:rPr>
                <w:rFonts w:ascii="宋体" w:hAnsi="宋体" w:cs="宋体"/>
                <w:kern w:val="0"/>
                <w:sz w:val="22"/>
                <w:szCs w:val="22"/>
              </w:rPr>
            </w:pPr>
            <w:r>
              <w:rPr>
                <w:rFonts w:hint="eastAsia" w:ascii="宋体" w:hAnsi="宋体" w:cs="宋体"/>
                <w:kern w:val="0"/>
                <w:sz w:val="22"/>
                <w:szCs w:val="22"/>
              </w:rPr>
              <w:t>200万低照度网络智能防爆半球</w:t>
            </w:r>
          </w:p>
        </w:tc>
        <w:tc>
          <w:tcPr>
            <w:tcW w:w="2219" w:type="pct"/>
            <w:tcBorders>
              <w:top w:val="nil"/>
              <w:left w:val="nil"/>
              <w:bottom w:val="single" w:color="auto" w:sz="4" w:space="0"/>
              <w:right w:val="single" w:color="auto" w:sz="4" w:space="0"/>
            </w:tcBorders>
            <w:shd w:val="clear" w:color="000000" w:fill="FFFFFF"/>
            <w:vAlign w:val="center"/>
          </w:tcPr>
          <w:p w14:paraId="46B03589">
            <w:pPr>
              <w:widowControl/>
              <w:jc w:val="left"/>
              <w:rPr>
                <w:rFonts w:ascii="宋体" w:hAnsi="宋体" w:cs="宋体"/>
                <w:kern w:val="0"/>
                <w:sz w:val="22"/>
                <w:szCs w:val="22"/>
              </w:rPr>
            </w:pPr>
            <w:r>
              <w:rPr>
                <w:rFonts w:hint="eastAsia" w:ascii="宋体" w:hAnsi="宋体" w:cs="宋体"/>
                <w:kern w:val="0"/>
                <w:sz w:val="22"/>
                <w:szCs w:val="22"/>
              </w:rPr>
              <w:t>200万星光级日夜型防尘防水防暴半球型网络摄像机；（镜头根据现场环境选择，覆盖医保刷卡与执业药师岗）</w:t>
            </w:r>
          </w:p>
        </w:tc>
        <w:tc>
          <w:tcPr>
            <w:tcW w:w="344" w:type="pct"/>
            <w:tcBorders>
              <w:top w:val="nil"/>
              <w:left w:val="nil"/>
              <w:bottom w:val="single" w:color="auto" w:sz="4" w:space="0"/>
              <w:right w:val="single" w:color="auto" w:sz="4" w:space="0"/>
            </w:tcBorders>
            <w:shd w:val="clear" w:color="000000" w:fill="FFFFFF"/>
            <w:vAlign w:val="center"/>
          </w:tcPr>
          <w:p w14:paraId="701585DF">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61328A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7B82638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415 </w:t>
            </w:r>
          </w:p>
        </w:tc>
        <w:tc>
          <w:tcPr>
            <w:tcW w:w="462" w:type="pct"/>
            <w:tcBorders>
              <w:top w:val="nil"/>
              <w:left w:val="nil"/>
              <w:bottom w:val="single" w:color="auto" w:sz="4" w:space="0"/>
              <w:right w:val="single" w:color="auto" w:sz="4" w:space="0"/>
            </w:tcBorders>
            <w:shd w:val="clear" w:color="000000" w:fill="FFFFFF"/>
            <w:vAlign w:val="center"/>
          </w:tcPr>
          <w:p w14:paraId="79328ED7">
            <w:pPr>
              <w:widowControl/>
              <w:jc w:val="left"/>
              <w:rPr>
                <w:rFonts w:ascii="宋体" w:hAnsi="宋体" w:cs="宋体"/>
                <w:kern w:val="0"/>
                <w:sz w:val="22"/>
                <w:szCs w:val="22"/>
              </w:rPr>
            </w:pPr>
            <w:r>
              <w:rPr>
                <w:rFonts w:hint="eastAsia" w:ascii="宋体" w:hAnsi="宋体" w:cs="宋体"/>
                <w:kern w:val="0"/>
                <w:sz w:val="22"/>
                <w:szCs w:val="22"/>
              </w:rPr>
              <w:t>药店</w:t>
            </w:r>
          </w:p>
        </w:tc>
      </w:tr>
      <w:tr w14:paraId="356B4DC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D81BDF3">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849" w:type="pct"/>
            <w:tcBorders>
              <w:top w:val="nil"/>
              <w:left w:val="nil"/>
              <w:bottom w:val="single" w:color="auto" w:sz="4" w:space="0"/>
              <w:right w:val="single" w:color="auto" w:sz="4" w:space="0"/>
            </w:tcBorders>
            <w:shd w:val="clear" w:color="000000" w:fill="FFFFFF"/>
            <w:vAlign w:val="center"/>
          </w:tcPr>
          <w:p w14:paraId="62B93879">
            <w:pPr>
              <w:widowControl/>
              <w:jc w:val="left"/>
              <w:rPr>
                <w:rFonts w:ascii="宋体" w:hAnsi="宋体" w:cs="宋体"/>
                <w:kern w:val="0"/>
                <w:sz w:val="22"/>
                <w:szCs w:val="22"/>
              </w:rPr>
            </w:pPr>
            <w:r>
              <w:rPr>
                <w:rFonts w:hint="eastAsia" w:ascii="宋体" w:hAnsi="宋体" w:cs="宋体"/>
                <w:kern w:val="0"/>
                <w:sz w:val="22"/>
                <w:szCs w:val="22"/>
              </w:rPr>
              <w:t>200万专用防油污摄像机</w:t>
            </w:r>
          </w:p>
        </w:tc>
        <w:tc>
          <w:tcPr>
            <w:tcW w:w="2219" w:type="pct"/>
            <w:tcBorders>
              <w:top w:val="nil"/>
              <w:left w:val="nil"/>
              <w:bottom w:val="single" w:color="auto" w:sz="4" w:space="0"/>
              <w:right w:val="single" w:color="auto" w:sz="4" w:space="0"/>
            </w:tcBorders>
            <w:shd w:val="clear" w:color="000000" w:fill="FFFFFF"/>
            <w:vAlign w:val="center"/>
          </w:tcPr>
          <w:p w14:paraId="4EDAB415">
            <w:pPr>
              <w:widowControl/>
              <w:jc w:val="left"/>
              <w:rPr>
                <w:rFonts w:ascii="宋体" w:hAnsi="宋体" w:cs="宋体"/>
                <w:kern w:val="0"/>
                <w:sz w:val="22"/>
                <w:szCs w:val="22"/>
              </w:rPr>
            </w:pPr>
            <w:r>
              <w:rPr>
                <w:rFonts w:hint="eastAsia" w:ascii="宋体" w:hAnsi="宋体" w:cs="宋体"/>
                <w:kern w:val="0"/>
                <w:sz w:val="22"/>
                <w:szCs w:val="22"/>
              </w:rPr>
              <w:t>200万/阵列红外30米/4mm镜头/DC12V/背光补偿/数字宽动态/ROI/支持标准的128G Micro SD/支持部分智能功能/支持三码流/H.265/25%宽电压/6KV防浪涌/可拆卸镜头护罩，方便清洗，每台需额外增配3个镜头护罩。</w:t>
            </w:r>
          </w:p>
        </w:tc>
        <w:tc>
          <w:tcPr>
            <w:tcW w:w="344" w:type="pct"/>
            <w:tcBorders>
              <w:top w:val="nil"/>
              <w:left w:val="nil"/>
              <w:bottom w:val="single" w:color="auto" w:sz="4" w:space="0"/>
              <w:right w:val="single" w:color="auto" w:sz="4" w:space="0"/>
            </w:tcBorders>
            <w:shd w:val="clear" w:color="000000" w:fill="FFFFFF"/>
            <w:vAlign w:val="center"/>
          </w:tcPr>
          <w:p w14:paraId="3E070839">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08048B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3BC243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142 </w:t>
            </w:r>
          </w:p>
        </w:tc>
        <w:tc>
          <w:tcPr>
            <w:tcW w:w="462" w:type="pct"/>
            <w:tcBorders>
              <w:top w:val="nil"/>
              <w:left w:val="nil"/>
              <w:bottom w:val="single" w:color="auto" w:sz="4" w:space="0"/>
              <w:right w:val="single" w:color="auto" w:sz="4" w:space="0"/>
            </w:tcBorders>
            <w:shd w:val="clear" w:color="000000" w:fill="FFFFFF"/>
            <w:vAlign w:val="center"/>
          </w:tcPr>
          <w:p w14:paraId="21E96744">
            <w:pPr>
              <w:widowControl/>
              <w:jc w:val="left"/>
              <w:rPr>
                <w:rFonts w:ascii="宋体" w:hAnsi="宋体" w:cs="宋体"/>
                <w:kern w:val="0"/>
                <w:sz w:val="22"/>
                <w:szCs w:val="22"/>
              </w:rPr>
            </w:pPr>
            <w:r>
              <w:rPr>
                <w:rFonts w:hint="eastAsia" w:ascii="宋体" w:hAnsi="宋体" w:cs="宋体"/>
                <w:kern w:val="0"/>
                <w:sz w:val="22"/>
                <w:szCs w:val="22"/>
              </w:rPr>
              <w:t>餐饮服务店</w:t>
            </w:r>
          </w:p>
        </w:tc>
      </w:tr>
      <w:tr w14:paraId="0A68577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D61ADC9">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849" w:type="pct"/>
            <w:tcBorders>
              <w:top w:val="nil"/>
              <w:left w:val="nil"/>
              <w:bottom w:val="single" w:color="auto" w:sz="4" w:space="0"/>
              <w:right w:val="single" w:color="auto" w:sz="4" w:space="0"/>
            </w:tcBorders>
            <w:shd w:val="clear" w:color="000000" w:fill="FFFFFF"/>
            <w:vAlign w:val="center"/>
          </w:tcPr>
          <w:p w14:paraId="03DA7C75">
            <w:pPr>
              <w:widowControl/>
              <w:jc w:val="left"/>
              <w:rPr>
                <w:rFonts w:ascii="宋体" w:hAnsi="宋体" w:cs="宋体"/>
                <w:kern w:val="0"/>
                <w:sz w:val="22"/>
                <w:szCs w:val="22"/>
              </w:rPr>
            </w:pPr>
            <w:r>
              <w:rPr>
                <w:rFonts w:hint="eastAsia" w:ascii="宋体" w:hAnsi="宋体" w:cs="宋体"/>
                <w:kern w:val="0"/>
                <w:sz w:val="22"/>
                <w:szCs w:val="22"/>
              </w:rPr>
              <w:t>食品加工</w:t>
            </w:r>
          </w:p>
        </w:tc>
        <w:tc>
          <w:tcPr>
            <w:tcW w:w="2219" w:type="pct"/>
            <w:tcBorders>
              <w:top w:val="nil"/>
              <w:left w:val="nil"/>
              <w:bottom w:val="single" w:color="auto" w:sz="4" w:space="0"/>
              <w:right w:val="single" w:color="auto" w:sz="4" w:space="0"/>
            </w:tcBorders>
            <w:shd w:val="clear" w:color="000000" w:fill="FFFFFF"/>
            <w:vAlign w:val="center"/>
          </w:tcPr>
          <w:p w14:paraId="7BE15957">
            <w:pPr>
              <w:widowControl/>
              <w:jc w:val="left"/>
              <w:rPr>
                <w:rFonts w:ascii="宋体" w:hAnsi="宋体" w:cs="宋体"/>
                <w:kern w:val="0"/>
                <w:sz w:val="22"/>
                <w:szCs w:val="22"/>
              </w:rPr>
            </w:pPr>
            <w:r>
              <w:rPr>
                <w:rFonts w:hint="eastAsia" w:ascii="宋体" w:hAnsi="宋体" w:cs="宋体"/>
                <w:kern w:val="0"/>
                <w:sz w:val="22"/>
                <w:szCs w:val="22"/>
              </w:rPr>
              <w:t>　</w:t>
            </w:r>
          </w:p>
        </w:tc>
        <w:tc>
          <w:tcPr>
            <w:tcW w:w="344" w:type="pct"/>
            <w:tcBorders>
              <w:top w:val="nil"/>
              <w:left w:val="nil"/>
              <w:bottom w:val="single" w:color="auto" w:sz="4" w:space="0"/>
              <w:right w:val="single" w:color="auto" w:sz="4" w:space="0"/>
            </w:tcBorders>
            <w:shd w:val="clear" w:color="000000" w:fill="FFFFFF"/>
            <w:vAlign w:val="center"/>
          </w:tcPr>
          <w:p w14:paraId="63948B6F">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005B088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225382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163 </w:t>
            </w:r>
          </w:p>
        </w:tc>
        <w:tc>
          <w:tcPr>
            <w:tcW w:w="462" w:type="pct"/>
            <w:tcBorders>
              <w:top w:val="nil"/>
              <w:left w:val="nil"/>
              <w:bottom w:val="single" w:color="auto" w:sz="4" w:space="0"/>
              <w:right w:val="single" w:color="auto" w:sz="4" w:space="0"/>
            </w:tcBorders>
            <w:shd w:val="clear" w:color="000000" w:fill="FFFFFF"/>
            <w:vAlign w:val="center"/>
          </w:tcPr>
          <w:p w14:paraId="56BC021D">
            <w:pPr>
              <w:widowControl/>
              <w:jc w:val="left"/>
              <w:rPr>
                <w:rFonts w:ascii="宋体" w:hAnsi="宋体" w:cs="宋体"/>
                <w:kern w:val="0"/>
                <w:sz w:val="22"/>
                <w:szCs w:val="22"/>
              </w:rPr>
            </w:pPr>
            <w:r>
              <w:rPr>
                <w:rFonts w:hint="eastAsia" w:ascii="宋体" w:hAnsi="宋体" w:cs="宋体"/>
                <w:kern w:val="0"/>
                <w:sz w:val="22"/>
                <w:szCs w:val="22"/>
              </w:rPr>
              <w:t>　</w:t>
            </w:r>
          </w:p>
        </w:tc>
      </w:tr>
      <w:tr w14:paraId="325497B0">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5E77C41">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849" w:type="pct"/>
            <w:tcBorders>
              <w:top w:val="nil"/>
              <w:left w:val="nil"/>
              <w:bottom w:val="single" w:color="auto" w:sz="4" w:space="0"/>
              <w:right w:val="single" w:color="auto" w:sz="4" w:space="0"/>
            </w:tcBorders>
            <w:shd w:val="clear" w:color="000000" w:fill="FFFFFF"/>
            <w:vAlign w:val="center"/>
          </w:tcPr>
          <w:p w14:paraId="77999D03">
            <w:pPr>
              <w:widowControl/>
              <w:jc w:val="left"/>
              <w:rPr>
                <w:rFonts w:ascii="宋体" w:hAnsi="宋体" w:cs="宋体"/>
                <w:kern w:val="0"/>
                <w:sz w:val="22"/>
                <w:szCs w:val="22"/>
              </w:rPr>
            </w:pPr>
            <w:r>
              <w:rPr>
                <w:rFonts w:hint="eastAsia" w:ascii="宋体" w:hAnsi="宋体" w:cs="宋体"/>
                <w:kern w:val="0"/>
                <w:sz w:val="22"/>
                <w:szCs w:val="22"/>
              </w:rPr>
              <w:t>食堂</w:t>
            </w:r>
          </w:p>
        </w:tc>
        <w:tc>
          <w:tcPr>
            <w:tcW w:w="2219" w:type="pct"/>
            <w:tcBorders>
              <w:top w:val="nil"/>
              <w:left w:val="nil"/>
              <w:bottom w:val="single" w:color="auto" w:sz="4" w:space="0"/>
              <w:right w:val="single" w:color="auto" w:sz="4" w:space="0"/>
            </w:tcBorders>
            <w:shd w:val="clear" w:color="000000" w:fill="FFFFFF"/>
            <w:vAlign w:val="center"/>
          </w:tcPr>
          <w:p w14:paraId="4D4304EF">
            <w:pPr>
              <w:widowControl/>
              <w:jc w:val="left"/>
              <w:rPr>
                <w:rFonts w:ascii="宋体" w:hAnsi="宋体" w:cs="宋体"/>
                <w:kern w:val="0"/>
                <w:sz w:val="22"/>
                <w:szCs w:val="22"/>
              </w:rPr>
            </w:pPr>
            <w:r>
              <w:rPr>
                <w:rFonts w:hint="eastAsia" w:ascii="宋体" w:hAnsi="宋体" w:cs="宋体"/>
                <w:kern w:val="0"/>
                <w:sz w:val="22"/>
                <w:szCs w:val="22"/>
              </w:rPr>
              <w:t>前端视频接入</w:t>
            </w:r>
          </w:p>
        </w:tc>
        <w:tc>
          <w:tcPr>
            <w:tcW w:w="344" w:type="pct"/>
            <w:tcBorders>
              <w:top w:val="nil"/>
              <w:left w:val="nil"/>
              <w:bottom w:val="single" w:color="auto" w:sz="4" w:space="0"/>
              <w:right w:val="single" w:color="auto" w:sz="4" w:space="0"/>
            </w:tcBorders>
            <w:shd w:val="clear" w:color="000000" w:fill="FFFFFF"/>
            <w:vAlign w:val="center"/>
          </w:tcPr>
          <w:p w14:paraId="789A6E7C">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04203B4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1955794">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189 </w:t>
            </w:r>
          </w:p>
        </w:tc>
        <w:tc>
          <w:tcPr>
            <w:tcW w:w="462" w:type="pct"/>
            <w:tcBorders>
              <w:top w:val="nil"/>
              <w:left w:val="nil"/>
              <w:bottom w:val="single" w:color="auto" w:sz="4" w:space="0"/>
              <w:right w:val="single" w:color="auto" w:sz="4" w:space="0"/>
            </w:tcBorders>
            <w:shd w:val="clear" w:color="000000" w:fill="FFFFFF"/>
            <w:vAlign w:val="center"/>
          </w:tcPr>
          <w:p w14:paraId="7145384C">
            <w:pPr>
              <w:widowControl/>
              <w:jc w:val="left"/>
              <w:rPr>
                <w:rFonts w:ascii="宋体" w:hAnsi="宋体" w:cs="宋体"/>
                <w:kern w:val="0"/>
                <w:sz w:val="22"/>
                <w:szCs w:val="22"/>
              </w:rPr>
            </w:pPr>
            <w:r>
              <w:rPr>
                <w:rFonts w:hint="eastAsia" w:ascii="宋体" w:hAnsi="宋体" w:cs="宋体"/>
                <w:kern w:val="0"/>
                <w:sz w:val="22"/>
                <w:szCs w:val="22"/>
              </w:rPr>
              <w:t>　</w:t>
            </w:r>
          </w:p>
        </w:tc>
      </w:tr>
      <w:tr w14:paraId="098811F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1DA654F">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849" w:type="pct"/>
            <w:tcBorders>
              <w:top w:val="nil"/>
              <w:left w:val="nil"/>
              <w:bottom w:val="single" w:color="auto" w:sz="4" w:space="0"/>
              <w:right w:val="single" w:color="auto" w:sz="4" w:space="0"/>
            </w:tcBorders>
            <w:shd w:val="clear" w:color="000000" w:fill="FFFFFF"/>
            <w:vAlign w:val="center"/>
          </w:tcPr>
          <w:p w14:paraId="156F6669">
            <w:pPr>
              <w:widowControl/>
              <w:jc w:val="left"/>
              <w:rPr>
                <w:rFonts w:ascii="宋体" w:hAnsi="宋体" w:cs="宋体"/>
                <w:kern w:val="0"/>
                <w:sz w:val="22"/>
                <w:szCs w:val="22"/>
              </w:rPr>
            </w:pPr>
            <w:r>
              <w:rPr>
                <w:rFonts w:hint="eastAsia" w:ascii="宋体" w:hAnsi="宋体" w:cs="宋体"/>
                <w:kern w:val="0"/>
                <w:sz w:val="22"/>
                <w:szCs w:val="22"/>
              </w:rPr>
              <w:t>液化气</w:t>
            </w:r>
          </w:p>
        </w:tc>
        <w:tc>
          <w:tcPr>
            <w:tcW w:w="2219" w:type="pct"/>
            <w:tcBorders>
              <w:top w:val="nil"/>
              <w:left w:val="nil"/>
              <w:bottom w:val="single" w:color="auto" w:sz="4" w:space="0"/>
              <w:right w:val="single" w:color="auto" w:sz="4" w:space="0"/>
            </w:tcBorders>
            <w:shd w:val="clear" w:color="000000" w:fill="FFFFFF"/>
            <w:vAlign w:val="center"/>
          </w:tcPr>
          <w:p w14:paraId="08AB9215">
            <w:pPr>
              <w:widowControl/>
              <w:jc w:val="left"/>
              <w:rPr>
                <w:rFonts w:ascii="宋体" w:hAnsi="宋体" w:cs="宋体"/>
                <w:kern w:val="0"/>
                <w:sz w:val="22"/>
                <w:szCs w:val="22"/>
              </w:rPr>
            </w:pPr>
            <w:r>
              <w:rPr>
                <w:rFonts w:hint="eastAsia" w:ascii="宋体" w:hAnsi="宋体" w:cs="宋体"/>
                <w:kern w:val="0"/>
                <w:sz w:val="22"/>
                <w:szCs w:val="22"/>
              </w:rPr>
              <w:t>前端视频接入</w:t>
            </w:r>
          </w:p>
        </w:tc>
        <w:tc>
          <w:tcPr>
            <w:tcW w:w="344" w:type="pct"/>
            <w:tcBorders>
              <w:top w:val="nil"/>
              <w:left w:val="nil"/>
              <w:bottom w:val="single" w:color="auto" w:sz="4" w:space="0"/>
              <w:right w:val="single" w:color="auto" w:sz="4" w:space="0"/>
            </w:tcBorders>
            <w:shd w:val="clear" w:color="000000" w:fill="FFFFFF"/>
            <w:vAlign w:val="center"/>
          </w:tcPr>
          <w:p w14:paraId="060ED583">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037A215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AC30F8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40 </w:t>
            </w:r>
          </w:p>
        </w:tc>
        <w:tc>
          <w:tcPr>
            <w:tcW w:w="462" w:type="pct"/>
            <w:tcBorders>
              <w:top w:val="nil"/>
              <w:left w:val="nil"/>
              <w:bottom w:val="single" w:color="auto" w:sz="4" w:space="0"/>
              <w:right w:val="single" w:color="auto" w:sz="4" w:space="0"/>
            </w:tcBorders>
            <w:shd w:val="clear" w:color="000000" w:fill="FFFFFF"/>
            <w:vAlign w:val="center"/>
          </w:tcPr>
          <w:p w14:paraId="00E7537C">
            <w:pPr>
              <w:widowControl/>
              <w:jc w:val="left"/>
              <w:rPr>
                <w:rFonts w:ascii="宋体" w:hAnsi="宋体" w:cs="宋体"/>
                <w:kern w:val="0"/>
                <w:sz w:val="22"/>
                <w:szCs w:val="22"/>
              </w:rPr>
            </w:pPr>
            <w:r>
              <w:rPr>
                <w:rFonts w:hint="eastAsia" w:ascii="宋体" w:hAnsi="宋体" w:cs="宋体"/>
                <w:kern w:val="0"/>
                <w:sz w:val="22"/>
                <w:szCs w:val="22"/>
              </w:rPr>
              <w:t>　</w:t>
            </w:r>
          </w:p>
        </w:tc>
      </w:tr>
      <w:tr w14:paraId="127863C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ADB9563">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849" w:type="pct"/>
            <w:tcBorders>
              <w:top w:val="nil"/>
              <w:left w:val="nil"/>
              <w:bottom w:val="single" w:color="auto" w:sz="4" w:space="0"/>
              <w:right w:val="single" w:color="auto" w:sz="4" w:space="0"/>
            </w:tcBorders>
            <w:shd w:val="clear" w:color="000000" w:fill="FFFFFF"/>
            <w:vAlign w:val="center"/>
          </w:tcPr>
          <w:p w14:paraId="0CF74B12">
            <w:pPr>
              <w:widowControl/>
              <w:jc w:val="left"/>
              <w:rPr>
                <w:rFonts w:ascii="宋体" w:hAnsi="宋体" w:cs="宋体"/>
                <w:kern w:val="0"/>
                <w:sz w:val="22"/>
                <w:szCs w:val="22"/>
              </w:rPr>
            </w:pPr>
            <w:r>
              <w:rPr>
                <w:rFonts w:hint="eastAsia" w:ascii="宋体" w:hAnsi="宋体" w:cs="宋体"/>
                <w:kern w:val="0"/>
                <w:sz w:val="22"/>
                <w:szCs w:val="22"/>
              </w:rPr>
              <w:t>特种设备</w:t>
            </w:r>
          </w:p>
        </w:tc>
        <w:tc>
          <w:tcPr>
            <w:tcW w:w="2219" w:type="pct"/>
            <w:tcBorders>
              <w:top w:val="nil"/>
              <w:left w:val="nil"/>
              <w:bottom w:val="single" w:color="auto" w:sz="4" w:space="0"/>
              <w:right w:val="single" w:color="auto" w:sz="4" w:space="0"/>
            </w:tcBorders>
            <w:shd w:val="clear" w:color="000000" w:fill="FFFFFF"/>
            <w:vAlign w:val="center"/>
          </w:tcPr>
          <w:p w14:paraId="0D751489">
            <w:pPr>
              <w:widowControl/>
              <w:jc w:val="left"/>
              <w:rPr>
                <w:rFonts w:ascii="宋体" w:hAnsi="宋体" w:cs="宋体"/>
                <w:kern w:val="0"/>
                <w:sz w:val="22"/>
                <w:szCs w:val="22"/>
              </w:rPr>
            </w:pPr>
            <w:r>
              <w:rPr>
                <w:rFonts w:hint="eastAsia" w:ascii="宋体" w:hAnsi="宋体" w:cs="宋体"/>
                <w:kern w:val="0"/>
                <w:sz w:val="22"/>
                <w:szCs w:val="22"/>
              </w:rPr>
              <w:t>前端视频接入</w:t>
            </w:r>
          </w:p>
        </w:tc>
        <w:tc>
          <w:tcPr>
            <w:tcW w:w="344" w:type="pct"/>
            <w:tcBorders>
              <w:top w:val="nil"/>
              <w:left w:val="nil"/>
              <w:bottom w:val="single" w:color="auto" w:sz="4" w:space="0"/>
              <w:right w:val="single" w:color="auto" w:sz="4" w:space="0"/>
            </w:tcBorders>
            <w:shd w:val="clear" w:color="000000" w:fill="FFFFFF"/>
            <w:vAlign w:val="center"/>
          </w:tcPr>
          <w:p w14:paraId="280996D4">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52886B8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165EA0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1563 </w:t>
            </w:r>
          </w:p>
        </w:tc>
        <w:tc>
          <w:tcPr>
            <w:tcW w:w="462" w:type="pct"/>
            <w:tcBorders>
              <w:top w:val="nil"/>
              <w:left w:val="nil"/>
              <w:bottom w:val="single" w:color="auto" w:sz="4" w:space="0"/>
              <w:right w:val="single" w:color="auto" w:sz="4" w:space="0"/>
            </w:tcBorders>
            <w:shd w:val="clear" w:color="000000" w:fill="FFFFFF"/>
            <w:vAlign w:val="center"/>
          </w:tcPr>
          <w:p w14:paraId="12BE060E">
            <w:pPr>
              <w:widowControl/>
              <w:jc w:val="left"/>
              <w:rPr>
                <w:rFonts w:ascii="宋体" w:hAnsi="宋体" w:cs="宋体"/>
                <w:kern w:val="0"/>
                <w:sz w:val="22"/>
                <w:szCs w:val="22"/>
              </w:rPr>
            </w:pPr>
            <w:r>
              <w:rPr>
                <w:rFonts w:hint="eastAsia" w:ascii="宋体" w:hAnsi="宋体" w:cs="宋体"/>
                <w:kern w:val="0"/>
                <w:sz w:val="22"/>
                <w:szCs w:val="22"/>
              </w:rPr>
              <w:t>　</w:t>
            </w:r>
          </w:p>
        </w:tc>
      </w:tr>
      <w:tr w14:paraId="1313064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7324FD1">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849" w:type="pct"/>
            <w:tcBorders>
              <w:top w:val="nil"/>
              <w:left w:val="nil"/>
              <w:bottom w:val="single" w:color="auto" w:sz="4" w:space="0"/>
              <w:right w:val="single" w:color="auto" w:sz="4" w:space="0"/>
            </w:tcBorders>
            <w:shd w:val="clear" w:color="000000" w:fill="FFFFFF"/>
            <w:vAlign w:val="center"/>
          </w:tcPr>
          <w:p w14:paraId="67351998">
            <w:pPr>
              <w:widowControl/>
              <w:jc w:val="left"/>
              <w:rPr>
                <w:rFonts w:ascii="宋体" w:hAnsi="宋体" w:cs="宋体"/>
                <w:kern w:val="0"/>
                <w:sz w:val="22"/>
                <w:szCs w:val="22"/>
              </w:rPr>
            </w:pPr>
            <w:r>
              <w:rPr>
                <w:rFonts w:hint="eastAsia" w:ascii="宋体" w:hAnsi="宋体" w:cs="宋体"/>
                <w:kern w:val="0"/>
                <w:sz w:val="22"/>
                <w:szCs w:val="22"/>
              </w:rPr>
              <w:t>近视防控</w:t>
            </w:r>
          </w:p>
        </w:tc>
        <w:tc>
          <w:tcPr>
            <w:tcW w:w="2219" w:type="pct"/>
            <w:tcBorders>
              <w:top w:val="nil"/>
              <w:left w:val="nil"/>
              <w:bottom w:val="single" w:color="auto" w:sz="4" w:space="0"/>
              <w:right w:val="single" w:color="auto" w:sz="4" w:space="0"/>
            </w:tcBorders>
            <w:shd w:val="clear" w:color="000000" w:fill="FFFFFF"/>
            <w:vAlign w:val="center"/>
          </w:tcPr>
          <w:p w14:paraId="6C88048F">
            <w:pPr>
              <w:widowControl/>
              <w:jc w:val="left"/>
              <w:rPr>
                <w:rFonts w:ascii="宋体" w:hAnsi="宋体" w:cs="宋体"/>
                <w:kern w:val="0"/>
                <w:sz w:val="22"/>
                <w:szCs w:val="22"/>
              </w:rPr>
            </w:pPr>
            <w:r>
              <w:rPr>
                <w:rFonts w:hint="eastAsia" w:ascii="宋体" w:hAnsi="宋体" w:cs="宋体"/>
                <w:kern w:val="0"/>
                <w:sz w:val="22"/>
                <w:szCs w:val="22"/>
              </w:rPr>
              <w:t>前端视频接入</w:t>
            </w:r>
          </w:p>
        </w:tc>
        <w:tc>
          <w:tcPr>
            <w:tcW w:w="344" w:type="pct"/>
            <w:tcBorders>
              <w:top w:val="nil"/>
              <w:left w:val="nil"/>
              <w:bottom w:val="single" w:color="auto" w:sz="4" w:space="0"/>
              <w:right w:val="single" w:color="auto" w:sz="4" w:space="0"/>
            </w:tcBorders>
            <w:shd w:val="clear" w:color="000000" w:fill="FFFFFF"/>
            <w:vAlign w:val="center"/>
          </w:tcPr>
          <w:p w14:paraId="247C88F4">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51F489E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445B1D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45 </w:t>
            </w:r>
          </w:p>
        </w:tc>
        <w:tc>
          <w:tcPr>
            <w:tcW w:w="462" w:type="pct"/>
            <w:tcBorders>
              <w:top w:val="nil"/>
              <w:left w:val="nil"/>
              <w:bottom w:val="single" w:color="auto" w:sz="4" w:space="0"/>
              <w:right w:val="single" w:color="auto" w:sz="4" w:space="0"/>
            </w:tcBorders>
            <w:shd w:val="clear" w:color="000000" w:fill="FFFFFF"/>
            <w:vAlign w:val="center"/>
          </w:tcPr>
          <w:p w14:paraId="374A5E6D">
            <w:pPr>
              <w:widowControl/>
              <w:jc w:val="left"/>
              <w:rPr>
                <w:rFonts w:ascii="宋体" w:hAnsi="宋体" w:cs="宋体"/>
                <w:kern w:val="0"/>
                <w:sz w:val="22"/>
                <w:szCs w:val="22"/>
              </w:rPr>
            </w:pPr>
            <w:r>
              <w:rPr>
                <w:rFonts w:hint="eastAsia" w:ascii="宋体" w:hAnsi="宋体" w:cs="宋体"/>
                <w:kern w:val="0"/>
                <w:sz w:val="22"/>
                <w:szCs w:val="22"/>
              </w:rPr>
              <w:t>　</w:t>
            </w:r>
          </w:p>
        </w:tc>
      </w:tr>
      <w:tr w14:paraId="186D23E0">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7C32FE6">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849" w:type="pct"/>
            <w:tcBorders>
              <w:top w:val="nil"/>
              <w:left w:val="nil"/>
              <w:bottom w:val="single" w:color="auto" w:sz="4" w:space="0"/>
              <w:right w:val="single" w:color="auto" w:sz="4" w:space="0"/>
            </w:tcBorders>
            <w:shd w:val="clear" w:color="000000" w:fill="FFFFFF"/>
            <w:vAlign w:val="center"/>
          </w:tcPr>
          <w:p w14:paraId="4A7BEF25">
            <w:pPr>
              <w:widowControl/>
              <w:jc w:val="left"/>
              <w:rPr>
                <w:rFonts w:ascii="宋体" w:hAnsi="宋体" w:cs="宋体"/>
                <w:kern w:val="0"/>
                <w:sz w:val="22"/>
                <w:szCs w:val="22"/>
              </w:rPr>
            </w:pPr>
            <w:r>
              <w:rPr>
                <w:rFonts w:hint="eastAsia" w:ascii="宋体" w:hAnsi="宋体" w:cs="宋体"/>
                <w:kern w:val="0"/>
                <w:sz w:val="22"/>
                <w:szCs w:val="22"/>
              </w:rPr>
              <w:t>会销</w:t>
            </w:r>
          </w:p>
        </w:tc>
        <w:tc>
          <w:tcPr>
            <w:tcW w:w="2219" w:type="pct"/>
            <w:tcBorders>
              <w:top w:val="nil"/>
              <w:left w:val="nil"/>
              <w:bottom w:val="single" w:color="auto" w:sz="4" w:space="0"/>
              <w:right w:val="single" w:color="auto" w:sz="4" w:space="0"/>
            </w:tcBorders>
            <w:shd w:val="clear" w:color="000000" w:fill="FFFFFF"/>
            <w:vAlign w:val="center"/>
          </w:tcPr>
          <w:p w14:paraId="1D44FBA9">
            <w:pPr>
              <w:widowControl/>
              <w:jc w:val="left"/>
              <w:rPr>
                <w:rFonts w:ascii="宋体" w:hAnsi="宋体" w:cs="宋体"/>
                <w:kern w:val="0"/>
                <w:sz w:val="22"/>
                <w:szCs w:val="22"/>
              </w:rPr>
            </w:pPr>
            <w:r>
              <w:rPr>
                <w:rFonts w:hint="eastAsia" w:ascii="宋体" w:hAnsi="宋体" w:cs="宋体"/>
                <w:kern w:val="0"/>
                <w:sz w:val="22"/>
                <w:szCs w:val="22"/>
              </w:rPr>
              <w:t>前端视频接入</w:t>
            </w:r>
          </w:p>
        </w:tc>
        <w:tc>
          <w:tcPr>
            <w:tcW w:w="344" w:type="pct"/>
            <w:tcBorders>
              <w:top w:val="nil"/>
              <w:left w:val="nil"/>
              <w:bottom w:val="single" w:color="auto" w:sz="4" w:space="0"/>
              <w:right w:val="single" w:color="auto" w:sz="4" w:space="0"/>
            </w:tcBorders>
            <w:shd w:val="clear" w:color="000000" w:fill="FFFFFF"/>
            <w:vAlign w:val="center"/>
          </w:tcPr>
          <w:p w14:paraId="534D6796">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34A8D3D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2E7D824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8 </w:t>
            </w:r>
          </w:p>
        </w:tc>
        <w:tc>
          <w:tcPr>
            <w:tcW w:w="462" w:type="pct"/>
            <w:tcBorders>
              <w:top w:val="nil"/>
              <w:left w:val="nil"/>
              <w:bottom w:val="single" w:color="auto" w:sz="4" w:space="0"/>
              <w:right w:val="single" w:color="auto" w:sz="4" w:space="0"/>
            </w:tcBorders>
            <w:shd w:val="clear" w:color="000000" w:fill="FFFFFF"/>
            <w:vAlign w:val="center"/>
          </w:tcPr>
          <w:p w14:paraId="5D7772C5">
            <w:pPr>
              <w:widowControl/>
              <w:jc w:val="left"/>
              <w:rPr>
                <w:rFonts w:ascii="宋体" w:hAnsi="宋体" w:cs="宋体"/>
                <w:kern w:val="0"/>
                <w:sz w:val="22"/>
                <w:szCs w:val="22"/>
              </w:rPr>
            </w:pPr>
            <w:r>
              <w:rPr>
                <w:rFonts w:hint="eastAsia" w:ascii="宋体" w:hAnsi="宋体" w:cs="宋体"/>
                <w:kern w:val="0"/>
                <w:sz w:val="22"/>
                <w:szCs w:val="22"/>
              </w:rPr>
              <w:t>　</w:t>
            </w:r>
          </w:p>
        </w:tc>
      </w:tr>
      <w:tr w14:paraId="5B3DB091">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C3A55E6">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849" w:type="pct"/>
            <w:tcBorders>
              <w:top w:val="nil"/>
              <w:left w:val="nil"/>
              <w:bottom w:val="single" w:color="auto" w:sz="4" w:space="0"/>
              <w:right w:val="single" w:color="auto" w:sz="4" w:space="0"/>
            </w:tcBorders>
            <w:shd w:val="clear" w:color="000000" w:fill="FFFFFF"/>
            <w:vAlign w:val="center"/>
          </w:tcPr>
          <w:p w14:paraId="1FF64A19">
            <w:pPr>
              <w:widowControl/>
              <w:jc w:val="left"/>
              <w:rPr>
                <w:rFonts w:ascii="宋体" w:hAnsi="宋体" w:cs="宋体"/>
                <w:kern w:val="0"/>
                <w:sz w:val="22"/>
                <w:szCs w:val="22"/>
              </w:rPr>
            </w:pPr>
            <w:r>
              <w:rPr>
                <w:rFonts w:hint="eastAsia" w:ascii="宋体" w:hAnsi="宋体" w:cs="宋体"/>
                <w:kern w:val="0"/>
                <w:sz w:val="22"/>
                <w:szCs w:val="22"/>
              </w:rPr>
              <w:t>其它</w:t>
            </w:r>
          </w:p>
        </w:tc>
        <w:tc>
          <w:tcPr>
            <w:tcW w:w="2219" w:type="pct"/>
            <w:tcBorders>
              <w:top w:val="nil"/>
              <w:left w:val="nil"/>
              <w:bottom w:val="single" w:color="auto" w:sz="4" w:space="0"/>
              <w:right w:val="single" w:color="auto" w:sz="4" w:space="0"/>
            </w:tcBorders>
            <w:shd w:val="clear" w:color="000000" w:fill="FFFFFF"/>
            <w:vAlign w:val="center"/>
          </w:tcPr>
          <w:p w14:paraId="18F11188">
            <w:pPr>
              <w:widowControl/>
              <w:jc w:val="left"/>
              <w:rPr>
                <w:rFonts w:ascii="宋体" w:hAnsi="宋体" w:cs="宋体"/>
                <w:kern w:val="0"/>
                <w:sz w:val="22"/>
                <w:szCs w:val="22"/>
              </w:rPr>
            </w:pPr>
            <w:r>
              <w:rPr>
                <w:rFonts w:hint="eastAsia" w:ascii="宋体" w:hAnsi="宋体" w:cs="宋体"/>
                <w:kern w:val="0"/>
                <w:sz w:val="22"/>
                <w:szCs w:val="22"/>
              </w:rPr>
              <w:t>前端视频接入</w:t>
            </w:r>
          </w:p>
        </w:tc>
        <w:tc>
          <w:tcPr>
            <w:tcW w:w="344" w:type="pct"/>
            <w:tcBorders>
              <w:top w:val="nil"/>
              <w:left w:val="nil"/>
              <w:bottom w:val="single" w:color="auto" w:sz="4" w:space="0"/>
              <w:right w:val="single" w:color="auto" w:sz="4" w:space="0"/>
            </w:tcBorders>
            <w:shd w:val="clear" w:color="000000" w:fill="FFFFFF"/>
            <w:vAlign w:val="center"/>
          </w:tcPr>
          <w:p w14:paraId="70585B18">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78DEF2B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0DD9FE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168 </w:t>
            </w:r>
          </w:p>
        </w:tc>
        <w:tc>
          <w:tcPr>
            <w:tcW w:w="462" w:type="pct"/>
            <w:tcBorders>
              <w:top w:val="nil"/>
              <w:left w:val="nil"/>
              <w:bottom w:val="single" w:color="auto" w:sz="4" w:space="0"/>
              <w:right w:val="single" w:color="auto" w:sz="4" w:space="0"/>
            </w:tcBorders>
            <w:shd w:val="clear" w:color="000000" w:fill="FFFFFF"/>
            <w:vAlign w:val="center"/>
          </w:tcPr>
          <w:p w14:paraId="357C3144">
            <w:pPr>
              <w:widowControl/>
              <w:jc w:val="left"/>
              <w:rPr>
                <w:rFonts w:ascii="宋体" w:hAnsi="宋体" w:cs="宋体"/>
                <w:kern w:val="0"/>
                <w:sz w:val="22"/>
                <w:szCs w:val="22"/>
              </w:rPr>
            </w:pPr>
            <w:r>
              <w:rPr>
                <w:rFonts w:hint="eastAsia" w:ascii="宋体" w:hAnsi="宋体" w:cs="宋体"/>
                <w:kern w:val="0"/>
                <w:sz w:val="22"/>
                <w:szCs w:val="22"/>
              </w:rPr>
              <w:t>　</w:t>
            </w:r>
          </w:p>
        </w:tc>
      </w:tr>
      <w:tr w14:paraId="0D1652C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F32E985">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49" w:type="pct"/>
            <w:tcBorders>
              <w:top w:val="nil"/>
              <w:left w:val="nil"/>
              <w:bottom w:val="single" w:color="auto" w:sz="4" w:space="0"/>
              <w:right w:val="single" w:color="auto" w:sz="4" w:space="0"/>
            </w:tcBorders>
            <w:shd w:val="clear" w:color="000000" w:fill="FFFFFF"/>
            <w:vAlign w:val="center"/>
          </w:tcPr>
          <w:p w14:paraId="00DA3747">
            <w:pPr>
              <w:widowControl/>
              <w:jc w:val="left"/>
              <w:rPr>
                <w:rFonts w:ascii="宋体" w:hAnsi="宋体" w:cs="宋体"/>
                <w:kern w:val="0"/>
                <w:sz w:val="22"/>
                <w:szCs w:val="22"/>
              </w:rPr>
            </w:pPr>
            <w:r>
              <w:rPr>
                <w:rFonts w:hint="eastAsia" w:ascii="宋体" w:hAnsi="宋体" w:cs="宋体"/>
                <w:kern w:val="0"/>
                <w:sz w:val="22"/>
                <w:szCs w:val="22"/>
              </w:rPr>
              <w:t>视频云存储管理服务器</w:t>
            </w:r>
          </w:p>
        </w:tc>
        <w:tc>
          <w:tcPr>
            <w:tcW w:w="2219" w:type="pct"/>
            <w:tcBorders>
              <w:top w:val="nil"/>
              <w:left w:val="nil"/>
              <w:bottom w:val="single" w:color="auto" w:sz="4" w:space="0"/>
              <w:right w:val="single" w:color="auto" w:sz="4" w:space="0"/>
            </w:tcBorders>
            <w:shd w:val="clear" w:color="000000" w:fill="FFFFFF"/>
            <w:vAlign w:val="center"/>
          </w:tcPr>
          <w:p w14:paraId="0614B943">
            <w:pPr>
              <w:widowControl/>
              <w:jc w:val="left"/>
              <w:rPr>
                <w:rFonts w:ascii="宋体" w:hAnsi="宋体" w:cs="宋体"/>
                <w:kern w:val="0"/>
                <w:sz w:val="22"/>
                <w:szCs w:val="22"/>
              </w:rPr>
            </w:pPr>
            <w:r>
              <w:rPr>
                <w:rFonts w:hint="eastAsia" w:ascii="宋体" w:hAnsi="宋体" w:cs="宋体"/>
                <w:kern w:val="0"/>
                <w:sz w:val="22"/>
                <w:szCs w:val="22"/>
              </w:rPr>
              <w:t xml:space="preserve">E5-2620 V2(6核2.1GHz)×2/8GB DDR3 ECC×4/600G 15K SAS×2/热插拔/DVD/1000M NIC×2/(1+1)冗余电源/导轨/2U </w:t>
            </w:r>
            <w:r>
              <w:rPr>
                <w:rFonts w:hint="eastAsia" w:ascii="宋体" w:hAnsi="宋体" w:cs="宋体"/>
                <w:kern w:val="0"/>
                <w:sz w:val="22"/>
                <w:szCs w:val="22"/>
              </w:rPr>
              <w:br w:type="textWrapping"/>
            </w:r>
            <w:r>
              <w:rPr>
                <w:rFonts w:hint="eastAsia" w:ascii="宋体" w:hAnsi="宋体" w:cs="宋体"/>
                <w:kern w:val="0"/>
                <w:sz w:val="22"/>
                <w:szCs w:val="22"/>
              </w:rPr>
              <w:t>操作系统：需支持Centos6.2-64bit</w:t>
            </w:r>
          </w:p>
        </w:tc>
        <w:tc>
          <w:tcPr>
            <w:tcW w:w="344" w:type="pct"/>
            <w:tcBorders>
              <w:top w:val="nil"/>
              <w:left w:val="nil"/>
              <w:bottom w:val="single" w:color="auto" w:sz="4" w:space="0"/>
              <w:right w:val="single" w:color="auto" w:sz="4" w:space="0"/>
            </w:tcBorders>
            <w:shd w:val="clear" w:color="000000" w:fill="FFFFFF"/>
            <w:vAlign w:val="center"/>
          </w:tcPr>
          <w:p w14:paraId="7CCD2701">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18C417C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7DEF8B6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1C2E2FB4">
            <w:pPr>
              <w:widowControl/>
              <w:jc w:val="left"/>
              <w:rPr>
                <w:rFonts w:ascii="宋体" w:hAnsi="宋体" w:cs="宋体"/>
                <w:kern w:val="0"/>
                <w:sz w:val="22"/>
                <w:szCs w:val="22"/>
              </w:rPr>
            </w:pPr>
            <w:r>
              <w:rPr>
                <w:rFonts w:hint="eastAsia" w:ascii="宋体" w:hAnsi="宋体" w:cs="宋体"/>
                <w:kern w:val="0"/>
                <w:sz w:val="22"/>
                <w:szCs w:val="22"/>
              </w:rPr>
              <w:t>　</w:t>
            </w:r>
          </w:p>
        </w:tc>
      </w:tr>
      <w:tr w14:paraId="2E2FB35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FAE9E2A">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849" w:type="pct"/>
            <w:tcBorders>
              <w:top w:val="nil"/>
              <w:left w:val="nil"/>
              <w:bottom w:val="single" w:color="auto" w:sz="4" w:space="0"/>
              <w:right w:val="single" w:color="auto" w:sz="4" w:space="0"/>
            </w:tcBorders>
            <w:shd w:val="clear" w:color="000000" w:fill="FFFFFF"/>
            <w:vAlign w:val="center"/>
          </w:tcPr>
          <w:p w14:paraId="52A48B67">
            <w:pPr>
              <w:widowControl/>
              <w:jc w:val="left"/>
              <w:rPr>
                <w:rFonts w:ascii="宋体" w:hAnsi="宋体" w:cs="宋体"/>
                <w:kern w:val="0"/>
                <w:sz w:val="22"/>
                <w:szCs w:val="22"/>
              </w:rPr>
            </w:pPr>
            <w:r>
              <w:rPr>
                <w:rFonts w:hint="eastAsia" w:ascii="宋体" w:hAnsi="宋体" w:cs="宋体"/>
                <w:kern w:val="0"/>
                <w:sz w:val="22"/>
                <w:szCs w:val="22"/>
              </w:rPr>
              <w:t>视频云存储运维服务器</w:t>
            </w:r>
          </w:p>
        </w:tc>
        <w:tc>
          <w:tcPr>
            <w:tcW w:w="2219" w:type="pct"/>
            <w:tcBorders>
              <w:top w:val="nil"/>
              <w:left w:val="nil"/>
              <w:bottom w:val="single" w:color="auto" w:sz="4" w:space="0"/>
              <w:right w:val="single" w:color="auto" w:sz="4" w:space="0"/>
            </w:tcBorders>
            <w:shd w:val="clear" w:color="000000" w:fill="FFFFFF"/>
            <w:vAlign w:val="center"/>
          </w:tcPr>
          <w:p w14:paraId="1018B054">
            <w:pPr>
              <w:widowControl/>
              <w:jc w:val="left"/>
              <w:rPr>
                <w:rFonts w:ascii="宋体" w:hAnsi="宋体" w:cs="宋体"/>
                <w:kern w:val="0"/>
                <w:sz w:val="22"/>
                <w:szCs w:val="22"/>
              </w:rPr>
            </w:pPr>
            <w:r>
              <w:rPr>
                <w:rFonts w:hint="eastAsia" w:ascii="宋体" w:hAnsi="宋体" w:cs="宋体"/>
                <w:kern w:val="0"/>
                <w:sz w:val="22"/>
                <w:szCs w:val="22"/>
              </w:rPr>
              <w:t>E5-2620 V2(6核2.1GHz)×2/8GB DDR3 ECC×2 /1000G SATA ×2/热插拔/DVD/1000M NIC×2/(1+1)冗余电源/导轨/2U</w:t>
            </w:r>
          </w:p>
        </w:tc>
        <w:tc>
          <w:tcPr>
            <w:tcW w:w="344" w:type="pct"/>
            <w:tcBorders>
              <w:top w:val="nil"/>
              <w:left w:val="nil"/>
              <w:bottom w:val="single" w:color="auto" w:sz="4" w:space="0"/>
              <w:right w:val="single" w:color="auto" w:sz="4" w:space="0"/>
            </w:tcBorders>
            <w:shd w:val="clear" w:color="000000" w:fill="FFFFFF"/>
            <w:vAlign w:val="center"/>
          </w:tcPr>
          <w:p w14:paraId="3A9268FC">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6C2A9FB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9A7D4F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71AA906">
            <w:pPr>
              <w:widowControl/>
              <w:jc w:val="left"/>
              <w:rPr>
                <w:rFonts w:ascii="宋体" w:hAnsi="宋体" w:cs="宋体"/>
                <w:kern w:val="0"/>
                <w:sz w:val="22"/>
                <w:szCs w:val="22"/>
              </w:rPr>
            </w:pPr>
            <w:r>
              <w:rPr>
                <w:rFonts w:hint="eastAsia" w:ascii="宋体" w:hAnsi="宋体" w:cs="宋体"/>
                <w:kern w:val="0"/>
                <w:sz w:val="22"/>
                <w:szCs w:val="22"/>
              </w:rPr>
              <w:t>　</w:t>
            </w:r>
          </w:p>
        </w:tc>
      </w:tr>
      <w:tr w14:paraId="0D2473D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B4983A0">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849" w:type="pct"/>
            <w:tcBorders>
              <w:top w:val="nil"/>
              <w:left w:val="nil"/>
              <w:bottom w:val="single" w:color="auto" w:sz="4" w:space="0"/>
              <w:right w:val="single" w:color="auto" w:sz="4" w:space="0"/>
            </w:tcBorders>
            <w:shd w:val="clear" w:color="000000" w:fill="FFFFFF"/>
            <w:vAlign w:val="center"/>
          </w:tcPr>
          <w:p w14:paraId="66DC6047">
            <w:pPr>
              <w:widowControl/>
              <w:jc w:val="left"/>
              <w:rPr>
                <w:rFonts w:ascii="宋体" w:hAnsi="宋体" w:cs="宋体"/>
                <w:kern w:val="0"/>
                <w:sz w:val="22"/>
                <w:szCs w:val="22"/>
              </w:rPr>
            </w:pPr>
            <w:r>
              <w:rPr>
                <w:rFonts w:hint="eastAsia" w:ascii="宋体" w:hAnsi="宋体" w:cs="宋体"/>
                <w:kern w:val="0"/>
                <w:sz w:val="22"/>
                <w:szCs w:val="22"/>
              </w:rPr>
              <w:t>视频云存储存储服务器</w:t>
            </w:r>
          </w:p>
        </w:tc>
        <w:tc>
          <w:tcPr>
            <w:tcW w:w="2219" w:type="pct"/>
            <w:tcBorders>
              <w:top w:val="nil"/>
              <w:left w:val="nil"/>
              <w:bottom w:val="single" w:color="auto" w:sz="4" w:space="0"/>
              <w:right w:val="single" w:color="auto" w:sz="4" w:space="0"/>
            </w:tcBorders>
            <w:shd w:val="clear" w:color="000000" w:fill="FFFFFF"/>
            <w:vAlign w:val="center"/>
          </w:tcPr>
          <w:p w14:paraId="6D2E9231">
            <w:pPr>
              <w:widowControl/>
              <w:jc w:val="left"/>
              <w:rPr>
                <w:rFonts w:ascii="宋体" w:hAnsi="宋体" w:cs="宋体"/>
                <w:kern w:val="0"/>
                <w:sz w:val="22"/>
                <w:szCs w:val="22"/>
              </w:rPr>
            </w:pPr>
            <w:r>
              <w:rPr>
                <w:rFonts w:hint="eastAsia" w:ascii="宋体" w:hAnsi="宋体" w:cs="宋体"/>
                <w:kern w:val="0"/>
                <w:sz w:val="22"/>
                <w:szCs w:val="22"/>
              </w:rPr>
              <w:t>4U标准机架式36盘位；64位多核处理器；12GB缓存；冗余电源；支持SATA硬盘；2个千兆网口；1个系统SSD盘；支持外接SAS扩展柜。</w:t>
            </w:r>
          </w:p>
        </w:tc>
        <w:tc>
          <w:tcPr>
            <w:tcW w:w="344" w:type="pct"/>
            <w:tcBorders>
              <w:top w:val="nil"/>
              <w:left w:val="nil"/>
              <w:bottom w:val="single" w:color="auto" w:sz="4" w:space="0"/>
              <w:right w:val="single" w:color="auto" w:sz="4" w:space="0"/>
            </w:tcBorders>
            <w:shd w:val="clear" w:color="000000" w:fill="FFFFFF"/>
            <w:vAlign w:val="center"/>
          </w:tcPr>
          <w:p w14:paraId="27220CDC">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65822F4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750074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6 </w:t>
            </w:r>
          </w:p>
        </w:tc>
        <w:tc>
          <w:tcPr>
            <w:tcW w:w="462" w:type="pct"/>
            <w:tcBorders>
              <w:top w:val="nil"/>
              <w:left w:val="nil"/>
              <w:bottom w:val="single" w:color="auto" w:sz="4" w:space="0"/>
              <w:right w:val="single" w:color="auto" w:sz="4" w:space="0"/>
            </w:tcBorders>
            <w:shd w:val="clear" w:color="000000" w:fill="FFFFFF"/>
            <w:vAlign w:val="center"/>
          </w:tcPr>
          <w:p w14:paraId="7F9D48D1">
            <w:pPr>
              <w:widowControl/>
              <w:jc w:val="left"/>
              <w:rPr>
                <w:rFonts w:ascii="宋体" w:hAnsi="宋体" w:cs="宋体"/>
                <w:kern w:val="0"/>
                <w:sz w:val="22"/>
                <w:szCs w:val="22"/>
              </w:rPr>
            </w:pPr>
            <w:r>
              <w:rPr>
                <w:rFonts w:hint="eastAsia" w:ascii="宋体" w:hAnsi="宋体" w:cs="宋体"/>
                <w:kern w:val="0"/>
                <w:sz w:val="22"/>
                <w:szCs w:val="22"/>
              </w:rPr>
              <w:t>　</w:t>
            </w:r>
          </w:p>
        </w:tc>
      </w:tr>
      <w:tr w14:paraId="7D79A38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80B5FA1">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849" w:type="pct"/>
            <w:tcBorders>
              <w:top w:val="nil"/>
              <w:left w:val="nil"/>
              <w:bottom w:val="single" w:color="auto" w:sz="4" w:space="0"/>
              <w:right w:val="single" w:color="auto" w:sz="4" w:space="0"/>
            </w:tcBorders>
            <w:shd w:val="clear" w:color="000000" w:fill="FFFFFF"/>
            <w:vAlign w:val="center"/>
          </w:tcPr>
          <w:p w14:paraId="347A8EFB">
            <w:pPr>
              <w:widowControl/>
              <w:jc w:val="left"/>
              <w:rPr>
                <w:rFonts w:ascii="宋体" w:hAnsi="宋体" w:cs="宋体"/>
                <w:kern w:val="0"/>
                <w:sz w:val="22"/>
                <w:szCs w:val="22"/>
              </w:rPr>
            </w:pPr>
            <w:r>
              <w:rPr>
                <w:rFonts w:hint="eastAsia" w:ascii="宋体" w:hAnsi="宋体" w:cs="宋体"/>
                <w:kern w:val="0"/>
                <w:sz w:val="22"/>
                <w:szCs w:val="22"/>
              </w:rPr>
              <w:t>视频云存储软件</w:t>
            </w:r>
          </w:p>
        </w:tc>
        <w:tc>
          <w:tcPr>
            <w:tcW w:w="2219" w:type="pct"/>
            <w:tcBorders>
              <w:top w:val="nil"/>
              <w:left w:val="nil"/>
              <w:bottom w:val="single" w:color="auto" w:sz="4" w:space="0"/>
              <w:right w:val="single" w:color="auto" w:sz="4" w:space="0"/>
            </w:tcBorders>
            <w:shd w:val="clear" w:color="000000" w:fill="FFFFFF"/>
            <w:vAlign w:val="center"/>
          </w:tcPr>
          <w:p w14:paraId="08D57FAB">
            <w:pPr>
              <w:widowControl/>
              <w:jc w:val="left"/>
              <w:rPr>
                <w:rFonts w:ascii="宋体" w:hAnsi="宋体" w:cs="宋体"/>
                <w:kern w:val="0"/>
                <w:sz w:val="22"/>
                <w:szCs w:val="22"/>
              </w:rPr>
            </w:pPr>
            <w:r>
              <w:rPr>
                <w:rFonts w:hint="eastAsia" w:ascii="宋体" w:hAnsi="宋体" w:cs="宋体"/>
                <w:kern w:val="0"/>
                <w:sz w:val="22"/>
                <w:szCs w:val="22"/>
              </w:rPr>
              <w:t>集成容量虚拟化管理功能、集群化管理功能；负责视频录像资源分配、计划管理、索引管理，负载均衡调度；提供数据查询、回放、下载、锁定等功能。支持录像计划从前端取流直存到虚拟化容量空间，提供视频、图片的统一存储。</w:t>
            </w:r>
          </w:p>
        </w:tc>
        <w:tc>
          <w:tcPr>
            <w:tcW w:w="344" w:type="pct"/>
            <w:tcBorders>
              <w:top w:val="nil"/>
              <w:left w:val="nil"/>
              <w:bottom w:val="single" w:color="auto" w:sz="4" w:space="0"/>
              <w:right w:val="single" w:color="auto" w:sz="4" w:space="0"/>
            </w:tcBorders>
            <w:shd w:val="clear" w:color="000000" w:fill="FFFFFF"/>
            <w:vAlign w:val="center"/>
          </w:tcPr>
          <w:p w14:paraId="0E48E6DC">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291FCC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6D454CE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6BFE0D48">
            <w:pPr>
              <w:widowControl/>
              <w:jc w:val="left"/>
              <w:rPr>
                <w:rFonts w:ascii="宋体" w:hAnsi="宋体" w:cs="宋体"/>
                <w:kern w:val="0"/>
                <w:sz w:val="22"/>
                <w:szCs w:val="22"/>
              </w:rPr>
            </w:pPr>
            <w:r>
              <w:rPr>
                <w:rFonts w:hint="eastAsia" w:ascii="宋体" w:hAnsi="宋体" w:cs="宋体"/>
                <w:kern w:val="0"/>
                <w:sz w:val="22"/>
                <w:szCs w:val="22"/>
              </w:rPr>
              <w:t>　</w:t>
            </w:r>
          </w:p>
        </w:tc>
      </w:tr>
      <w:tr w14:paraId="40036B3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A108229">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849" w:type="pct"/>
            <w:tcBorders>
              <w:top w:val="nil"/>
              <w:left w:val="nil"/>
              <w:bottom w:val="single" w:color="auto" w:sz="4" w:space="0"/>
              <w:right w:val="single" w:color="auto" w:sz="4" w:space="0"/>
            </w:tcBorders>
            <w:shd w:val="clear" w:color="000000" w:fill="FFFFFF"/>
            <w:vAlign w:val="center"/>
          </w:tcPr>
          <w:p w14:paraId="1F7B7E2D">
            <w:pPr>
              <w:widowControl/>
              <w:jc w:val="left"/>
              <w:rPr>
                <w:rFonts w:ascii="宋体" w:hAnsi="宋体" w:cs="宋体"/>
                <w:kern w:val="0"/>
                <w:sz w:val="22"/>
                <w:szCs w:val="22"/>
              </w:rPr>
            </w:pPr>
            <w:r>
              <w:rPr>
                <w:rFonts w:hint="eastAsia" w:ascii="宋体" w:hAnsi="宋体" w:cs="宋体"/>
                <w:kern w:val="0"/>
                <w:sz w:val="22"/>
                <w:szCs w:val="22"/>
              </w:rPr>
              <w:t>视频云存储运维软件</w:t>
            </w:r>
          </w:p>
        </w:tc>
        <w:tc>
          <w:tcPr>
            <w:tcW w:w="2219" w:type="pct"/>
            <w:tcBorders>
              <w:top w:val="nil"/>
              <w:left w:val="nil"/>
              <w:bottom w:val="single" w:color="auto" w:sz="4" w:space="0"/>
              <w:right w:val="single" w:color="auto" w:sz="4" w:space="0"/>
            </w:tcBorders>
            <w:shd w:val="clear" w:color="000000" w:fill="FFFFFF"/>
            <w:vAlign w:val="center"/>
          </w:tcPr>
          <w:p w14:paraId="3D17CE7C">
            <w:pPr>
              <w:widowControl/>
              <w:jc w:val="left"/>
              <w:rPr>
                <w:rFonts w:ascii="宋体" w:hAnsi="宋体" w:cs="宋体"/>
                <w:kern w:val="0"/>
                <w:sz w:val="22"/>
                <w:szCs w:val="22"/>
              </w:rPr>
            </w:pPr>
            <w:r>
              <w:rPr>
                <w:rFonts w:hint="eastAsia" w:ascii="宋体" w:hAnsi="宋体" w:cs="宋体"/>
                <w:kern w:val="0"/>
                <w:sz w:val="22"/>
                <w:szCs w:val="22"/>
              </w:rPr>
              <w:t>集成视频云存储的运维系统，可进行软件、硬件、系统的运维。</w:t>
            </w:r>
          </w:p>
        </w:tc>
        <w:tc>
          <w:tcPr>
            <w:tcW w:w="344" w:type="pct"/>
            <w:tcBorders>
              <w:top w:val="nil"/>
              <w:left w:val="nil"/>
              <w:bottom w:val="single" w:color="auto" w:sz="4" w:space="0"/>
              <w:right w:val="single" w:color="auto" w:sz="4" w:space="0"/>
            </w:tcBorders>
            <w:shd w:val="clear" w:color="000000" w:fill="FFFFFF"/>
            <w:vAlign w:val="center"/>
          </w:tcPr>
          <w:p w14:paraId="17802691">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9FD097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22F08A4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3F7C04D9">
            <w:pPr>
              <w:widowControl/>
              <w:jc w:val="left"/>
              <w:rPr>
                <w:rFonts w:ascii="宋体" w:hAnsi="宋体" w:cs="宋体"/>
                <w:kern w:val="0"/>
                <w:sz w:val="22"/>
                <w:szCs w:val="22"/>
              </w:rPr>
            </w:pPr>
            <w:r>
              <w:rPr>
                <w:rFonts w:hint="eastAsia" w:ascii="宋体" w:hAnsi="宋体" w:cs="宋体"/>
                <w:kern w:val="0"/>
                <w:sz w:val="22"/>
                <w:szCs w:val="22"/>
              </w:rPr>
              <w:t>　</w:t>
            </w:r>
          </w:p>
        </w:tc>
      </w:tr>
      <w:tr w14:paraId="799FF681">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61C64AB">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849" w:type="pct"/>
            <w:tcBorders>
              <w:top w:val="nil"/>
              <w:left w:val="nil"/>
              <w:bottom w:val="single" w:color="auto" w:sz="4" w:space="0"/>
              <w:right w:val="single" w:color="auto" w:sz="4" w:space="0"/>
            </w:tcBorders>
            <w:shd w:val="clear" w:color="000000" w:fill="FFFFFF"/>
            <w:vAlign w:val="center"/>
          </w:tcPr>
          <w:p w14:paraId="09610395">
            <w:pPr>
              <w:widowControl/>
              <w:jc w:val="left"/>
              <w:rPr>
                <w:rFonts w:ascii="宋体" w:hAnsi="宋体" w:cs="宋体"/>
                <w:kern w:val="0"/>
                <w:sz w:val="22"/>
                <w:szCs w:val="22"/>
              </w:rPr>
            </w:pPr>
            <w:r>
              <w:rPr>
                <w:rFonts w:hint="eastAsia" w:ascii="宋体" w:hAnsi="宋体" w:cs="宋体"/>
                <w:kern w:val="0"/>
                <w:sz w:val="22"/>
                <w:szCs w:val="22"/>
              </w:rPr>
              <w:t>企业级硬盘</w:t>
            </w:r>
          </w:p>
        </w:tc>
        <w:tc>
          <w:tcPr>
            <w:tcW w:w="2219" w:type="pct"/>
            <w:tcBorders>
              <w:top w:val="nil"/>
              <w:left w:val="nil"/>
              <w:bottom w:val="single" w:color="auto" w:sz="4" w:space="0"/>
              <w:right w:val="single" w:color="auto" w:sz="4" w:space="0"/>
            </w:tcBorders>
            <w:shd w:val="clear" w:color="000000" w:fill="FFFFFF"/>
            <w:vAlign w:val="center"/>
          </w:tcPr>
          <w:p w14:paraId="40249E1F">
            <w:pPr>
              <w:widowControl/>
              <w:jc w:val="left"/>
              <w:rPr>
                <w:rFonts w:ascii="宋体" w:hAnsi="宋体" w:cs="宋体"/>
                <w:kern w:val="0"/>
                <w:sz w:val="22"/>
                <w:szCs w:val="22"/>
              </w:rPr>
            </w:pPr>
            <w:r>
              <w:rPr>
                <w:rFonts w:hint="eastAsia" w:ascii="宋体" w:hAnsi="宋体" w:cs="宋体"/>
                <w:kern w:val="0"/>
                <w:sz w:val="22"/>
                <w:szCs w:val="22"/>
              </w:rPr>
              <w:t>3.5英寸 4000G 7200 64M SATA3.0 监控专用</w:t>
            </w:r>
          </w:p>
        </w:tc>
        <w:tc>
          <w:tcPr>
            <w:tcW w:w="344" w:type="pct"/>
            <w:tcBorders>
              <w:top w:val="nil"/>
              <w:left w:val="nil"/>
              <w:bottom w:val="single" w:color="auto" w:sz="4" w:space="0"/>
              <w:right w:val="single" w:color="auto" w:sz="4" w:space="0"/>
            </w:tcBorders>
            <w:shd w:val="clear" w:color="000000" w:fill="FFFFFF"/>
            <w:vAlign w:val="center"/>
          </w:tcPr>
          <w:p w14:paraId="21D4709A">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08DD5AF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0F9473A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200 </w:t>
            </w:r>
          </w:p>
        </w:tc>
        <w:tc>
          <w:tcPr>
            <w:tcW w:w="462" w:type="pct"/>
            <w:tcBorders>
              <w:top w:val="nil"/>
              <w:left w:val="nil"/>
              <w:bottom w:val="single" w:color="auto" w:sz="4" w:space="0"/>
              <w:right w:val="single" w:color="auto" w:sz="4" w:space="0"/>
            </w:tcBorders>
            <w:shd w:val="clear" w:color="000000" w:fill="FFFFFF"/>
            <w:vAlign w:val="center"/>
          </w:tcPr>
          <w:p w14:paraId="619A5E88">
            <w:pPr>
              <w:widowControl/>
              <w:jc w:val="left"/>
              <w:rPr>
                <w:rFonts w:ascii="宋体" w:hAnsi="宋体" w:cs="宋体"/>
                <w:kern w:val="0"/>
                <w:sz w:val="22"/>
                <w:szCs w:val="22"/>
              </w:rPr>
            </w:pPr>
            <w:r>
              <w:rPr>
                <w:rFonts w:hint="eastAsia" w:ascii="宋体" w:hAnsi="宋体" w:cs="宋体"/>
                <w:kern w:val="0"/>
                <w:sz w:val="22"/>
                <w:szCs w:val="22"/>
              </w:rPr>
              <w:t>　</w:t>
            </w:r>
          </w:p>
        </w:tc>
      </w:tr>
      <w:tr w14:paraId="42E962C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DA28203">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849" w:type="pct"/>
            <w:tcBorders>
              <w:top w:val="nil"/>
              <w:left w:val="nil"/>
              <w:bottom w:val="single" w:color="auto" w:sz="4" w:space="0"/>
              <w:right w:val="single" w:color="auto" w:sz="4" w:space="0"/>
            </w:tcBorders>
            <w:shd w:val="clear" w:color="000000" w:fill="FFFFFF"/>
            <w:vAlign w:val="center"/>
          </w:tcPr>
          <w:p w14:paraId="02E2D48C">
            <w:pPr>
              <w:widowControl/>
              <w:jc w:val="left"/>
              <w:rPr>
                <w:rFonts w:ascii="宋体" w:hAnsi="宋体" w:cs="宋体"/>
                <w:kern w:val="0"/>
                <w:sz w:val="22"/>
                <w:szCs w:val="22"/>
              </w:rPr>
            </w:pPr>
            <w:r>
              <w:rPr>
                <w:rFonts w:hint="eastAsia" w:ascii="宋体" w:hAnsi="宋体" w:cs="宋体"/>
                <w:kern w:val="0"/>
                <w:sz w:val="22"/>
                <w:szCs w:val="22"/>
              </w:rPr>
              <w:t>核心交换机机箱</w:t>
            </w:r>
          </w:p>
        </w:tc>
        <w:tc>
          <w:tcPr>
            <w:tcW w:w="2219" w:type="pct"/>
            <w:tcBorders>
              <w:top w:val="nil"/>
              <w:left w:val="nil"/>
              <w:bottom w:val="single" w:color="auto" w:sz="4" w:space="0"/>
              <w:right w:val="single" w:color="auto" w:sz="4" w:space="0"/>
            </w:tcBorders>
            <w:shd w:val="clear" w:color="000000" w:fill="FFFFFF"/>
            <w:vAlign w:val="center"/>
          </w:tcPr>
          <w:p w14:paraId="414A1C18">
            <w:pPr>
              <w:widowControl/>
              <w:jc w:val="left"/>
              <w:rPr>
                <w:rFonts w:ascii="宋体" w:hAnsi="宋体" w:cs="宋体"/>
                <w:kern w:val="0"/>
                <w:sz w:val="22"/>
                <w:szCs w:val="22"/>
              </w:rPr>
            </w:pPr>
            <w:r>
              <w:rPr>
                <w:rFonts w:hint="eastAsia" w:ascii="宋体" w:hAnsi="宋体" w:cs="宋体"/>
                <w:kern w:val="0"/>
                <w:sz w:val="22"/>
                <w:szCs w:val="22"/>
              </w:rPr>
              <w:t>主控引擎槽位，8业务槽位（裸机箱，电源板和主控板需另配）</w:t>
            </w:r>
          </w:p>
        </w:tc>
        <w:tc>
          <w:tcPr>
            <w:tcW w:w="344" w:type="pct"/>
            <w:tcBorders>
              <w:top w:val="nil"/>
              <w:left w:val="nil"/>
              <w:bottom w:val="single" w:color="auto" w:sz="4" w:space="0"/>
              <w:right w:val="single" w:color="auto" w:sz="4" w:space="0"/>
            </w:tcBorders>
            <w:shd w:val="clear" w:color="000000" w:fill="FFFFFF"/>
            <w:vAlign w:val="center"/>
          </w:tcPr>
          <w:p w14:paraId="17368D9B">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FDCF72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7BF22BD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17A3026F">
            <w:pPr>
              <w:widowControl/>
              <w:jc w:val="left"/>
              <w:rPr>
                <w:rFonts w:ascii="宋体" w:hAnsi="宋体" w:cs="宋体"/>
                <w:kern w:val="0"/>
                <w:sz w:val="22"/>
                <w:szCs w:val="22"/>
              </w:rPr>
            </w:pPr>
            <w:r>
              <w:rPr>
                <w:rFonts w:hint="eastAsia" w:ascii="宋体" w:hAnsi="宋体" w:cs="宋体"/>
                <w:kern w:val="0"/>
                <w:sz w:val="22"/>
                <w:szCs w:val="22"/>
              </w:rPr>
              <w:t>　</w:t>
            </w:r>
          </w:p>
        </w:tc>
      </w:tr>
      <w:tr w14:paraId="3D8CACF1">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89F1B23">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849" w:type="pct"/>
            <w:tcBorders>
              <w:top w:val="nil"/>
              <w:left w:val="nil"/>
              <w:bottom w:val="single" w:color="auto" w:sz="4" w:space="0"/>
              <w:right w:val="single" w:color="auto" w:sz="4" w:space="0"/>
            </w:tcBorders>
            <w:shd w:val="clear" w:color="000000" w:fill="FFFFFF"/>
            <w:vAlign w:val="center"/>
          </w:tcPr>
          <w:p w14:paraId="55A7F0C7">
            <w:pPr>
              <w:widowControl/>
              <w:jc w:val="left"/>
              <w:rPr>
                <w:rFonts w:ascii="宋体" w:hAnsi="宋体" w:cs="宋体"/>
                <w:kern w:val="0"/>
                <w:sz w:val="22"/>
                <w:szCs w:val="22"/>
              </w:rPr>
            </w:pPr>
            <w:r>
              <w:rPr>
                <w:rFonts w:hint="eastAsia" w:ascii="宋体" w:hAnsi="宋体" w:cs="宋体"/>
                <w:kern w:val="0"/>
                <w:sz w:val="22"/>
                <w:szCs w:val="22"/>
              </w:rPr>
              <w:t>核心交换机主控板</w:t>
            </w:r>
          </w:p>
        </w:tc>
        <w:tc>
          <w:tcPr>
            <w:tcW w:w="2219" w:type="pct"/>
            <w:tcBorders>
              <w:top w:val="nil"/>
              <w:left w:val="nil"/>
              <w:bottom w:val="single" w:color="auto" w:sz="4" w:space="0"/>
              <w:right w:val="single" w:color="auto" w:sz="4" w:space="0"/>
            </w:tcBorders>
            <w:shd w:val="clear" w:color="000000" w:fill="FFFFFF"/>
            <w:vAlign w:val="center"/>
          </w:tcPr>
          <w:p w14:paraId="6853BD49">
            <w:pPr>
              <w:widowControl/>
              <w:jc w:val="left"/>
              <w:rPr>
                <w:rFonts w:ascii="宋体" w:hAnsi="宋体" w:cs="宋体"/>
                <w:kern w:val="0"/>
                <w:sz w:val="22"/>
                <w:szCs w:val="22"/>
              </w:rPr>
            </w:pPr>
            <w:r>
              <w:rPr>
                <w:rFonts w:hint="eastAsia" w:ascii="宋体" w:hAnsi="宋体" w:cs="宋体"/>
                <w:kern w:val="0"/>
                <w:sz w:val="22"/>
                <w:szCs w:val="22"/>
              </w:rPr>
              <w:t>III型主控引擎</w:t>
            </w:r>
          </w:p>
        </w:tc>
        <w:tc>
          <w:tcPr>
            <w:tcW w:w="344" w:type="pct"/>
            <w:tcBorders>
              <w:top w:val="nil"/>
              <w:left w:val="nil"/>
              <w:bottom w:val="single" w:color="auto" w:sz="4" w:space="0"/>
              <w:right w:val="single" w:color="auto" w:sz="4" w:space="0"/>
            </w:tcBorders>
            <w:shd w:val="clear" w:color="000000" w:fill="FFFFFF"/>
            <w:vAlign w:val="center"/>
          </w:tcPr>
          <w:p w14:paraId="6289D5DC">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E29F56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5A43D49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2904CAD3">
            <w:pPr>
              <w:widowControl/>
              <w:jc w:val="left"/>
              <w:rPr>
                <w:rFonts w:ascii="宋体" w:hAnsi="宋体" w:cs="宋体"/>
                <w:kern w:val="0"/>
                <w:sz w:val="22"/>
                <w:szCs w:val="22"/>
              </w:rPr>
            </w:pPr>
            <w:r>
              <w:rPr>
                <w:rFonts w:hint="eastAsia" w:ascii="宋体" w:hAnsi="宋体" w:cs="宋体"/>
                <w:kern w:val="0"/>
                <w:sz w:val="22"/>
                <w:szCs w:val="22"/>
              </w:rPr>
              <w:t>　</w:t>
            </w:r>
          </w:p>
        </w:tc>
      </w:tr>
      <w:tr w14:paraId="7ABABE1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42620D8">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849" w:type="pct"/>
            <w:tcBorders>
              <w:top w:val="nil"/>
              <w:left w:val="nil"/>
              <w:bottom w:val="single" w:color="auto" w:sz="4" w:space="0"/>
              <w:right w:val="single" w:color="auto" w:sz="4" w:space="0"/>
            </w:tcBorders>
            <w:shd w:val="clear" w:color="000000" w:fill="FFFFFF"/>
            <w:vAlign w:val="center"/>
          </w:tcPr>
          <w:p w14:paraId="7076F533">
            <w:pPr>
              <w:widowControl/>
              <w:jc w:val="left"/>
              <w:rPr>
                <w:rFonts w:ascii="宋体" w:hAnsi="宋体" w:cs="宋体"/>
                <w:kern w:val="0"/>
                <w:sz w:val="22"/>
                <w:szCs w:val="22"/>
              </w:rPr>
            </w:pPr>
            <w:r>
              <w:rPr>
                <w:rFonts w:hint="eastAsia" w:ascii="宋体" w:hAnsi="宋体" w:cs="宋体"/>
                <w:kern w:val="0"/>
                <w:sz w:val="22"/>
                <w:szCs w:val="22"/>
              </w:rPr>
              <w:t>核心交换机电源</w:t>
            </w:r>
          </w:p>
        </w:tc>
        <w:tc>
          <w:tcPr>
            <w:tcW w:w="2219" w:type="pct"/>
            <w:tcBorders>
              <w:top w:val="nil"/>
              <w:left w:val="nil"/>
              <w:bottom w:val="single" w:color="auto" w:sz="4" w:space="0"/>
              <w:right w:val="single" w:color="auto" w:sz="4" w:space="0"/>
            </w:tcBorders>
            <w:shd w:val="clear" w:color="000000" w:fill="FFFFFF"/>
            <w:vAlign w:val="center"/>
          </w:tcPr>
          <w:p w14:paraId="6E73315A">
            <w:pPr>
              <w:widowControl/>
              <w:jc w:val="left"/>
              <w:rPr>
                <w:rFonts w:ascii="宋体" w:hAnsi="宋体" w:cs="宋体"/>
                <w:kern w:val="0"/>
                <w:sz w:val="22"/>
                <w:szCs w:val="22"/>
              </w:rPr>
            </w:pPr>
            <w:r>
              <w:rPr>
                <w:rFonts w:hint="eastAsia" w:ascii="宋体" w:hAnsi="宋体" w:cs="宋体"/>
                <w:kern w:val="0"/>
                <w:sz w:val="22"/>
                <w:szCs w:val="22"/>
              </w:rPr>
              <w:t>交流电源模块1000W</w:t>
            </w:r>
          </w:p>
        </w:tc>
        <w:tc>
          <w:tcPr>
            <w:tcW w:w="344" w:type="pct"/>
            <w:tcBorders>
              <w:top w:val="nil"/>
              <w:left w:val="nil"/>
              <w:bottom w:val="single" w:color="auto" w:sz="4" w:space="0"/>
              <w:right w:val="single" w:color="auto" w:sz="4" w:space="0"/>
            </w:tcBorders>
            <w:shd w:val="clear" w:color="000000" w:fill="FFFFFF"/>
            <w:vAlign w:val="center"/>
          </w:tcPr>
          <w:p w14:paraId="576693C7">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15C6589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24C5EFC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608F0BB9">
            <w:pPr>
              <w:widowControl/>
              <w:jc w:val="left"/>
              <w:rPr>
                <w:rFonts w:ascii="宋体" w:hAnsi="宋体" w:cs="宋体"/>
                <w:kern w:val="0"/>
                <w:sz w:val="22"/>
                <w:szCs w:val="22"/>
              </w:rPr>
            </w:pPr>
            <w:r>
              <w:rPr>
                <w:rFonts w:hint="eastAsia" w:ascii="宋体" w:hAnsi="宋体" w:cs="宋体"/>
                <w:kern w:val="0"/>
                <w:sz w:val="22"/>
                <w:szCs w:val="22"/>
              </w:rPr>
              <w:t>　</w:t>
            </w:r>
          </w:p>
        </w:tc>
      </w:tr>
      <w:tr w14:paraId="0D00C250">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ECB6D34">
            <w:pPr>
              <w:widowControl/>
              <w:jc w:val="center"/>
              <w:rPr>
                <w:rFonts w:ascii="宋体" w:hAnsi="宋体" w:cs="宋体"/>
                <w:b/>
                <w:bCs/>
                <w:kern w:val="0"/>
                <w:sz w:val="22"/>
                <w:szCs w:val="22"/>
              </w:rPr>
            </w:pPr>
            <w:r>
              <w:rPr>
                <w:rFonts w:hint="eastAsia" w:ascii="宋体" w:hAnsi="宋体" w:cs="宋体"/>
                <w:b/>
                <w:bCs/>
                <w:kern w:val="0"/>
                <w:sz w:val="22"/>
                <w:szCs w:val="22"/>
              </w:rPr>
              <w:t>19</w:t>
            </w:r>
          </w:p>
        </w:tc>
        <w:tc>
          <w:tcPr>
            <w:tcW w:w="849" w:type="pct"/>
            <w:tcBorders>
              <w:top w:val="nil"/>
              <w:left w:val="nil"/>
              <w:bottom w:val="single" w:color="auto" w:sz="4" w:space="0"/>
              <w:right w:val="single" w:color="auto" w:sz="4" w:space="0"/>
            </w:tcBorders>
            <w:shd w:val="clear" w:color="000000" w:fill="FFFFFF"/>
            <w:vAlign w:val="center"/>
          </w:tcPr>
          <w:p w14:paraId="0F5E91C0">
            <w:pPr>
              <w:widowControl/>
              <w:jc w:val="left"/>
              <w:rPr>
                <w:rFonts w:ascii="宋体" w:hAnsi="宋体" w:cs="宋体"/>
                <w:kern w:val="0"/>
                <w:sz w:val="22"/>
                <w:szCs w:val="22"/>
              </w:rPr>
            </w:pPr>
            <w:r>
              <w:rPr>
                <w:rFonts w:hint="eastAsia" w:ascii="宋体" w:hAnsi="宋体" w:cs="宋体"/>
                <w:kern w:val="0"/>
                <w:sz w:val="22"/>
                <w:szCs w:val="22"/>
              </w:rPr>
              <w:t>核心交换机48电口业务插卡</w:t>
            </w:r>
          </w:p>
        </w:tc>
        <w:tc>
          <w:tcPr>
            <w:tcW w:w="2219" w:type="pct"/>
            <w:tcBorders>
              <w:top w:val="nil"/>
              <w:left w:val="nil"/>
              <w:bottom w:val="single" w:color="auto" w:sz="4" w:space="0"/>
              <w:right w:val="single" w:color="auto" w:sz="4" w:space="0"/>
            </w:tcBorders>
            <w:shd w:val="clear" w:color="000000" w:fill="FFFFFF"/>
            <w:vAlign w:val="center"/>
          </w:tcPr>
          <w:p w14:paraId="4970B940">
            <w:pPr>
              <w:widowControl/>
              <w:jc w:val="left"/>
              <w:rPr>
                <w:rFonts w:ascii="宋体" w:hAnsi="宋体" w:cs="宋体"/>
                <w:kern w:val="0"/>
                <w:sz w:val="22"/>
                <w:szCs w:val="22"/>
              </w:rPr>
            </w:pPr>
            <w:r>
              <w:rPr>
                <w:rFonts w:hint="eastAsia" w:ascii="宋体" w:hAnsi="宋体" w:cs="宋体"/>
                <w:kern w:val="0"/>
                <w:sz w:val="22"/>
                <w:szCs w:val="22"/>
              </w:rPr>
              <w:t>48端口千兆以太网电接口模块(RJ45)</w:t>
            </w:r>
          </w:p>
        </w:tc>
        <w:tc>
          <w:tcPr>
            <w:tcW w:w="344" w:type="pct"/>
            <w:tcBorders>
              <w:top w:val="nil"/>
              <w:left w:val="nil"/>
              <w:bottom w:val="single" w:color="auto" w:sz="4" w:space="0"/>
              <w:right w:val="single" w:color="auto" w:sz="4" w:space="0"/>
            </w:tcBorders>
            <w:shd w:val="clear" w:color="000000" w:fill="FFFFFF"/>
            <w:vAlign w:val="center"/>
          </w:tcPr>
          <w:p w14:paraId="289D0142">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6970C03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39FC1E2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6D24035">
            <w:pPr>
              <w:widowControl/>
              <w:jc w:val="left"/>
              <w:rPr>
                <w:rFonts w:ascii="宋体" w:hAnsi="宋体" w:cs="宋体"/>
                <w:kern w:val="0"/>
                <w:sz w:val="22"/>
                <w:szCs w:val="22"/>
              </w:rPr>
            </w:pPr>
            <w:r>
              <w:rPr>
                <w:rFonts w:hint="eastAsia" w:ascii="宋体" w:hAnsi="宋体" w:cs="宋体"/>
                <w:kern w:val="0"/>
                <w:sz w:val="22"/>
                <w:szCs w:val="22"/>
              </w:rPr>
              <w:t>　</w:t>
            </w:r>
          </w:p>
        </w:tc>
      </w:tr>
      <w:tr w14:paraId="6471F0A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AF97D36">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49" w:type="pct"/>
            <w:tcBorders>
              <w:top w:val="nil"/>
              <w:left w:val="nil"/>
              <w:bottom w:val="single" w:color="auto" w:sz="4" w:space="0"/>
              <w:right w:val="single" w:color="auto" w:sz="4" w:space="0"/>
            </w:tcBorders>
            <w:shd w:val="clear" w:color="000000" w:fill="FFFFFF"/>
            <w:vAlign w:val="center"/>
          </w:tcPr>
          <w:p w14:paraId="7CB19914">
            <w:pPr>
              <w:widowControl/>
              <w:jc w:val="left"/>
              <w:rPr>
                <w:rFonts w:ascii="宋体" w:hAnsi="宋体" w:cs="宋体"/>
                <w:kern w:val="0"/>
                <w:sz w:val="22"/>
                <w:szCs w:val="22"/>
              </w:rPr>
            </w:pPr>
            <w:r>
              <w:rPr>
                <w:rFonts w:hint="eastAsia" w:ascii="宋体" w:hAnsi="宋体" w:cs="宋体"/>
                <w:kern w:val="0"/>
                <w:sz w:val="22"/>
                <w:szCs w:val="22"/>
              </w:rPr>
              <w:t>核心交换机48光口业务插卡</w:t>
            </w:r>
          </w:p>
        </w:tc>
        <w:tc>
          <w:tcPr>
            <w:tcW w:w="2219" w:type="pct"/>
            <w:tcBorders>
              <w:top w:val="nil"/>
              <w:left w:val="nil"/>
              <w:bottom w:val="single" w:color="auto" w:sz="4" w:space="0"/>
              <w:right w:val="single" w:color="auto" w:sz="4" w:space="0"/>
            </w:tcBorders>
            <w:shd w:val="clear" w:color="000000" w:fill="FFFFFF"/>
            <w:vAlign w:val="center"/>
          </w:tcPr>
          <w:p w14:paraId="55CE3433">
            <w:pPr>
              <w:widowControl/>
              <w:jc w:val="left"/>
              <w:rPr>
                <w:rFonts w:ascii="宋体" w:hAnsi="宋体" w:cs="宋体"/>
                <w:kern w:val="0"/>
                <w:sz w:val="22"/>
                <w:szCs w:val="22"/>
              </w:rPr>
            </w:pPr>
            <w:r>
              <w:rPr>
                <w:rFonts w:hint="eastAsia" w:ascii="宋体" w:hAnsi="宋体" w:cs="宋体"/>
                <w:kern w:val="0"/>
                <w:sz w:val="22"/>
                <w:szCs w:val="22"/>
              </w:rPr>
              <w:t>48端口千兆以太网光接口模块(SFP,LC)</w:t>
            </w:r>
          </w:p>
        </w:tc>
        <w:tc>
          <w:tcPr>
            <w:tcW w:w="344" w:type="pct"/>
            <w:tcBorders>
              <w:top w:val="nil"/>
              <w:left w:val="nil"/>
              <w:bottom w:val="single" w:color="auto" w:sz="4" w:space="0"/>
              <w:right w:val="single" w:color="auto" w:sz="4" w:space="0"/>
            </w:tcBorders>
            <w:shd w:val="clear" w:color="000000" w:fill="FFFFFF"/>
            <w:vAlign w:val="center"/>
          </w:tcPr>
          <w:p w14:paraId="5E8BB7E8">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19B9DA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1EBD3CE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4B90D375">
            <w:pPr>
              <w:widowControl/>
              <w:jc w:val="left"/>
              <w:rPr>
                <w:rFonts w:ascii="宋体" w:hAnsi="宋体" w:cs="宋体"/>
                <w:kern w:val="0"/>
                <w:sz w:val="22"/>
                <w:szCs w:val="22"/>
              </w:rPr>
            </w:pPr>
            <w:r>
              <w:rPr>
                <w:rFonts w:hint="eastAsia" w:ascii="宋体" w:hAnsi="宋体" w:cs="宋体"/>
                <w:kern w:val="0"/>
                <w:sz w:val="22"/>
                <w:szCs w:val="22"/>
              </w:rPr>
              <w:t>　</w:t>
            </w:r>
          </w:p>
        </w:tc>
      </w:tr>
      <w:tr w14:paraId="78B80ED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D7322DE">
            <w:pPr>
              <w:widowControl/>
              <w:jc w:val="center"/>
              <w:rPr>
                <w:rFonts w:ascii="宋体" w:hAnsi="宋体" w:cs="宋体"/>
                <w:b/>
                <w:bCs/>
                <w:kern w:val="0"/>
                <w:sz w:val="22"/>
                <w:szCs w:val="22"/>
              </w:rPr>
            </w:pPr>
            <w:r>
              <w:rPr>
                <w:rFonts w:hint="eastAsia" w:ascii="宋体" w:hAnsi="宋体" w:cs="宋体"/>
                <w:b/>
                <w:bCs/>
                <w:kern w:val="0"/>
                <w:sz w:val="22"/>
                <w:szCs w:val="22"/>
              </w:rPr>
              <w:t>21</w:t>
            </w:r>
          </w:p>
        </w:tc>
        <w:tc>
          <w:tcPr>
            <w:tcW w:w="849" w:type="pct"/>
            <w:tcBorders>
              <w:top w:val="nil"/>
              <w:left w:val="nil"/>
              <w:bottom w:val="single" w:color="auto" w:sz="4" w:space="0"/>
              <w:right w:val="single" w:color="auto" w:sz="4" w:space="0"/>
            </w:tcBorders>
            <w:shd w:val="clear" w:color="000000" w:fill="FFFFFF"/>
            <w:vAlign w:val="center"/>
          </w:tcPr>
          <w:p w14:paraId="1E98ED62">
            <w:pPr>
              <w:widowControl/>
              <w:jc w:val="left"/>
              <w:rPr>
                <w:rFonts w:ascii="宋体" w:hAnsi="宋体" w:cs="宋体"/>
                <w:kern w:val="0"/>
                <w:sz w:val="22"/>
                <w:szCs w:val="22"/>
              </w:rPr>
            </w:pPr>
            <w:r>
              <w:rPr>
                <w:rFonts w:hint="eastAsia" w:ascii="宋体" w:hAnsi="宋体" w:cs="宋体"/>
                <w:kern w:val="0"/>
                <w:sz w:val="22"/>
                <w:szCs w:val="22"/>
              </w:rPr>
              <w:t>核心交换机12万兆口业务插卡</w:t>
            </w:r>
          </w:p>
        </w:tc>
        <w:tc>
          <w:tcPr>
            <w:tcW w:w="2219" w:type="pct"/>
            <w:tcBorders>
              <w:top w:val="nil"/>
              <w:left w:val="nil"/>
              <w:bottom w:val="single" w:color="auto" w:sz="4" w:space="0"/>
              <w:right w:val="single" w:color="auto" w:sz="4" w:space="0"/>
            </w:tcBorders>
            <w:shd w:val="clear" w:color="000000" w:fill="FFFFFF"/>
            <w:vAlign w:val="center"/>
          </w:tcPr>
          <w:p w14:paraId="383214AA">
            <w:pPr>
              <w:widowControl/>
              <w:jc w:val="left"/>
              <w:rPr>
                <w:rFonts w:ascii="宋体" w:hAnsi="宋体" w:cs="宋体"/>
                <w:kern w:val="0"/>
                <w:sz w:val="22"/>
                <w:szCs w:val="22"/>
              </w:rPr>
            </w:pPr>
            <w:r>
              <w:rPr>
                <w:rFonts w:hint="eastAsia" w:ascii="宋体" w:hAnsi="宋体" w:cs="宋体"/>
                <w:kern w:val="0"/>
                <w:sz w:val="22"/>
                <w:szCs w:val="22"/>
              </w:rPr>
              <w:t>12端口万兆以太网光接口模块（SFP+）</w:t>
            </w:r>
          </w:p>
        </w:tc>
        <w:tc>
          <w:tcPr>
            <w:tcW w:w="344" w:type="pct"/>
            <w:tcBorders>
              <w:top w:val="nil"/>
              <w:left w:val="nil"/>
              <w:bottom w:val="single" w:color="auto" w:sz="4" w:space="0"/>
              <w:right w:val="single" w:color="auto" w:sz="4" w:space="0"/>
            </w:tcBorders>
            <w:shd w:val="clear" w:color="000000" w:fill="FFFFFF"/>
            <w:vAlign w:val="center"/>
          </w:tcPr>
          <w:p w14:paraId="083E66A3">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DF684D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649A031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403900B">
            <w:pPr>
              <w:widowControl/>
              <w:jc w:val="left"/>
              <w:rPr>
                <w:rFonts w:ascii="宋体" w:hAnsi="宋体" w:cs="宋体"/>
                <w:kern w:val="0"/>
                <w:sz w:val="22"/>
                <w:szCs w:val="22"/>
              </w:rPr>
            </w:pPr>
            <w:r>
              <w:rPr>
                <w:rFonts w:hint="eastAsia" w:ascii="宋体" w:hAnsi="宋体" w:cs="宋体"/>
                <w:kern w:val="0"/>
                <w:sz w:val="22"/>
                <w:szCs w:val="22"/>
              </w:rPr>
              <w:t>　</w:t>
            </w:r>
          </w:p>
        </w:tc>
      </w:tr>
      <w:tr w14:paraId="686B0DD5">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42DEA95">
            <w:pPr>
              <w:widowControl/>
              <w:jc w:val="center"/>
              <w:rPr>
                <w:rFonts w:ascii="宋体" w:hAnsi="宋体" w:cs="宋体"/>
                <w:b/>
                <w:bCs/>
                <w:kern w:val="0"/>
                <w:sz w:val="22"/>
                <w:szCs w:val="22"/>
              </w:rPr>
            </w:pPr>
            <w:r>
              <w:rPr>
                <w:rFonts w:hint="eastAsia" w:ascii="宋体" w:hAnsi="宋体" w:cs="宋体"/>
                <w:b/>
                <w:bCs/>
                <w:kern w:val="0"/>
                <w:sz w:val="22"/>
                <w:szCs w:val="22"/>
              </w:rPr>
              <w:t>22</w:t>
            </w:r>
          </w:p>
        </w:tc>
        <w:tc>
          <w:tcPr>
            <w:tcW w:w="849" w:type="pct"/>
            <w:tcBorders>
              <w:top w:val="nil"/>
              <w:left w:val="nil"/>
              <w:bottom w:val="single" w:color="auto" w:sz="4" w:space="0"/>
              <w:right w:val="single" w:color="auto" w:sz="4" w:space="0"/>
            </w:tcBorders>
            <w:shd w:val="clear" w:color="000000" w:fill="FFFFFF"/>
            <w:vAlign w:val="center"/>
          </w:tcPr>
          <w:p w14:paraId="06098A47">
            <w:pPr>
              <w:widowControl/>
              <w:jc w:val="left"/>
              <w:rPr>
                <w:rFonts w:ascii="宋体" w:hAnsi="宋体" w:cs="宋体"/>
                <w:kern w:val="0"/>
                <w:sz w:val="22"/>
                <w:szCs w:val="22"/>
              </w:rPr>
            </w:pPr>
            <w:r>
              <w:rPr>
                <w:rFonts w:hint="eastAsia" w:ascii="宋体" w:hAnsi="宋体" w:cs="宋体"/>
                <w:kern w:val="0"/>
                <w:sz w:val="22"/>
                <w:szCs w:val="22"/>
              </w:rPr>
              <w:t>核心交换机光模块</w:t>
            </w:r>
          </w:p>
        </w:tc>
        <w:tc>
          <w:tcPr>
            <w:tcW w:w="2219" w:type="pct"/>
            <w:tcBorders>
              <w:top w:val="nil"/>
              <w:left w:val="nil"/>
              <w:bottom w:val="single" w:color="auto" w:sz="4" w:space="0"/>
              <w:right w:val="single" w:color="auto" w:sz="4" w:space="0"/>
            </w:tcBorders>
            <w:shd w:val="clear" w:color="000000" w:fill="FFFFFF"/>
            <w:vAlign w:val="center"/>
          </w:tcPr>
          <w:p w14:paraId="09672014">
            <w:pPr>
              <w:widowControl/>
              <w:jc w:val="left"/>
              <w:rPr>
                <w:rFonts w:ascii="宋体" w:hAnsi="宋体" w:cs="宋体"/>
                <w:kern w:val="0"/>
                <w:sz w:val="22"/>
                <w:szCs w:val="22"/>
              </w:rPr>
            </w:pPr>
            <w:r>
              <w:rPr>
                <w:rFonts w:hint="eastAsia" w:ascii="宋体" w:hAnsi="宋体" w:cs="宋体"/>
                <w:kern w:val="0"/>
                <w:sz w:val="22"/>
                <w:szCs w:val="22"/>
              </w:rPr>
              <w:t>万兆模块1对，千兆模块2对</w:t>
            </w:r>
          </w:p>
        </w:tc>
        <w:tc>
          <w:tcPr>
            <w:tcW w:w="344" w:type="pct"/>
            <w:tcBorders>
              <w:top w:val="nil"/>
              <w:left w:val="nil"/>
              <w:bottom w:val="single" w:color="auto" w:sz="4" w:space="0"/>
              <w:right w:val="single" w:color="auto" w:sz="4" w:space="0"/>
            </w:tcBorders>
            <w:shd w:val="clear" w:color="000000" w:fill="FFFFFF"/>
            <w:vAlign w:val="center"/>
          </w:tcPr>
          <w:p w14:paraId="517EF54F">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531162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批</w:t>
            </w:r>
          </w:p>
        </w:tc>
        <w:tc>
          <w:tcPr>
            <w:tcW w:w="355" w:type="pct"/>
            <w:tcBorders>
              <w:top w:val="nil"/>
              <w:left w:val="nil"/>
              <w:bottom w:val="single" w:color="auto" w:sz="4" w:space="0"/>
              <w:right w:val="single" w:color="auto" w:sz="4" w:space="0"/>
            </w:tcBorders>
            <w:shd w:val="clear" w:color="000000" w:fill="FFFFFF"/>
            <w:vAlign w:val="center"/>
          </w:tcPr>
          <w:p w14:paraId="64655A5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10191C1A">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1D904025">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1CE3415">
            <w:pPr>
              <w:widowControl/>
              <w:jc w:val="center"/>
              <w:rPr>
                <w:rFonts w:ascii="宋体" w:hAnsi="宋体" w:cs="宋体"/>
                <w:b/>
                <w:bCs/>
                <w:kern w:val="0"/>
                <w:sz w:val="22"/>
                <w:szCs w:val="22"/>
              </w:rPr>
            </w:pPr>
            <w:r>
              <w:rPr>
                <w:rFonts w:hint="eastAsia" w:ascii="宋体" w:hAnsi="宋体" w:cs="宋体"/>
                <w:b/>
                <w:bCs/>
                <w:kern w:val="0"/>
                <w:sz w:val="22"/>
                <w:szCs w:val="22"/>
              </w:rPr>
              <w:t>23</w:t>
            </w:r>
          </w:p>
        </w:tc>
        <w:tc>
          <w:tcPr>
            <w:tcW w:w="849" w:type="pct"/>
            <w:tcBorders>
              <w:top w:val="nil"/>
              <w:left w:val="nil"/>
              <w:bottom w:val="single" w:color="auto" w:sz="4" w:space="0"/>
              <w:right w:val="single" w:color="auto" w:sz="4" w:space="0"/>
            </w:tcBorders>
            <w:shd w:val="clear" w:color="000000" w:fill="FFFFFF"/>
            <w:vAlign w:val="center"/>
          </w:tcPr>
          <w:p w14:paraId="3B72D5AA">
            <w:pPr>
              <w:widowControl/>
              <w:jc w:val="left"/>
              <w:rPr>
                <w:rFonts w:ascii="宋体" w:hAnsi="宋体" w:cs="宋体"/>
                <w:kern w:val="0"/>
                <w:sz w:val="22"/>
                <w:szCs w:val="22"/>
              </w:rPr>
            </w:pPr>
            <w:r>
              <w:rPr>
                <w:rFonts w:hint="eastAsia" w:ascii="宋体" w:hAnsi="宋体" w:cs="宋体"/>
                <w:kern w:val="0"/>
                <w:sz w:val="22"/>
                <w:szCs w:val="22"/>
              </w:rPr>
              <w:t>中心控制平台软件</w:t>
            </w:r>
          </w:p>
        </w:tc>
        <w:tc>
          <w:tcPr>
            <w:tcW w:w="2219" w:type="pct"/>
            <w:tcBorders>
              <w:top w:val="nil"/>
              <w:left w:val="nil"/>
              <w:bottom w:val="single" w:color="auto" w:sz="4" w:space="0"/>
              <w:right w:val="single" w:color="auto" w:sz="4" w:space="0"/>
            </w:tcBorders>
            <w:shd w:val="clear" w:color="000000" w:fill="FFFFFF"/>
            <w:vAlign w:val="center"/>
          </w:tcPr>
          <w:p w14:paraId="7031C7F5">
            <w:pPr>
              <w:widowControl/>
              <w:jc w:val="left"/>
              <w:rPr>
                <w:rFonts w:ascii="宋体" w:hAnsi="宋体" w:cs="宋体"/>
                <w:kern w:val="0"/>
                <w:sz w:val="22"/>
                <w:szCs w:val="22"/>
              </w:rPr>
            </w:pPr>
            <w:r>
              <w:rPr>
                <w:rFonts w:hint="eastAsia" w:ascii="宋体" w:hAnsi="宋体" w:cs="宋体"/>
                <w:kern w:val="0"/>
                <w:sz w:val="22"/>
                <w:szCs w:val="22"/>
              </w:rPr>
              <w:t>定制集中监控应用管理平台，以视频图像应用为基础手段，综合视频监控、联网报警、智能分析、运维管理等多种安全防范应用系统，构建的多业务应用综合管理平台。</w:t>
            </w:r>
          </w:p>
        </w:tc>
        <w:tc>
          <w:tcPr>
            <w:tcW w:w="344" w:type="pct"/>
            <w:tcBorders>
              <w:top w:val="nil"/>
              <w:left w:val="nil"/>
              <w:bottom w:val="single" w:color="auto" w:sz="4" w:space="0"/>
              <w:right w:val="single" w:color="auto" w:sz="4" w:space="0"/>
            </w:tcBorders>
            <w:shd w:val="clear" w:color="000000" w:fill="FFFFFF"/>
            <w:vAlign w:val="center"/>
          </w:tcPr>
          <w:p w14:paraId="7CE134E6">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4B7812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6A78803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3D802D95">
            <w:pPr>
              <w:widowControl/>
              <w:jc w:val="left"/>
              <w:rPr>
                <w:rFonts w:ascii="宋体" w:hAnsi="宋体" w:cs="宋体"/>
                <w:kern w:val="0"/>
                <w:sz w:val="22"/>
                <w:szCs w:val="22"/>
              </w:rPr>
            </w:pPr>
            <w:r>
              <w:rPr>
                <w:rFonts w:hint="eastAsia" w:ascii="宋体" w:hAnsi="宋体" w:cs="宋体"/>
                <w:kern w:val="0"/>
                <w:sz w:val="22"/>
                <w:szCs w:val="22"/>
              </w:rPr>
              <w:t>　</w:t>
            </w:r>
          </w:p>
        </w:tc>
      </w:tr>
      <w:tr w14:paraId="06D573E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F4AA505">
            <w:pPr>
              <w:widowControl/>
              <w:jc w:val="center"/>
              <w:rPr>
                <w:rFonts w:ascii="宋体" w:hAnsi="宋体" w:cs="宋体"/>
                <w:b/>
                <w:bCs/>
                <w:kern w:val="0"/>
                <w:sz w:val="22"/>
                <w:szCs w:val="22"/>
              </w:rPr>
            </w:pPr>
            <w:r>
              <w:rPr>
                <w:rFonts w:hint="eastAsia" w:ascii="宋体" w:hAnsi="宋体" w:cs="宋体"/>
                <w:b/>
                <w:bCs/>
                <w:kern w:val="0"/>
                <w:sz w:val="22"/>
                <w:szCs w:val="22"/>
              </w:rPr>
              <w:t>24</w:t>
            </w:r>
          </w:p>
        </w:tc>
        <w:tc>
          <w:tcPr>
            <w:tcW w:w="849" w:type="pct"/>
            <w:tcBorders>
              <w:top w:val="nil"/>
              <w:left w:val="nil"/>
              <w:bottom w:val="single" w:color="auto" w:sz="4" w:space="0"/>
              <w:right w:val="single" w:color="auto" w:sz="4" w:space="0"/>
            </w:tcBorders>
            <w:shd w:val="clear" w:color="000000" w:fill="FFFFFF"/>
            <w:vAlign w:val="center"/>
          </w:tcPr>
          <w:p w14:paraId="66DEA2EB">
            <w:pPr>
              <w:widowControl/>
              <w:jc w:val="left"/>
              <w:rPr>
                <w:rFonts w:ascii="宋体" w:hAnsi="宋体" w:cs="宋体"/>
                <w:kern w:val="0"/>
                <w:sz w:val="22"/>
                <w:szCs w:val="22"/>
              </w:rPr>
            </w:pPr>
            <w:r>
              <w:rPr>
                <w:rFonts w:hint="eastAsia" w:ascii="宋体" w:hAnsi="宋体" w:cs="宋体"/>
                <w:kern w:val="0"/>
                <w:sz w:val="22"/>
                <w:szCs w:val="22"/>
              </w:rPr>
              <w:t>数据库服务器</w:t>
            </w:r>
          </w:p>
        </w:tc>
        <w:tc>
          <w:tcPr>
            <w:tcW w:w="2219" w:type="pct"/>
            <w:tcBorders>
              <w:top w:val="nil"/>
              <w:left w:val="nil"/>
              <w:bottom w:val="single" w:color="auto" w:sz="4" w:space="0"/>
              <w:right w:val="single" w:color="auto" w:sz="4" w:space="0"/>
            </w:tcBorders>
            <w:shd w:val="clear" w:color="000000" w:fill="FFFFFF"/>
            <w:vAlign w:val="center"/>
          </w:tcPr>
          <w:p w14:paraId="38A2A0AC">
            <w:pPr>
              <w:widowControl/>
              <w:jc w:val="left"/>
              <w:rPr>
                <w:rFonts w:ascii="宋体" w:hAnsi="宋体" w:cs="宋体"/>
                <w:kern w:val="0"/>
                <w:sz w:val="22"/>
                <w:szCs w:val="22"/>
              </w:rPr>
            </w:pPr>
            <w:r>
              <w:rPr>
                <w:rFonts w:hint="eastAsia" w:ascii="宋体" w:hAnsi="宋体" w:cs="宋体"/>
                <w:kern w:val="0"/>
                <w:sz w:val="22"/>
                <w:szCs w:val="22"/>
              </w:rPr>
              <w:t>E5-2620 V3(6核2.4GHz)×1/16GB DDR4/1TB SATA×2/热插拔/SAS3008/DVD/1GbE×4/冗电/导轨/2U</w:t>
            </w:r>
          </w:p>
        </w:tc>
        <w:tc>
          <w:tcPr>
            <w:tcW w:w="344" w:type="pct"/>
            <w:tcBorders>
              <w:top w:val="nil"/>
              <w:left w:val="nil"/>
              <w:bottom w:val="single" w:color="auto" w:sz="4" w:space="0"/>
              <w:right w:val="single" w:color="auto" w:sz="4" w:space="0"/>
            </w:tcBorders>
            <w:shd w:val="clear" w:color="000000" w:fill="FFFFFF"/>
            <w:vAlign w:val="center"/>
          </w:tcPr>
          <w:p w14:paraId="7A943FC1">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7F8DAF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C0858D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26626AD6">
            <w:pPr>
              <w:widowControl/>
              <w:jc w:val="left"/>
              <w:rPr>
                <w:rFonts w:ascii="宋体" w:hAnsi="宋体" w:cs="宋体"/>
                <w:kern w:val="0"/>
                <w:sz w:val="22"/>
                <w:szCs w:val="22"/>
              </w:rPr>
            </w:pPr>
            <w:r>
              <w:rPr>
                <w:rFonts w:hint="eastAsia" w:ascii="宋体" w:hAnsi="宋体" w:cs="宋体"/>
                <w:kern w:val="0"/>
                <w:sz w:val="22"/>
                <w:szCs w:val="22"/>
              </w:rPr>
              <w:t>　</w:t>
            </w:r>
          </w:p>
        </w:tc>
      </w:tr>
      <w:tr w14:paraId="159F2BE1">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7DD7AD9">
            <w:pPr>
              <w:widowControl/>
              <w:jc w:val="center"/>
              <w:rPr>
                <w:rFonts w:ascii="宋体" w:hAnsi="宋体" w:cs="宋体"/>
                <w:b/>
                <w:bCs/>
                <w:kern w:val="0"/>
                <w:sz w:val="22"/>
                <w:szCs w:val="22"/>
              </w:rPr>
            </w:pPr>
            <w:r>
              <w:rPr>
                <w:rFonts w:hint="eastAsia" w:ascii="宋体" w:hAnsi="宋体" w:cs="宋体"/>
                <w:b/>
                <w:bCs/>
                <w:kern w:val="0"/>
                <w:sz w:val="22"/>
                <w:szCs w:val="22"/>
              </w:rPr>
              <w:t>25</w:t>
            </w:r>
          </w:p>
        </w:tc>
        <w:tc>
          <w:tcPr>
            <w:tcW w:w="849" w:type="pct"/>
            <w:tcBorders>
              <w:top w:val="nil"/>
              <w:left w:val="nil"/>
              <w:bottom w:val="single" w:color="auto" w:sz="4" w:space="0"/>
              <w:right w:val="single" w:color="auto" w:sz="4" w:space="0"/>
            </w:tcBorders>
            <w:shd w:val="clear" w:color="000000" w:fill="FFFFFF"/>
            <w:vAlign w:val="center"/>
          </w:tcPr>
          <w:p w14:paraId="43B3113A">
            <w:pPr>
              <w:widowControl/>
              <w:jc w:val="left"/>
              <w:rPr>
                <w:rFonts w:ascii="宋体" w:hAnsi="宋体" w:cs="宋体"/>
                <w:kern w:val="0"/>
                <w:sz w:val="22"/>
                <w:szCs w:val="22"/>
              </w:rPr>
            </w:pPr>
            <w:r>
              <w:rPr>
                <w:rFonts w:hint="eastAsia" w:ascii="宋体" w:hAnsi="宋体" w:cs="宋体"/>
                <w:kern w:val="0"/>
                <w:sz w:val="22"/>
                <w:szCs w:val="22"/>
              </w:rPr>
              <w:t>存储管理服务器</w:t>
            </w:r>
          </w:p>
        </w:tc>
        <w:tc>
          <w:tcPr>
            <w:tcW w:w="2219" w:type="pct"/>
            <w:tcBorders>
              <w:top w:val="nil"/>
              <w:left w:val="nil"/>
              <w:bottom w:val="single" w:color="auto" w:sz="4" w:space="0"/>
              <w:right w:val="single" w:color="auto" w:sz="4" w:space="0"/>
            </w:tcBorders>
            <w:shd w:val="clear" w:color="000000" w:fill="FFFFFF"/>
            <w:vAlign w:val="center"/>
          </w:tcPr>
          <w:p w14:paraId="3EBA1FB6">
            <w:pPr>
              <w:widowControl/>
              <w:jc w:val="left"/>
              <w:rPr>
                <w:rFonts w:ascii="宋体" w:hAnsi="宋体" w:cs="宋体"/>
                <w:kern w:val="0"/>
                <w:sz w:val="22"/>
                <w:szCs w:val="22"/>
              </w:rPr>
            </w:pPr>
            <w:r>
              <w:rPr>
                <w:rFonts w:hint="eastAsia" w:ascii="宋体" w:hAnsi="宋体" w:cs="宋体"/>
                <w:kern w:val="0"/>
                <w:sz w:val="22"/>
                <w:szCs w:val="22"/>
              </w:rPr>
              <w:t>E5-2620 V3(6核2.4GHz)×1/16GB DDR4/1TB SATA×2/热插拔/SAS3008/DVD/1GbE×4/冗电/导轨/2U</w:t>
            </w:r>
          </w:p>
        </w:tc>
        <w:tc>
          <w:tcPr>
            <w:tcW w:w="344" w:type="pct"/>
            <w:tcBorders>
              <w:top w:val="nil"/>
              <w:left w:val="nil"/>
              <w:bottom w:val="single" w:color="auto" w:sz="4" w:space="0"/>
              <w:right w:val="single" w:color="auto" w:sz="4" w:space="0"/>
            </w:tcBorders>
            <w:shd w:val="clear" w:color="000000" w:fill="FFFFFF"/>
            <w:vAlign w:val="center"/>
          </w:tcPr>
          <w:p w14:paraId="0B04DF42">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2AC9EE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2CC3AD3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3FCEDE54">
            <w:pPr>
              <w:widowControl/>
              <w:jc w:val="left"/>
              <w:rPr>
                <w:rFonts w:ascii="宋体" w:hAnsi="宋体" w:cs="宋体"/>
                <w:kern w:val="0"/>
                <w:sz w:val="22"/>
                <w:szCs w:val="22"/>
              </w:rPr>
            </w:pPr>
            <w:r>
              <w:rPr>
                <w:rFonts w:hint="eastAsia" w:ascii="宋体" w:hAnsi="宋体" w:cs="宋体"/>
                <w:kern w:val="0"/>
                <w:sz w:val="22"/>
                <w:szCs w:val="22"/>
              </w:rPr>
              <w:t>　</w:t>
            </w:r>
          </w:p>
        </w:tc>
      </w:tr>
      <w:tr w14:paraId="4641299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410D6C5">
            <w:pPr>
              <w:widowControl/>
              <w:jc w:val="center"/>
              <w:rPr>
                <w:rFonts w:ascii="宋体" w:hAnsi="宋体" w:cs="宋体"/>
                <w:b/>
                <w:bCs/>
                <w:kern w:val="0"/>
                <w:sz w:val="22"/>
                <w:szCs w:val="22"/>
              </w:rPr>
            </w:pPr>
            <w:r>
              <w:rPr>
                <w:rFonts w:hint="eastAsia" w:ascii="宋体" w:hAnsi="宋体" w:cs="宋体"/>
                <w:b/>
                <w:bCs/>
                <w:kern w:val="0"/>
                <w:sz w:val="22"/>
                <w:szCs w:val="22"/>
              </w:rPr>
              <w:t>26</w:t>
            </w:r>
          </w:p>
        </w:tc>
        <w:tc>
          <w:tcPr>
            <w:tcW w:w="849" w:type="pct"/>
            <w:tcBorders>
              <w:top w:val="nil"/>
              <w:left w:val="nil"/>
              <w:bottom w:val="single" w:color="auto" w:sz="4" w:space="0"/>
              <w:right w:val="single" w:color="auto" w:sz="4" w:space="0"/>
            </w:tcBorders>
            <w:shd w:val="clear" w:color="000000" w:fill="FFFFFF"/>
            <w:vAlign w:val="center"/>
          </w:tcPr>
          <w:p w14:paraId="70250929">
            <w:pPr>
              <w:widowControl/>
              <w:jc w:val="left"/>
              <w:rPr>
                <w:rFonts w:ascii="宋体" w:hAnsi="宋体" w:cs="宋体"/>
                <w:kern w:val="0"/>
                <w:sz w:val="22"/>
                <w:szCs w:val="22"/>
              </w:rPr>
            </w:pPr>
            <w:r>
              <w:rPr>
                <w:rFonts w:hint="eastAsia" w:ascii="宋体" w:hAnsi="宋体" w:cs="宋体"/>
                <w:kern w:val="0"/>
                <w:sz w:val="22"/>
                <w:szCs w:val="22"/>
              </w:rPr>
              <w:t>流媒体转发服务器</w:t>
            </w:r>
          </w:p>
        </w:tc>
        <w:tc>
          <w:tcPr>
            <w:tcW w:w="2219" w:type="pct"/>
            <w:tcBorders>
              <w:top w:val="nil"/>
              <w:left w:val="nil"/>
              <w:bottom w:val="single" w:color="auto" w:sz="4" w:space="0"/>
              <w:right w:val="single" w:color="auto" w:sz="4" w:space="0"/>
            </w:tcBorders>
            <w:shd w:val="clear" w:color="000000" w:fill="FFFFFF"/>
            <w:vAlign w:val="center"/>
          </w:tcPr>
          <w:p w14:paraId="02C1762D">
            <w:pPr>
              <w:widowControl/>
              <w:jc w:val="left"/>
              <w:rPr>
                <w:rFonts w:ascii="宋体" w:hAnsi="宋体" w:cs="宋体"/>
                <w:kern w:val="0"/>
                <w:sz w:val="22"/>
                <w:szCs w:val="22"/>
              </w:rPr>
            </w:pPr>
            <w:r>
              <w:rPr>
                <w:rFonts w:hint="eastAsia" w:ascii="宋体" w:hAnsi="宋体" w:cs="宋体"/>
                <w:kern w:val="0"/>
                <w:sz w:val="22"/>
                <w:szCs w:val="22"/>
              </w:rPr>
              <w:t>E5-2620 V3(6核2.4GHz)×1/16GB DDR4/1TB SATA×2/热插拔/SAS3008/DVD/1GbE×4/冗电/导轨/2U</w:t>
            </w:r>
          </w:p>
        </w:tc>
        <w:tc>
          <w:tcPr>
            <w:tcW w:w="344" w:type="pct"/>
            <w:tcBorders>
              <w:top w:val="nil"/>
              <w:left w:val="nil"/>
              <w:bottom w:val="single" w:color="auto" w:sz="4" w:space="0"/>
              <w:right w:val="single" w:color="auto" w:sz="4" w:space="0"/>
            </w:tcBorders>
            <w:shd w:val="clear" w:color="000000" w:fill="FFFFFF"/>
            <w:vAlign w:val="center"/>
          </w:tcPr>
          <w:p w14:paraId="614425A4">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8585CD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32CF2A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5 </w:t>
            </w:r>
          </w:p>
        </w:tc>
        <w:tc>
          <w:tcPr>
            <w:tcW w:w="462" w:type="pct"/>
            <w:tcBorders>
              <w:top w:val="nil"/>
              <w:left w:val="nil"/>
              <w:bottom w:val="single" w:color="auto" w:sz="4" w:space="0"/>
              <w:right w:val="single" w:color="auto" w:sz="4" w:space="0"/>
            </w:tcBorders>
            <w:shd w:val="clear" w:color="000000" w:fill="FFFFFF"/>
            <w:vAlign w:val="center"/>
          </w:tcPr>
          <w:p w14:paraId="118E3B85">
            <w:pPr>
              <w:widowControl/>
              <w:jc w:val="left"/>
              <w:rPr>
                <w:rFonts w:ascii="宋体" w:hAnsi="宋体" w:cs="宋体"/>
                <w:kern w:val="0"/>
                <w:sz w:val="22"/>
                <w:szCs w:val="22"/>
              </w:rPr>
            </w:pPr>
            <w:r>
              <w:rPr>
                <w:rFonts w:hint="eastAsia" w:ascii="宋体" w:hAnsi="宋体" w:cs="宋体"/>
                <w:kern w:val="0"/>
                <w:sz w:val="22"/>
                <w:szCs w:val="22"/>
              </w:rPr>
              <w:t>　</w:t>
            </w:r>
          </w:p>
        </w:tc>
      </w:tr>
      <w:tr w14:paraId="74AF627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F8FA3E0">
            <w:pPr>
              <w:widowControl/>
              <w:jc w:val="center"/>
              <w:rPr>
                <w:rFonts w:ascii="宋体" w:hAnsi="宋体" w:cs="宋体"/>
                <w:b/>
                <w:bCs/>
                <w:kern w:val="0"/>
                <w:sz w:val="22"/>
                <w:szCs w:val="22"/>
              </w:rPr>
            </w:pPr>
            <w:r>
              <w:rPr>
                <w:rFonts w:hint="eastAsia" w:ascii="宋体" w:hAnsi="宋体" w:cs="宋体"/>
                <w:b/>
                <w:bCs/>
                <w:kern w:val="0"/>
                <w:sz w:val="22"/>
                <w:szCs w:val="22"/>
              </w:rPr>
              <w:t>27</w:t>
            </w:r>
          </w:p>
        </w:tc>
        <w:tc>
          <w:tcPr>
            <w:tcW w:w="849" w:type="pct"/>
            <w:tcBorders>
              <w:top w:val="nil"/>
              <w:left w:val="nil"/>
              <w:bottom w:val="single" w:color="auto" w:sz="4" w:space="0"/>
              <w:right w:val="single" w:color="auto" w:sz="4" w:space="0"/>
            </w:tcBorders>
            <w:shd w:val="clear" w:color="000000" w:fill="FFFFFF"/>
            <w:vAlign w:val="center"/>
          </w:tcPr>
          <w:p w14:paraId="370108C4">
            <w:pPr>
              <w:widowControl/>
              <w:jc w:val="left"/>
              <w:rPr>
                <w:rFonts w:ascii="宋体" w:hAnsi="宋体" w:cs="宋体"/>
                <w:kern w:val="0"/>
                <w:sz w:val="22"/>
                <w:szCs w:val="22"/>
              </w:rPr>
            </w:pPr>
            <w:r>
              <w:rPr>
                <w:rFonts w:hint="eastAsia" w:ascii="宋体" w:hAnsi="宋体" w:cs="宋体"/>
                <w:kern w:val="0"/>
                <w:sz w:val="22"/>
                <w:szCs w:val="22"/>
              </w:rPr>
              <w:t>设备接入服务器</w:t>
            </w:r>
          </w:p>
        </w:tc>
        <w:tc>
          <w:tcPr>
            <w:tcW w:w="2219" w:type="pct"/>
            <w:tcBorders>
              <w:top w:val="nil"/>
              <w:left w:val="nil"/>
              <w:bottom w:val="single" w:color="auto" w:sz="4" w:space="0"/>
              <w:right w:val="single" w:color="auto" w:sz="4" w:space="0"/>
            </w:tcBorders>
            <w:shd w:val="clear" w:color="000000" w:fill="FFFFFF"/>
            <w:vAlign w:val="center"/>
          </w:tcPr>
          <w:p w14:paraId="4B2D926C">
            <w:pPr>
              <w:widowControl/>
              <w:jc w:val="left"/>
              <w:rPr>
                <w:rFonts w:ascii="宋体" w:hAnsi="宋体" w:cs="宋体"/>
                <w:kern w:val="0"/>
                <w:sz w:val="22"/>
                <w:szCs w:val="22"/>
              </w:rPr>
            </w:pPr>
            <w:r>
              <w:rPr>
                <w:rFonts w:hint="eastAsia" w:ascii="宋体" w:hAnsi="宋体" w:cs="宋体"/>
                <w:kern w:val="0"/>
                <w:sz w:val="22"/>
                <w:szCs w:val="22"/>
              </w:rPr>
              <w:t>E5-2620 V3(6核2.4GHz)×1/16GB DDR4/1TB SATA×2/热插拔/SAS3008/DVD/1GbE×4/冗电/导轨/2U</w:t>
            </w:r>
          </w:p>
        </w:tc>
        <w:tc>
          <w:tcPr>
            <w:tcW w:w="344" w:type="pct"/>
            <w:tcBorders>
              <w:top w:val="nil"/>
              <w:left w:val="nil"/>
              <w:bottom w:val="single" w:color="auto" w:sz="4" w:space="0"/>
              <w:right w:val="single" w:color="auto" w:sz="4" w:space="0"/>
            </w:tcBorders>
            <w:shd w:val="clear" w:color="000000" w:fill="FFFFFF"/>
            <w:vAlign w:val="center"/>
          </w:tcPr>
          <w:p w14:paraId="20B1405D">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1C0796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E1C907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3B0C7E38">
            <w:pPr>
              <w:widowControl/>
              <w:jc w:val="left"/>
              <w:rPr>
                <w:rFonts w:ascii="宋体" w:hAnsi="宋体" w:cs="宋体"/>
                <w:kern w:val="0"/>
                <w:sz w:val="22"/>
                <w:szCs w:val="22"/>
              </w:rPr>
            </w:pPr>
            <w:r>
              <w:rPr>
                <w:rFonts w:hint="eastAsia" w:ascii="宋体" w:hAnsi="宋体" w:cs="宋体"/>
                <w:kern w:val="0"/>
                <w:sz w:val="22"/>
                <w:szCs w:val="22"/>
              </w:rPr>
              <w:t>　</w:t>
            </w:r>
          </w:p>
        </w:tc>
      </w:tr>
      <w:tr w14:paraId="3E209D91">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82BC3AD">
            <w:pPr>
              <w:widowControl/>
              <w:jc w:val="center"/>
              <w:rPr>
                <w:rFonts w:ascii="宋体" w:hAnsi="宋体" w:cs="宋体"/>
                <w:b/>
                <w:bCs/>
                <w:kern w:val="0"/>
                <w:sz w:val="22"/>
                <w:szCs w:val="22"/>
              </w:rPr>
            </w:pPr>
            <w:r>
              <w:rPr>
                <w:rFonts w:hint="eastAsia" w:ascii="宋体" w:hAnsi="宋体" w:cs="宋体"/>
                <w:b/>
                <w:bCs/>
                <w:kern w:val="0"/>
                <w:sz w:val="22"/>
                <w:szCs w:val="22"/>
              </w:rPr>
              <w:t>28</w:t>
            </w:r>
          </w:p>
        </w:tc>
        <w:tc>
          <w:tcPr>
            <w:tcW w:w="849" w:type="pct"/>
            <w:tcBorders>
              <w:top w:val="nil"/>
              <w:left w:val="nil"/>
              <w:bottom w:val="single" w:color="auto" w:sz="4" w:space="0"/>
              <w:right w:val="single" w:color="auto" w:sz="4" w:space="0"/>
            </w:tcBorders>
            <w:shd w:val="clear" w:color="000000" w:fill="FFFFFF"/>
            <w:vAlign w:val="center"/>
          </w:tcPr>
          <w:p w14:paraId="06660853">
            <w:pPr>
              <w:widowControl/>
              <w:jc w:val="left"/>
              <w:rPr>
                <w:rFonts w:ascii="宋体" w:hAnsi="宋体" w:cs="宋体"/>
                <w:kern w:val="0"/>
                <w:sz w:val="22"/>
                <w:szCs w:val="22"/>
              </w:rPr>
            </w:pPr>
            <w:r>
              <w:rPr>
                <w:rFonts w:hint="eastAsia" w:ascii="宋体" w:hAnsi="宋体" w:cs="宋体"/>
                <w:kern w:val="0"/>
                <w:sz w:val="22"/>
                <w:szCs w:val="22"/>
              </w:rPr>
              <w:t>视频质量诊断系统</w:t>
            </w:r>
          </w:p>
        </w:tc>
        <w:tc>
          <w:tcPr>
            <w:tcW w:w="2219" w:type="pct"/>
            <w:tcBorders>
              <w:top w:val="nil"/>
              <w:left w:val="nil"/>
              <w:bottom w:val="single" w:color="auto" w:sz="4" w:space="0"/>
              <w:right w:val="single" w:color="auto" w:sz="4" w:space="0"/>
            </w:tcBorders>
            <w:shd w:val="clear" w:color="000000" w:fill="FFFFFF"/>
            <w:vAlign w:val="center"/>
          </w:tcPr>
          <w:p w14:paraId="1893C203">
            <w:pPr>
              <w:widowControl/>
              <w:jc w:val="left"/>
              <w:rPr>
                <w:rFonts w:ascii="宋体" w:hAnsi="宋体" w:cs="宋体"/>
                <w:kern w:val="0"/>
                <w:sz w:val="22"/>
                <w:szCs w:val="22"/>
              </w:rPr>
            </w:pPr>
            <w:r>
              <w:rPr>
                <w:rFonts w:hint="eastAsia" w:ascii="宋体" w:hAnsi="宋体" w:cs="宋体"/>
                <w:kern w:val="0"/>
                <w:sz w:val="22"/>
                <w:szCs w:val="22"/>
              </w:rPr>
              <w:t>对摄像机异常情况进行巡检，异常情况包括：无图像、网络中断、图像异常等，一台至少可以保证3000路1080P高清一天检测完成；</w:t>
            </w:r>
          </w:p>
        </w:tc>
        <w:tc>
          <w:tcPr>
            <w:tcW w:w="344" w:type="pct"/>
            <w:tcBorders>
              <w:top w:val="nil"/>
              <w:left w:val="nil"/>
              <w:bottom w:val="single" w:color="auto" w:sz="4" w:space="0"/>
              <w:right w:val="single" w:color="auto" w:sz="4" w:space="0"/>
            </w:tcBorders>
            <w:shd w:val="clear" w:color="000000" w:fill="FFFFFF"/>
            <w:vAlign w:val="center"/>
          </w:tcPr>
          <w:p w14:paraId="0BDF43A9">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13D1DB7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5E01B9F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2FD7E698">
            <w:pPr>
              <w:widowControl/>
              <w:jc w:val="left"/>
              <w:rPr>
                <w:rFonts w:ascii="宋体" w:hAnsi="宋体" w:cs="宋体"/>
                <w:kern w:val="0"/>
                <w:sz w:val="22"/>
                <w:szCs w:val="22"/>
              </w:rPr>
            </w:pPr>
            <w:r>
              <w:rPr>
                <w:rFonts w:hint="eastAsia" w:ascii="宋体" w:hAnsi="宋体" w:cs="宋体"/>
                <w:kern w:val="0"/>
                <w:sz w:val="22"/>
                <w:szCs w:val="22"/>
              </w:rPr>
              <w:t>　</w:t>
            </w:r>
          </w:p>
        </w:tc>
      </w:tr>
      <w:tr w14:paraId="6EF06C3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12C3B59">
            <w:pPr>
              <w:widowControl/>
              <w:jc w:val="center"/>
              <w:rPr>
                <w:rFonts w:ascii="宋体" w:hAnsi="宋体" w:cs="宋体"/>
                <w:b/>
                <w:bCs/>
                <w:kern w:val="0"/>
                <w:sz w:val="22"/>
                <w:szCs w:val="22"/>
              </w:rPr>
            </w:pPr>
            <w:r>
              <w:rPr>
                <w:rFonts w:hint="eastAsia" w:ascii="宋体" w:hAnsi="宋体" w:cs="宋体"/>
                <w:b/>
                <w:bCs/>
                <w:kern w:val="0"/>
                <w:sz w:val="22"/>
                <w:szCs w:val="22"/>
              </w:rPr>
              <w:t>29</w:t>
            </w:r>
          </w:p>
        </w:tc>
        <w:tc>
          <w:tcPr>
            <w:tcW w:w="849" w:type="pct"/>
            <w:tcBorders>
              <w:top w:val="nil"/>
              <w:left w:val="nil"/>
              <w:bottom w:val="single" w:color="auto" w:sz="4" w:space="0"/>
              <w:right w:val="single" w:color="auto" w:sz="4" w:space="0"/>
            </w:tcBorders>
            <w:shd w:val="clear" w:color="000000" w:fill="FFFFFF"/>
            <w:vAlign w:val="center"/>
          </w:tcPr>
          <w:p w14:paraId="23CA13BC">
            <w:pPr>
              <w:widowControl/>
              <w:jc w:val="left"/>
              <w:rPr>
                <w:rFonts w:ascii="宋体" w:hAnsi="宋体" w:cs="宋体"/>
                <w:kern w:val="0"/>
                <w:sz w:val="22"/>
                <w:szCs w:val="22"/>
              </w:rPr>
            </w:pPr>
            <w:r>
              <w:rPr>
                <w:rFonts w:hint="eastAsia" w:ascii="宋体" w:hAnsi="宋体" w:cs="宋体"/>
                <w:kern w:val="0"/>
                <w:sz w:val="22"/>
                <w:szCs w:val="22"/>
              </w:rPr>
              <w:t>千兆接入交换机</w:t>
            </w:r>
          </w:p>
        </w:tc>
        <w:tc>
          <w:tcPr>
            <w:tcW w:w="2219" w:type="pct"/>
            <w:tcBorders>
              <w:top w:val="nil"/>
              <w:left w:val="nil"/>
              <w:bottom w:val="single" w:color="auto" w:sz="4" w:space="0"/>
              <w:right w:val="single" w:color="auto" w:sz="4" w:space="0"/>
            </w:tcBorders>
            <w:shd w:val="clear" w:color="000000" w:fill="FFFFFF"/>
            <w:vAlign w:val="center"/>
          </w:tcPr>
          <w:p w14:paraId="3DFBB1BE">
            <w:pPr>
              <w:widowControl/>
              <w:jc w:val="left"/>
              <w:rPr>
                <w:rFonts w:ascii="宋体" w:hAnsi="宋体" w:cs="宋体"/>
                <w:kern w:val="0"/>
                <w:sz w:val="22"/>
                <w:szCs w:val="22"/>
              </w:rPr>
            </w:pPr>
            <w:r>
              <w:rPr>
                <w:rFonts w:hint="eastAsia" w:ascii="宋体" w:hAnsi="宋体" w:cs="宋体"/>
                <w:kern w:val="0"/>
                <w:sz w:val="22"/>
                <w:szCs w:val="22"/>
              </w:rPr>
              <w:t xml:space="preserve">24个千兆电口，4个千兆光口，网管三层 </w:t>
            </w:r>
          </w:p>
        </w:tc>
        <w:tc>
          <w:tcPr>
            <w:tcW w:w="344" w:type="pct"/>
            <w:tcBorders>
              <w:top w:val="nil"/>
              <w:left w:val="nil"/>
              <w:bottom w:val="single" w:color="auto" w:sz="4" w:space="0"/>
              <w:right w:val="single" w:color="auto" w:sz="4" w:space="0"/>
            </w:tcBorders>
            <w:shd w:val="clear" w:color="000000" w:fill="FFFFFF"/>
            <w:vAlign w:val="center"/>
          </w:tcPr>
          <w:p w14:paraId="5F4C4AAF">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2E6076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7BC016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F024203">
            <w:pPr>
              <w:widowControl/>
              <w:jc w:val="left"/>
              <w:rPr>
                <w:rFonts w:ascii="宋体" w:hAnsi="宋体" w:cs="宋体"/>
                <w:kern w:val="0"/>
                <w:sz w:val="22"/>
                <w:szCs w:val="22"/>
              </w:rPr>
            </w:pPr>
            <w:r>
              <w:rPr>
                <w:rFonts w:hint="eastAsia" w:ascii="宋体" w:hAnsi="宋体" w:cs="宋体"/>
                <w:kern w:val="0"/>
                <w:sz w:val="22"/>
                <w:szCs w:val="22"/>
              </w:rPr>
              <w:t>　</w:t>
            </w:r>
          </w:p>
        </w:tc>
      </w:tr>
      <w:tr w14:paraId="3D88BBCB">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2245E35">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49" w:type="pct"/>
            <w:tcBorders>
              <w:top w:val="nil"/>
              <w:left w:val="nil"/>
              <w:bottom w:val="single" w:color="auto" w:sz="4" w:space="0"/>
              <w:right w:val="single" w:color="auto" w:sz="4" w:space="0"/>
            </w:tcBorders>
            <w:shd w:val="clear" w:color="000000" w:fill="FFFFFF"/>
            <w:vAlign w:val="center"/>
          </w:tcPr>
          <w:p w14:paraId="2EC3C15F">
            <w:pPr>
              <w:widowControl/>
              <w:jc w:val="left"/>
              <w:rPr>
                <w:rFonts w:ascii="宋体" w:hAnsi="宋体" w:cs="宋体"/>
                <w:kern w:val="0"/>
                <w:sz w:val="22"/>
                <w:szCs w:val="22"/>
              </w:rPr>
            </w:pPr>
            <w:r>
              <w:rPr>
                <w:rFonts w:hint="eastAsia" w:ascii="宋体" w:hAnsi="宋体" w:cs="宋体"/>
                <w:kern w:val="0"/>
                <w:sz w:val="22"/>
                <w:szCs w:val="22"/>
              </w:rPr>
              <w:t>千兆接入交换机</w:t>
            </w:r>
          </w:p>
        </w:tc>
        <w:tc>
          <w:tcPr>
            <w:tcW w:w="2219" w:type="pct"/>
            <w:tcBorders>
              <w:top w:val="nil"/>
              <w:left w:val="nil"/>
              <w:bottom w:val="single" w:color="auto" w:sz="4" w:space="0"/>
              <w:right w:val="single" w:color="auto" w:sz="4" w:space="0"/>
            </w:tcBorders>
            <w:shd w:val="clear" w:color="000000" w:fill="FFFFFF"/>
            <w:vAlign w:val="center"/>
          </w:tcPr>
          <w:p w14:paraId="5FE86A52">
            <w:pPr>
              <w:widowControl/>
              <w:jc w:val="left"/>
              <w:rPr>
                <w:rFonts w:ascii="宋体" w:hAnsi="宋体" w:cs="宋体"/>
                <w:kern w:val="0"/>
                <w:sz w:val="22"/>
                <w:szCs w:val="22"/>
              </w:rPr>
            </w:pPr>
            <w:r>
              <w:rPr>
                <w:rFonts w:hint="eastAsia" w:ascii="宋体" w:hAnsi="宋体" w:cs="宋体"/>
                <w:kern w:val="0"/>
                <w:sz w:val="22"/>
                <w:szCs w:val="22"/>
              </w:rPr>
              <w:t>全千兆三层交换机，48千兆电，4千兆SFP，2QSFP+堆叠口</w:t>
            </w:r>
          </w:p>
        </w:tc>
        <w:tc>
          <w:tcPr>
            <w:tcW w:w="344" w:type="pct"/>
            <w:tcBorders>
              <w:top w:val="nil"/>
              <w:left w:val="nil"/>
              <w:bottom w:val="single" w:color="auto" w:sz="4" w:space="0"/>
              <w:right w:val="single" w:color="auto" w:sz="4" w:space="0"/>
            </w:tcBorders>
            <w:shd w:val="clear" w:color="000000" w:fill="FFFFFF"/>
            <w:vAlign w:val="center"/>
          </w:tcPr>
          <w:p w14:paraId="6F721113">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66BA555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1F86E84">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581776D5">
            <w:pPr>
              <w:widowControl/>
              <w:jc w:val="left"/>
              <w:rPr>
                <w:rFonts w:ascii="宋体" w:hAnsi="宋体" w:cs="宋体"/>
                <w:kern w:val="0"/>
                <w:sz w:val="22"/>
                <w:szCs w:val="22"/>
              </w:rPr>
            </w:pPr>
            <w:r>
              <w:rPr>
                <w:rFonts w:hint="eastAsia" w:ascii="宋体" w:hAnsi="宋体" w:cs="宋体"/>
                <w:kern w:val="0"/>
                <w:sz w:val="22"/>
                <w:szCs w:val="22"/>
              </w:rPr>
              <w:t>　</w:t>
            </w:r>
          </w:p>
        </w:tc>
      </w:tr>
      <w:tr w14:paraId="6F5E5993">
        <w:tblPrEx>
          <w:tblCellMar>
            <w:top w:w="0" w:type="dxa"/>
            <w:left w:w="108" w:type="dxa"/>
            <w:bottom w:w="0" w:type="dxa"/>
            <w:right w:w="108" w:type="dxa"/>
          </w:tblCellMar>
        </w:tblPrEx>
        <w:trPr>
          <w:trHeight w:val="570" w:hRule="atLeast"/>
        </w:trPr>
        <w:tc>
          <w:tcPr>
            <w:tcW w:w="4538"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87F9881">
            <w:pPr>
              <w:widowControl/>
              <w:jc w:val="left"/>
              <w:rPr>
                <w:rFonts w:ascii="宋体" w:hAnsi="宋体" w:cs="宋体"/>
                <w:b/>
                <w:bCs/>
                <w:kern w:val="0"/>
                <w:sz w:val="22"/>
                <w:szCs w:val="22"/>
              </w:rPr>
            </w:pPr>
            <w:r>
              <w:rPr>
                <w:rFonts w:hint="eastAsia" w:ascii="宋体" w:hAnsi="宋体" w:cs="宋体"/>
                <w:b/>
                <w:bCs/>
                <w:kern w:val="0"/>
                <w:sz w:val="22"/>
                <w:szCs w:val="22"/>
              </w:rPr>
              <w:t>会议系统</w:t>
            </w:r>
          </w:p>
        </w:tc>
        <w:tc>
          <w:tcPr>
            <w:tcW w:w="462" w:type="pct"/>
            <w:tcBorders>
              <w:top w:val="nil"/>
              <w:left w:val="nil"/>
              <w:bottom w:val="single" w:color="auto" w:sz="4" w:space="0"/>
              <w:right w:val="single" w:color="auto" w:sz="4" w:space="0"/>
            </w:tcBorders>
            <w:shd w:val="clear" w:color="000000" w:fill="FFFFFF"/>
            <w:vAlign w:val="center"/>
          </w:tcPr>
          <w:p w14:paraId="073981BF">
            <w:pPr>
              <w:widowControl/>
              <w:jc w:val="left"/>
              <w:rPr>
                <w:rFonts w:ascii="宋体" w:hAnsi="宋体" w:cs="宋体"/>
                <w:kern w:val="0"/>
                <w:sz w:val="22"/>
                <w:szCs w:val="22"/>
              </w:rPr>
            </w:pPr>
            <w:r>
              <w:rPr>
                <w:rFonts w:hint="eastAsia" w:ascii="宋体" w:hAnsi="宋体" w:cs="宋体"/>
                <w:kern w:val="0"/>
                <w:sz w:val="22"/>
                <w:szCs w:val="22"/>
              </w:rPr>
              <w:t>　</w:t>
            </w:r>
          </w:p>
        </w:tc>
      </w:tr>
      <w:tr w14:paraId="56173F5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AD18A91">
            <w:pPr>
              <w:widowControl/>
              <w:jc w:val="center"/>
              <w:rPr>
                <w:rFonts w:ascii="宋体" w:hAnsi="宋体" w:cs="宋体"/>
                <w:b/>
                <w:bCs/>
                <w:kern w:val="0"/>
                <w:sz w:val="22"/>
                <w:szCs w:val="22"/>
              </w:rPr>
            </w:pPr>
            <w:r>
              <w:rPr>
                <w:rFonts w:hint="eastAsia" w:ascii="宋体" w:hAnsi="宋体" w:cs="宋体"/>
                <w:b/>
                <w:bCs/>
                <w:kern w:val="0"/>
                <w:sz w:val="22"/>
                <w:szCs w:val="22"/>
              </w:rPr>
              <w:t>31</w:t>
            </w:r>
          </w:p>
        </w:tc>
        <w:tc>
          <w:tcPr>
            <w:tcW w:w="849" w:type="pct"/>
            <w:tcBorders>
              <w:top w:val="nil"/>
              <w:left w:val="nil"/>
              <w:bottom w:val="single" w:color="auto" w:sz="4" w:space="0"/>
              <w:right w:val="single" w:color="auto" w:sz="4" w:space="0"/>
            </w:tcBorders>
            <w:shd w:val="clear" w:color="000000" w:fill="FFFFFF"/>
            <w:vAlign w:val="center"/>
          </w:tcPr>
          <w:p w14:paraId="47030131">
            <w:pPr>
              <w:widowControl/>
              <w:jc w:val="left"/>
              <w:rPr>
                <w:rFonts w:ascii="宋体" w:hAnsi="宋体" w:cs="宋体"/>
                <w:kern w:val="0"/>
                <w:sz w:val="22"/>
                <w:szCs w:val="22"/>
              </w:rPr>
            </w:pPr>
            <w:r>
              <w:rPr>
                <w:rFonts w:hint="eastAsia" w:ascii="宋体" w:hAnsi="宋体" w:cs="宋体"/>
                <w:kern w:val="0"/>
                <w:sz w:val="22"/>
                <w:szCs w:val="22"/>
              </w:rPr>
              <w:t>专业音箱120W</w:t>
            </w:r>
          </w:p>
        </w:tc>
        <w:tc>
          <w:tcPr>
            <w:tcW w:w="2219" w:type="pct"/>
            <w:tcBorders>
              <w:top w:val="nil"/>
              <w:left w:val="nil"/>
              <w:bottom w:val="single" w:color="auto" w:sz="4" w:space="0"/>
              <w:right w:val="single" w:color="auto" w:sz="4" w:space="0"/>
            </w:tcBorders>
            <w:shd w:val="clear" w:color="000000" w:fill="FFFFFF"/>
            <w:vAlign w:val="center"/>
          </w:tcPr>
          <w:p w14:paraId="659A1349">
            <w:pPr>
              <w:widowControl/>
              <w:jc w:val="left"/>
              <w:rPr>
                <w:rFonts w:ascii="宋体" w:hAnsi="宋体" w:cs="宋体"/>
                <w:kern w:val="0"/>
                <w:sz w:val="22"/>
                <w:szCs w:val="22"/>
              </w:rPr>
            </w:pPr>
            <w:r>
              <w:rPr>
                <w:rFonts w:hint="eastAsia" w:ascii="宋体" w:hAnsi="宋体" w:cs="宋体"/>
                <w:kern w:val="0"/>
                <w:sz w:val="22"/>
                <w:szCs w:val="22"/>
              </w:rPr>
              <w:t>1、功率:120W；</w:t>
            </w:r>
            <w:r>
              <w:rPr>
                <w:rFonts w:hint="eastAsia" w:ascii="宋体" w:hAnsi="宋体" w:cs="宋体"/>
                <w:kern w:val="0"/>
                <w:sz w:val="22"/>
                <w:szCs w:val="22"/>
              </w:rPr>
              <w:br w:type="textWrapping"/>
            </w:r>
            <w:r>
              <w:rPr>
                <w:rFonts w:hint="eastAsia" w:ascii="宋体" w:hAnsi="宋体" w:cs="宋体"/>
                <w:kern w:val="0"/>
                <w:sz w:val="22"/>
                <w:szCs w:val="22"/>
              </w:rPr>
              <w:t>2、最大功率：250W；</w:t>
            </w:r>
            <w:r>
              <w:rPr>
                <w:rFonts w:hint="eastAsia" w:ascii="宋体" w:hAnsi="宋体" w:cs="宋体"/>
                <w:kern w:val="0"/>
                <w:sz w:val="22"/>
                <w:szCs w:val="22"/>
              </w:rPr>
              <w:br w:type="textWrapping"/>
            </w:r>
            <w:r>
              <w:rPr>
                <w:rFonts w:hint="eastAsia" w:ascii="宋体" w:hAnsi="宋体" w:cs="宋体"/>
                <w:kern w:val="0"/>
                <w:sz w:val="22"/>
                <w:szCs w:val="22"/>
              </w:rPr>
              <w:t>3、阻抗:8Ω（黑色com,红色8Ω)；</w:t>
            </w:r>
          </w:p>
        </w:tc>
        <w:tc>
          <w:tcPr>
            <w:tcW w:w="344" w:type="pct"/>
            <w:tcBorders>
              <w:top w:val="nil"/>
              <w:left w:val="nil"/>
              <w:bottom w:val="single" w:color="auto" w:sz="4" w:space="0"/>
              <w:right w:val="single" w:color="auto" w:sz="4" w:space="0"/>
            </w:tcBorders>
            <w:shd w:val="clear" w:color="000000" w:fill="FFFFFF"/>
            <w:vAlign w:val="center"/>
          </w:tcPr>
          <w:p w14:paraId="04FBA3CC">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7212E90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只</w:t>
            </w:r>
          </w:p>
        </w:tc>
        <w:tc>
          <w:tcPr>
            <w:tcW w:w="355" w:type="pct"/>
            <w:tcBorders>
              <w:top w:val="nil"/>
              <w:left w:val="nil"/>
              <w:bottom w:val="single" w:color="auto" w:sz="4" w:space="0"/>
              <w:right w:val="single" w:color="auto" w:sz="4" w:space="0"/>
            </w:tcBorders>
            <w:shd w:val="clear" w:color="000000" w:fill="FFFFFF"/>
            <w:vAlign w:val="center"/>
          </w:tcPr>
          <w:p w14:paraId="263A3E3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4 </w:t>
            </w:r>
          </w:p>
        </w:tc>
        <w:tc>
          <w:tcPr>
            <w:tcW w:w="462" w:type="pct"/>
            <w:tcBorders>
              <w:top w:val="nil"/>
              <w:left w:val="nil"/>
              <w:bottom w:val="single" w:color="auto" w:sz="4" w:space="0"/>
              <w:right w:val="single" w:color="auto" w:sz="4" w:space="0"/>
            </w:tcBorders>
            <w:shd w:val="clear" w:color="000000" w:fill="FFFFFF"/>
            <w:noWrap/>
            <w:vAlign w:val="center"/>
          </w:tcPr>
          <w:p w14:paraId="53F580D7">
            <w:pPr>
              <w:widowControl/>
              <w:jc w:val="left"/>
              <w:rPr>
                <w:rFonts w:ascii="宋体" w:hAnsi="宋体" w:cs="宋体"/>
                <w:kern w:val="0"/>
                <w:sz w:val="22"/>
                <w:szCs w:val="22"/>
              </w:rPr>
            </w:pPr>
            <w:r>
              <w:rPr>
                <w:rFonts w:hint="eastAsia" w:ascii="宋体" w:hAnsi="宋体" w:cs="宋体"/>
                <w:kern w:val="0"/>
                <w:sz w:val="22"/>
                <w:szCs w:val="22"/>
              </w:rPr>
              <w:t>　</w:t>
            </w:r>
          </w:p>
        </w:tc>
      </w:tr>
      <w:tr w14:paraId="3CE93D1B">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F896F43">
            <w:pPr>
              <w:widowControl/>
              <w:jc w:val="center"/>
              <w:rPr>
                <w:rFonts w:ascii="宋体" w:hAnsi="宋体" w:cs="宋体"/>
                <w:b/>
                <w:bCs/>
                <w:kern w:val="0"/>
                <w:sz w:val="22"/>
                <w:szCs w:val="22"/>
              </w:rPr>
            </w:pPr>
            <w:r>
              <w:rPr>
                <w:rFonts w:hint="eastAsia" w:ascii="宋体" w:hAnsi="宋体" w:cs="宋体"/>
                <w:b/>
                <w:bCs/>
                <w:kern w:val="0"/>
                <w:sz w:val="22"/>
                <w:szCs w:val="22"/>
              </w:rPr>
              <w:t>32</w:t>
            </w:r>
          </w:p>
        </w:tc>
        <w:tc>
          <w:tcPr>
            <w:tcW w:w="849" w:type="pct"/>
            <w:tcBorders>
              <w:top w:val="nil"/>
              <w:left w:val="nil"/>
              <w:bottom w:val="single" w:color="auto" w:sz="4" w:space="0"/>
              <w:right w:val="single" w:color="auto" w:sz="4" w:space="0"/>
            </w:tcBorders>
            <w:shd w:val="clear" w:color="000000" w:fill="FFFFFF"/>
            <w:vAlign w:val="center"/>
          </w:tcPr>
          <w:p w14:paraId="5323176F">
            <w:pPr>
              <w:widowControl/>
              <w:jc w:val="left"/>
              <w:rPr>
                <w:rFonts w:ascii="宋体" w:hAnsi="宋体" w:cs="宋体"/>
                <w:kern w:val="0"/>
                <w:sz w:val="22"/>
                <w:szCs w:val="22"/>
              </w:rPr>
            </w:pPr>
            <w:r>
              <w:rPr>
                <w:rFonts w:hint="eastAsia" w:ascii="宋体" w:hAnsi="宋体" w:cs="宋体"/>
                <w:kern w:val="0"/>
                <w:sz w:val="22"/>
                <w:szCs w:val="22"/>
              </w:rPr>
              <w:t>专业音箱功放2*200W</w:t>
            </w:r>
          </w:p>
        </w:tc>
        <w:tc>
          <w:tcPr>
            <w:tcW w:w="2219" w:type="pct"/>
            <w:tcBorders>
              <w:top w:val="nil"/>
              <w:left w:val="nil"/>
              <w:bottom w:val="single" w:color="auto" w:sz="4" w:space="0"/>
              <w:right w:val="single" w:color="auto" w:sz="4" w:space="0"/>
            </w:tcBorders>
            <w:shd w:val="clear" w:color="000000" w:fill="FFFFFF"/>
            <w:vAlign w:val="center"/>
          </w:tcPr>
          <w:p w14:paraId="05CCC24E">
            <w:pPr>
              <w:widowControl/>
              <w:jc w:val="left"/>
              <w:rPr>
                <w:rFonts w:ascii="宋体" w:hAnsi="宋体" w:cs="宋体"/>
                <w:kern w:val="0"/>
                <w:sz w:val="22"/>
                <w:szCs w:val="22"/>
              </w:rPr>
            </w:pPr>
            <w:r>
              <w:rPr>
                <w:rFonts w:hint="eastAsia" w:ascii="宋体" w:hAnsi="宋体" w:cs="宋体"/>
                <w:kern w:val="0"/>
                <w:sz w:val="22"/>
                <w:szCs w:val="22"/>
              </w:rPr>
              <w:t xml:space="preserve"> 立体声/并联8R： 200W*2 </w:t>
            </w:r>
            <w:r>
              <w:rPr>
                <w:rFonts w:hint="eastAsia" w:ascii="宋体" w:hAnsi="宋体" w:cs="宋体"/>
                <w:kern w:val="0"/>
                <w:sz w:val="22"/>
                <w:szCs w:val="22"/>
              </w:rPr>
              <w:br w:type="textWrapping"/>
            </w:r>
            <w:r>
              <w:rPr>
                <w:rFonts w:hint="eastAsia" w:ascii="宋体" w:hAnsi="宋体" w:cs="宋体"/>
                <w:kern w:val="0"/>
                <w:sz w:val="22"/>
                <w:szCs w:val="22"/>
              </w:rPr>
              <w:t xml:space="preserve"> 立体声/并联4R ：300W*2 </w:t>
            </w:r>
            <w:r>
              <w:rPr>
                <w:rFonts w:hint="eastAsia" w:ascii="宋体" w:hAnsi="宋体" w:cs="宋体"/>
                <w:kern w:val="0"/>
                <w:sz w:val="22"/>
                <w:szCs w:val="22"/>
              </w:rPr>
              <w:br w:type="textWrapping"/>
            </w:r>
            <w:r>
              <w:rPr>
                <w:rFonts w:hint="eastAsia" w:ascii="宋体" w:hAnsi="宋体" w:cs="宋体"/>
                <w:kern w:val="0"/>
                <w:sz w:val="22"/>
                <w:szCs w:val="22"/>
              </w:rPr>
              <w:t xml:space="preserve">桥接8R： 600W </w:t>
            </w:r>
          </w:p>
        </w:tc>
        <w:tc>
          <w:tcPr>
            <w:tcW w:w="344" w:type="pct"/>
            <w:tcBorders>
              <w:top w:val="nil"/>
              <w:left w:val="nil"/>
              <w:bottom w:val="single" w:color="auto" w:sz="4" w:space="0"/>
              <w:right w:val="single" w:color="auto" w:sz="4" w:space="0"/>
            </w:tcBorders>
            <w:shd w:val="clear" w:color="000000" w:fill="FFFFFF"/>
            <w:vAlign w:val="center"/>
          </w:tcPr>
          <w:p w14:paraId="2161A9C0">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4521429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0E7E66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noWrap/>
            <w:vAlign w:val="center"/>
          </w:tcPr>
          <w:p w14:paraId="30CFD806">
            <w:pPr>
              <w:widowControl/>
              <w:jc w:val="left"/>
              <w:rPr>
                <w:rFonts w:ascii="宋体" w:hAnsi="宋体" w:cs="宋体"/>
                <w:kern w:val="0"/>
                <w:sz w:val="22"/>
                <w:szCs w:val="22"/>
              </w:rPr>
            </w:pPr>
            <w:r>
              <w:rPr>
                <w:rFonts w:hint="eastAsia" w:ascii="宋体" w:hAnsi="宋体" w:cs="宋体"/>
                <w:kern w:val="0"/>
                <w:sz w:val="22"/>
                <w:szCs w:val="22"/>
              </w:rPr>
              <w:t>　</w:t>
            </w:r>
          </w:p>
        </w:tc>
      </w:tr>
      <w:tr w14:paraId="3624C4AE">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13E17A0">
            <w:pPr>
              <w:widowControl/>
              <w:jc w:val="center"/>
              <w:rPr>
                <w:rFonts w:ascii="宋体" w:hAnsi="宋体" w:cs="宋体"/>
                <w:b/>
                <w:bCs/>
                <w:kern w:val="0"/>
                <w:sz w:val="22"/>
                <w:szCs w:val="22"/>
              </w:rPr>
            </w:pPr>
            <w:r>
              <w:rPr>
                <w:rFonts w:hint="eastAsia" w:ascii="宋体" w:hAnsi="宋体" w:cs="宋体"/>
                <w:b/>
                <w:bCs/>
                <w:kern w:val="0"/>
                <w:sz w:val="22"/>
                <w:szCs w:val="22"/>
              </w:rPr>
              <w:t>33</w:t>
            </w:r>
          </w:p>
        </w:tc>
        <w:tc>
          <w:tcPr>
            <w:tcW w:w="849" w:type="pct"/>
            <w:tcBorders>
              <w:top w:val="nil"/>
              <w:left w:val="nil"/>
              <w:bottom w:val="single" w:color="auto" w:sz="4" w:space="0"/>
              <w:right w:val="single" w:color="auto" w:sz="4" w:space="0"/>
            </w:tcBorders>
            <w:shd w:val="clear" w:color="000000" w:fill="FFFFFF"/>
            <w:vAlign w:val="center"/>
          </w:tcPr>
          <w:p w14:paraId="2847E71E">
            <w:pPr>
              <w:widowControl/>
              <w:jc w:val="left"/>
              <w:rPr>
                <w:rFonts w:ascii="宋体" w:hAnsi="宋体" w:cs="宋体"/>
                <w:kern w:val="0"/>
                <w:sz w:val="22"/>
                <w:szCs w:val="22"/>
              </w:rPr>
            </w:pPr>
            <w:r>
              <w:rPr>
                <w:rFonts w:hint="eastAsia" w:ascii="宋体" w:hAnsi="宋体" w:cs="宋体"/>
                <w:kern w:val="0"/>
                <w:sz w:val="22"/>
                <w:szCs w:val="22"/>
              </w:rPr>
              <w:t>10路调音台</w:t>
            </w:r>
          </w:p>
        </w:tc>
        <w:tc>
          <w:tcPr>
            <w:tcW w:w="2219" w:type="pct"/>
            <w:tcBorders>
              <w:top w:val="nil"/>
              <w:left w:val="nil"/>
              <w:bottom w:val="single" w:color="auto" w:sz="4" w:space="0"/>
              <w:right w:val="single" w:color="auto" w:sz="4" w:space="0"/>
            </w:tcBorders>
            <w:shd w:val="clear" w:color="000000" w:fill="FFFFFF"/>
            <w:vAlign w:val="center"/>
          </w:tcPr>
          <w:p w14:paraId="6EEB939E">
            <w:pPr>
              <w:widowControl/>
              <w:jc w:val="left"/>
              <w:rPr>
                <w:rFonts w:ascii="宋体" w:hAnsi="宋体" w:cs="宋体"/>
                <w:kern w:val="0"/>
                <w:sz w:val="22"/>
                <w:szCs w:val="22"/>
              </w:rPr>
            </w:pPr>
            <w:r>
              <w:rPr>
                <w:rFonts w:hint="eastAsia" w:ascii="宋体" w:hAnsi="宋体" w:cs="宋体"/>
                <w:kern w:val="0"/>
                <w:sz w:val="22"/>
                <w:szCs w:val="22"/>
              </w:rPr>
              <w:t>10通道调音台</w:t>
            </w:r>
            <w:r>
              <w:rPr>
                <w:rFonts w:hint="eastAsia" w:ascii="宋体" w:hAnsi="宋体" w:cs="宋体"/>
                <w:kern w:val="0"/>
                <w:sz w:val="22"/>
                <w:szCs w:val="22"/>
              </w:rPr>
              <w:br w:type="textWrapping"/>
            </w:r>
            <w:r>
              <w:rPr>
                <w:rFonts w:hint="eastAsia" w:ascii="宋体" w:hAnsi="宋体" w:cs="宋体"/>
                <w:kern w:val="0"/>
                <w:sz w:val="22"/>
                <w:szCs w:val="22"/>
              </w:rPr>
              <w:t>最多4个话筒 / 10个线路输入 (4个单声道 + 3个立体声)</w:t>
            </w:r>
          </w:p>
        </w:tc>
        <w:tc>
          <w:tcPr>
            <w:tcW w:w="344" w:type="pct"/>
            <w:tcBorders>
              <w:top w:val="nil"/>
              <w:left w:val="nil"/>
              <w:bottom w:val="single" w:color="auto" w:sz="4" w:space="0"/>
              <w:right w:val="single" w:color="auto" w:sz="4" w:space="0"/>
            </w:tcBorders>
            <w:shd w:val="clear" w:color="000000" w:fill="FFFFFF"/>
            <w:vAlign w:val="center"/>
          </w:tcPr>
          <w:p w14:paraId="50B5273E">
            <w:pPr>
              <w:widowControl/>
              <w:jc w:val="center"/>
              <w:rPr>
                <w:rFonts w:ascii="宋体" w:hAnsi="宋体" w:cs="宋体"/>
                <w:kern w:val="0"/>
                <w:sz w:val="22"/>
                <w:szCs w:val="22"/>
              </w:rPr>
            </w:pPr>
            <w:r>
              <w:rPr>
                <w:rFonts w:hint="eastAsia" w:ascii="宋体" w:hAnsi="宋体" w:cs="宋体"/>
                <w:kern w:val="0"/>
                <w:sz w:val="22"/>
                <w:szCs w:val="22"/>
              </w:rPr>
              <w:t>YAMAHA</w:t>
            </w:r>
          </w:p>
        </w:tc>
        <w:tc>
          <w:tcPr>
            <w:tcW w:w="330" w:type="pct"/>
            <w:tcBorders>
              <w:top w:val="nil"/>
              <w:left w:val="nil"/>
              <w:bottom w:val="single" w:color="auto" w:sz="4" w:space="0"/>
              <w:right w:val="single" w:color="auto" w:sz="4" w:space="0"/>
            </w:tcBorders>
            <w:shd w:val="clear" w:color="000000" w:fill="FFFFFF"/>
            <w:vAlign w:val="center"/>
          </w:tcPr>
          <w:p w14:paraId="50B7708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CCE7F8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4258BD60">
            <w:pPr>
              <w:widowControl/>
              <w:jc w:val="left"/>
              <w:rPr>
                <w:rFonts w:ascii="宋体" w:hAnsi="宋体" w:cs="宋体"/>
                <w:kern w:val="0"/>
                <w:sz w:val="22"/>
                <w:szCs w:val="22"/>
              </w:rPr>
            </w:pPr>
            <w:r>
              <w:rPr>
                <w:rFonts w:hint="eastAsia" w:ascii="宋体" w:hAnsi="宋体" w:cs="宋体"/>
                <w:kern w:val="0"/>
                <w:sz w:val="22"/>
                <w:szCs w:val="22"/>
              </w:rPr>
              <w:t>　</w:t>
            </w:r>
          </w:p>
        </w:tc>
      </w:tr>
      <w:tr w14:paraId="6C19E2A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78BE2A4">
            <w:pPr>
              <w:widowControl/>
              <w:jc w:val="center"/>
              <w:rPr>
                <w:rFonts w:ascii="宋体" w:hAnsi="宋体" w:cs="宋体"/>
                <w:b/>
                <w:bCs/>
                <w:kern w:val="0"/>
                <w:sz w:val="22"/>
                <w:szCs w:val="22"/>
              </w:rPr>
            </w:pPr>
            <w:r>
              <w:rPr>
                <w:rFonts w:hint="eastAsia" w:ascii="宋体" w:hAnsi="宋体" w:cs="宋体"/>
                <w:b/>
                <w:bCs/>
                <w:kern w:val="0"/>
                <w:sz w:val="22"/>
                <w:szCs w:val="22"/>
              </w:rPr>
              <w:t>34</w:t>
            </w:r>
          </w:p>
        </w:tc>
        <w:tc>
          <w:tcPr>
            <w:tcW w:w="849" w:type="pct"/>
            <w:tcBorders>
              <w:top w:val="nil"/>
              <w:left w:val="nil"/>
              <w:bottom w:val="single" w:color="auto" w:sz="4" w:space="0"/>
              <w:right w:val="single" w:color="auto" w:sz="4" w:space="0"/>
            </w:tcBorders>
            <w:shd w:val="clear" w:color="000000" w:fill="FFFFFF"/>
            <w:vAlign w:val="center"/>
          </w:tcPr>
          <w:p w14:paraId="49AFE4AE">
            <w:pPr>
              <w:widowControl/>
              <w:jc w:val="left"/>
              <w:rPr>
                <w:rFonts w:ascii="宋体" w:hAnsi="宋体" w:cs="宋体"/>
                <w:kern w:val="0"/>
                <w:sz w:val="22"/>
                <w:szCs w:val="22"/>
              </w:rPr>
            </w:pPr>
            <w:r>
              <w:rPr>
                <w:rFonts w:hint="eastAsia" w:ascii="宋体" w:hAnsi="宋体" w:cs="宋体"/>
                <w:kern w:val="0"/>
                <w:sz w:val="22"/>
                <w:szCs w:val="22"/>
              </w:rPr>
              <w:t>数字音频处理器</w:t>
            </w:r>
          </w:p>
        </w:tc>
        <w:tc>
          <w:tcPr>
            <w:tcW w:w="2219" w:type="pct"/>
            <w:tcBorders>
              <w:top w:val="nil"/>
              <w:left w:val="nil"/>
              <w:bottom w:val="single" w:color="auto" w:sz="4" w:space="0"/>
              <w:right w:val="single" w:color="auto" w:sz="4" w:space="0"/>
            </w:tcBorders>
            <w:shd w:val="clear" w:color="000000" w:fill="FFFFFF"/>
            <w:vAlign w:val="center"/>
          </w:tcPr>
          <w:p w14:paraId="77254514">
            <w:pPr>
              <w:widowControl/>
              <w:jc w:val="left"/>
              <w:rPr>
                <w:rFonts w:ascii="宋体" w:hAnsi="宋体" w:cs="宋体"/>
                <w:kern w:val="0"/>
                <w:sz w:val="22"/>
                <w:szCs w:val="22"/>
              </w:rPr>
            </w:pPr>
            <w:r>
              <w:rPr>
                <w:rFonts w:hint="eastAsia" w:ascii="宋体" w:hAnsi="宋体" w:cs="宋体"/>
                <w:kern w:val="0"/>
                <w:sz w:val="22"/>
                <w:szCs w:val="22"/>
              </w:rPr>
              <w:t>有2路输入4路输出、2路XLR母卡侬输入座、4路XLR母卡侬输出座；</w:t>
            </w:r>
            <w:r>
              <w:rPr>
                <w:rFonts w:hint="eastAsia" w:ascii="宋体" w:hAnsi="宋体" w:cs="宋体"/>
                <w:kern w:val="0"/>
                <w:sz w:val="22"/>
                <w:szCs w:val="22"/>
              </w:rPr>
              <w:br w:type="textWrapping"/>
            </w:r>
            <w:r>
              <w:rPr>
                <w:rFonts w:hint="eastAsia" w:ascii="宋体" w:hAnsi="宋体" w:cs="宋体"/>
                <w:kern w:val="0"/>
                <w:sz w:val="22"/>
                <w:szCs w:val="22"/>
              </w:rPr>
              <w:t>每个输入和输出均有6段独立的参量均衡，调节增益范围可达±20dB，同时输出通道的  均衡还可选择Lo-shelf和Hi-shelf两种斜坡方式；</w:t>
            </w:r>
            <w:r>
              <w:rPr>
                <w:rFonts w:hint="eastAsia" w:ascii="宋体" w:hAnsi="宋体" w:cs="宋体"/>
                <w:kern w:val="0"/>
                <w:sz w:val="22"/>
                <w:szCs w:val="22"/>
              </w:rPr>
              <w:br w:type="textWrapping"/>
            </w:r>
            <w:r>
              <w:rPr>
                <w:rFonts w:hint="eastAsia" w:ascii="宋体" w:hAnsi="宋体" w:cs="宋体"/>
                <w:kern w:val="0"/>
                <w:sz w:val="22"/>
                <w:szCs w:val="22"/>
              </w:rPr>
              <w:t>每个输入和输出均有延时和相位控制及哑音设置，延时最长可达1000ms，延时单位可选择毫秒(ms)、米(m)、英尺(ft)三种 ；</w:t>
            </w:r>
            <w:r>
              <w:rPr>
                <w:rFonts w:hint="eastAsia" w:ascii="宋体" w:hAnsi="宋体" w:cs="宋体"/>
                <w:kern w:val="0"/>
                <w:sz w:val="22"/>
                <w:szCs w:val="22"/>
              </w:rPr>
              <w:br w:type="textWrapping"/>
            </w:r>
            <w:r>
              <w:rPr>
                <w:rFonts w:hint="eastAsia" w:ascii="宋体" w:hAnsi="宋体" w:cs="宋体"/>
                <w:kern w:val="0"/>
                <w:sz w:val="22"/>
                <w:szCs w:val="22"/>
              </w:rPr>
              <w:t>输出通道还可控制增益、压限及选择输入通道信号，并能将某通道的所有参数联调到另外一个通道并能进行联动控制；</w:t>
            </w:r>
          </w:p>
        </w:tc>
        <w:tc>
          <w:tcPr>
            <w:tcW w:w="344" w:type="pct"/>
            <w:tcBorders>
              <w:top w:val="nil"/>
              <w:left w:val="nil"/>
              <w:bottom w:val="single" w:color="auto" w:sz="4" w:space="0"/>
              <w:right w:val="single" w:color="auto" w:sz="4" w:space="0"/>
            </w:tcBorders>
            <w:shd w:val="clear" w:color="000000" w:fill="FFFFFF"/>
            <w:vAlign w:val="center"/>
          </w:tcPr>
          <w:p w14:paraId="0198DB3A">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53CE59E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140BA8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332EA7DF">
            <w:pPr>
              <w:widowControl/>
              <w:jc w:val="left"/>
              <w:rPr>
                <w:rFonts w:ascii="宋体" w:hAnsi="宋体" w:cs="宋体"/>
                <w:kern w:val="0"/>
                <w:sz w:val="22"/>
                <w:szCs w:val="22"/>
              </w:rPr>
            </w:pPr>
            <w:r>
              <w:rPr>
                <w:rFonts w:hint="eastAsia" w:ascii="宋体" w:hAnsi="宋体" w:cs="宋体"/>
                <w:kern w:val="0"/>
                <w:sz w:val="22"/>
                <w:szCs w:val="22"/>
              </w:rPr>
              <w:t>　</w:t>
            </w:r>
          </w:p>
        </w:tc>
      </w:tr>
      <w:tr w14:paraId="1422AE5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669F069">
            <w:pPr>
              <w:widowControl/>
              <w:jc w:val="center"/>
              <w:rPr>
                <w:rFonts w:ascii="宋体" w:hAnsi="宋体" w:cs="宋体"/>
                <w:b/>
                <w:bCs/>
                <w:kern w:val="0"/>
                <w:sz w:val="22"/>
                <w:szCs w:val="22"/>
              </w:rPr>
            </w:pPr>
            <w:r>
              <w:rPr>
                <w:rFonts w:hint="eastAsia" w:ascii="宋体" w:hAnsi="宋体" w:cs="宋体"/>
                <w:b/>
                <w:bCs/>
                <w:kern w:val="0"/>
                <w:sz w:val="22"/>
                <w:szCs w:val="22"/>
              </w:rPr>
              <w:t>35</w:t>
            </w:r>
          </w:p>
        </w:tc>
        <w:tc>
          <w:tcPr>
            <w:tcW w:w="849" w:type="pct"/>
            <w:tcBorders>
              <w:top w:val="nil"/>
              <w:left w:val="nil"/>
              <w:bottom w:val="single" w:color="auto" w:sz="4" w:space="0"/>
              <w:right w:val="single" w:color="auto" w:sz="4" w:space="0"/>
            </w:tcBorders>
            <w:shd w:val="clear" w:color="000000" w:fill="FFFFFF"/>
            <w:vAlign w:val="center"/>
          </w:tcPr>
          <w:p w14:paraId="6A8E2FFF">
            <w:pPr>
              <w:widowControl/>
              <w:jc w:val="left"/>
              <w:rPr>
                <w:rFonts w:ascii="宋体" w:hAnsi="宋体" w:cs="宋体"/>
                <w:kern w:val="0"/>
                <w:sz w:val="22"/>
                <w:szCs w:val="22"/>
              </w:rPr>
            </w:pPr>
            <w:r>
              <w:rPr>
                <w:rFonts w:hint="eastAsia" w:ascii="宋体" w:hAnsi="宋体" w:cs="宋体"/>
                <w:kern w:val="0"/>
                <w:sz w:val="22"/>
                <w:szCs w:val="22"/>
              </w:rPr>
              <w:t>反馈抑制器</w:t>
            </w:r>
          </w:p>
        </w:tc>
        <w:tc>
          <w:tcPr>
            <w:tcW w:w="2219" w:type="pct"/>
            <w:tcBorders>
              <w:top w:val="nil"/>
              <w:left w:val="nil"/>
              <w:bottom w:val="single" w:color="auto" w:sz="4" w:space="0"/>
              <w:right w:val="single" w:color="auto" w:sz="4" w:space="0"/>
            </w:tcBorders>
            <w:shd w:val="clear" w:color="000000" w:fill="FFFFFF"/>
            <w:vAlign w:val="center"/>
          </w:tcPr>
          <w:p w14:paraId="464E2E68">
            <w:pPr>
              <w:widowControl/>
              <w:jc w:val="left"/>
              <w:rPr>
                <w:rFonts w:ascii="宋体" w:hAnsi="宋体" w:cs="宋体"/>
                <w:kern w:val="0"/>
                <w:sz w:val="22"/>
                <w:szCs w:val="22"/>
              </w:rPr>
            </w:pPr>
            <w:r>
              <w:rPr>
                <w:rFonts w:hint="eastAsia" w:ascii="宋体" w:hAnsi="宋体" w:cs="宋体"/>
                <w:kern w:val="0"/>
                <w:sz w:val="22"/>
                <w:szCs w:val="22"/>
              </w:rPr>
              <w:t>1、96KHz采样频率，32-bitDSP处理器，24-bitA/D及D/A转换；</w:t>
            </w:r>
            <w:r>
              <w:rPr>
                <w:rFonts w:hint="eastAsia" w:ascii="宋体" w:hAnsi="宋体" w:cs="宋体"/>
                <w:kern w:val="0"/>
                <w:sz w:val="22"/>
                <w:szCs w:val="22"/>
              </w:rPr>
              <w:br w:type="textWrapping"/>
            </w:r>
            <w:r>
              <w:rPr>
                <w:rFonts w:hint="eastAsia" w:ascii="宋体" w:hAnsi="宋体" w:cs="宋体"/>
                <w:kern w:val="0"/>
                <w:sz w:val="22"/>
                <w:szCs w:val="22"/>
              </w:rPr>
              <w:t>2、自带选择按键，可快速选择15种工作模式；</w:t>
            </w:r>
            <w:r>
              <w:rPr>
                <w:rFonts w:hint="eastAsia" w:ascii="宋体" w:hAnsi="宋体" w:cs="宋体"/>
                <w:kern w:val="0"/>
                <w:sz w:val="22"/>
                <w:szCs w:val="22"/>
              </w:rPr>
              <w:br w:type="textWrapping"/>
            </w:r>
            <w:r>
              <w:rPr>
                <w:rFonts w:hint="eastAsia" w:ascii="宋体" w:hAnsi="宋体" w:cs="宋体"/>
                <w:kern w:val="0"/>
                <w:sz w:val="22"/>
                <w:szCs w:val="22"/>
              </w:rPr>
              <w:t>3、面板数码管显示工作模式状态；</w:t>
            </w:r>
            <w:r>
              <w:rPr>
                <w:rFonts w:hint="eastAsia" w:ascii="宋体" w:hAnsi="宋体" w:cs="宋体"/>
                <w:kern w:val="0"/>
                <w:sz w:val="22"/>
                <w:szCs w:val="22"/>
              </w:rPr>
              <w:br w:type="textWrapping"/>
            </w:r>
            <w:r>
              <w:rPr>
                <w:rFonts w:hint="eastAsia" w:ascii="宋体" w:hAnsi="宋体" w:cs="宋体"/>
                <w:kern w:val="0"/>
                <w:sz w:val="22"/>
                <w:szCs w:val="22"/>
              </w:rPr>
              <w:t>4、可切换工作模式为直通或反馈抑制；</w:t>
            </w:r>
            <w:r>
              <w:rPr>
                <w:rFonts w:hint="eastAsia" w:ascii="宋体" w:hAnsi="宋体" w:cs="宋体"/>
                <w:kern w:val="0"/>
                <w:sz w:val="22"/>
                <w:szCs w:val="22"/>
              </w:rPr>
              <w:br w:type="textWrapping"/>
            </w:r>
            <w:r>
              <w:rPr>
                <w:rFonts w:hint="eastAsia" w:ascii="宋体" w:hAnsi="宋体" w:cs="宋体"/>
                <w:kern w:val="0"/>
                <w:sz w:val="22"/>
                <w:szCs w:val="22"/>
              </w:rPr>
              <w:t>5、可一键清除啸叫点记忆功能；</w:t>
            </w:r>
            <w:r>
              <w:rPr>
                <w:rFonts w:hint="eastAsia" w:ascii="宋体" w:hAnsi="宋体" w:cs="宋体"/>
                <w:kern w:val="0"/>
                <w:sz w:val="22"/>
                <w:szCs w:val="22"/>
              </w:rPr>
              <w:br w:type="textWrapping"/>
            </w:r>
            <w:r>
              <w:rPr>
                <w:rFonts w:hint="eastAsia" w:ascii="宋体" w:hAnsi="宋体" w:cs="宋体"/>
                <w:kern w:val="0"/>
                <w:sz w:val="22"/>
                <w:szCs w:val="22"/>
              </w:rPr>
              <w:t>6、滤波器：独立24个每通道；</w:t>
            </w:r>
          </w:p>
        </w:tc>
        <w:tc>
          <w:tcPr>
            <w:tcW w:w="344" w:type="pct"/>
            <w:tcBorders>
              <w:top w:val="nil"/>
              <w:left w:val="nil"/>
              <w:bottom w:val="single" w:color="auto" w:sz="4" w:space="0"/>
              <w:right w:val="single" w:color="auto" w:sz="4" w:space="0"/>
            </w:tcBorders>
            <w:shd w:val="clear" w:color="000000" w:fill="FFFFFF"/>
            <w:vAlign w:val="center"/>
          </w:tcPr>
          <w:p w14:paraId="62C38293">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6B88D27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2503385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6DE3805B">
            <w:pPr>
              <w:widowControl/>
              <w:jc w:val="left"/>
              <w:rPr>
                <w:rFonts w:ascii="宋体" w:hAnsi="宋体" w:cs="宋体"/>
                <w:kern w:val="0"/>
                <w:sz w:val="22"/>
                <w:szCs w:val="22"/>
              </w:rPr>
            </w:pPr>
            <w:r>
              <w:rPr>
                <w:rFonts w:hint="eastAsia" w:ascii="宋体" w:hAnsi="宋体" w:cs="宋体"/>
                <w:kern w:val="0"/>
                <w:sz w:val="22"/>
                <w:szCs w:val="22"/>
              </w:rPr>
              <w:t>　</w:t>
            </w:r>
          </w:p>
        </w:tc>
      </w:tr>
      <w:tr w14:paraId="476F3DD9">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F4D94B8">
            <w:pPr>
              <w:widowControl/>
              <w:jc w:val="center"/>
              <w:rPr>
                <w:rFonts w:ascii="宋体" w:hAnsi="宋体" w:cs="宋体"/>
                <w:b/>
                <w:bCs/>
                <w:kern w:val="0"/>
                <w:sz w:val="22"/>
                <w:szCs w:val="22"/>
              </w:rPr>
            </w:pPr>
            <w:r>
              <w:rPr>
                <w:rFonts w:hint="eastAsia" w:ascii="宋体" w:hAnsi="宋体" w:cs="宋体"/>
                <w:b/>
                <w:bCs/>
                <w:kern w:val="0"/>
                <w:sz w:val="22"/>
                <w:szCs w:val="22"/>
              </w:rPr>
              <w:t>36</w:t>
            </w:r>
          </w:p>
        </w:tc>
        <w:tc>
          <w:tcPr>
            <w:tcW w:w="849" w:type="pct"/>
            <w:tcBorders>
              <w:top w:val="nil"/>
              <w:left w:val="nil"/>
              <w:bottom w:val="single" w:color="auto" w:sz="4" w:space="0"/>
              <w:right w:val="single" w:color="auto" w:sz="4" w:space="0"/>
            </w:tcBorders>
            <w:shd w:val="clear" w:color="000000" w:fill="FFFFFF"/>
            <w:vAlign w:val="center"/>
          </w:tcPr>
          <w:p w14:paraId="5D2CAB76">
            <w:pPr>
              <w:widowControl/>
              <w:jc w:val="left"/>
              <w:rPr>
                <w:rFonts w:ascii="宋体" w:hAnsi="宋体" w:cs="宋体"/>
                <w:kern w:val="0"/>
                <w:sz w:val="22"/>
                <w:szCs w:val="22"/>
              </w:rPr>
            </w:pPr>
            <w:r>
              <w:rPr>
                <w:rFonts w:hint="eastAsia" w:ascii="宋体" w:hAnsi="宋体" w:cs="宋体"/>
                <w:kern w:val="0"/>
                <w:sz w:val="22"/>
                <w:szCs w:val="22"/>
              </w:rPr>
              <w:t>电源时序器</w:t>
            </w:r>
          </w:p>
        </w:tc>
        <w:tc>
          <w:tcPr>
            <w:tcW w:w="2219" w:type="pct"/>
            <w:tcBorders>
              <w:top w:val="nil"/>
              <w:left w:val="nil"/>
              <w:bottom w:val="single" w:color="auto" w:sz="4" w:space="0"/>
              <w:right w:val="single" w:color="auto" w:sz="4" w:space="0"/>
            </w:tcBorders>
            <w:shd w:val="clear" w:color="000000" w:fill="FFFFFF"/>
            <w:vAlign w:val="center"/>
          </w:tcPr>
          <w:p w14:paraId="64AAF813">
            <w:pPr>
              <w:widowControl/>
              <w:jc w:val="left"/>
              <w:rPr>
                <w:rFonts w:ascii="宋体" w:hAnsi="宋体" w:cs="宋体"/>
                <w:kern w:val="0"/>
                <w:sz w:val="22"/>
                <w:szCs w:val="22"/>
              </w:rPr>
            </w:pPr>
            <w:r>
              <w:rPr>
                <w:rFonts w:hint="eastAsia" w:ascii="宋体" w:hAnsi="宋体" w:cs="宋体"/>
                <w:kern w:val="0"/>
                <w:sz w:val="22"/>
                <w:szCs w:val="22"/>
              </w:rPr>
              <w:t>1、8通道电源时序打开/关闭；</w:t>
            </w:r>
            <w:r>
              <w:rPr>
                <w:rFonts w:hint="eastAsia" w:ascii="宋体" w:hAnsi="宋体" w:cs="宋体"/>
                <w:kern w:val="0"/>
                <w:sz w:val="22"/>
                <w:szCs w:val="22"/>
              </w:rPr>
              <w:br w:type="textWrapping"/>
            </w:r>
            <w:r>
              <w:rPr>
                <w:rFonts w:hint="eastAsia" w:ascii="宋体" w:hAnsi="宋体" w:cs="宋体"/>
                <w:kern w:val="0"/>
                <w:sz w:val="22"/>
                <w:szCs w:val="22"/>
              </w:rPr>
              <w:t>2、远程控制（上电+24V直流信号）8通道电源时序打开/关闭—当电源开关锁处于off位置时有效；</w:t>
            </w:r>
          </w:p>
        </w:tc>
        <w:tc>
          <w:tcPr>
            <w:tcW w:w="344" w:type="pct"/>
            <w:tcBorders>
              <w:top w:val="nil"/>
              <w:left w:val="nil"/>
              <w:bottom w:val="single" w:color="auto" w:sz="4" w:space="0"/>
              <w:right w:val="single" w:color="auto" w:sz="4" w:space="0"/>
            </w:tcBorders>
            <w:shd w:val="clear" w:color="000000" w:fill="FFFFFF"/>
            <w:vAlign w:val="center"/>
          </w:tcPr>
          <w:p w14:paraId="190AAB4E">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7FB42E2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2224956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00B27FAE">
            <w:pPr>
              <w:widowControl/>
              <w:jc w:val="left"/>
              <w:rPr>
                <w:rFonts w:ascii="宋体" w:hAnsi="宋体" w:cs="宋体"/>
                <w:kern w:val="0"/>
                <w:sz w:val="22"/>
                <w:szCs w:val="22"/>
              </w:rPr>
            </w:pPr>
            <w:r>
              <w:rPr>
                <w:rFonts w:hint="eastAsia" w:ascii="宋体" w:hAnsi="宋体" w:cs="宋体"/>
                <w:kern w:val="0"/>
                <w:sz w:val="22"/>
                <w:szCs w:val="22"/>
              </w:rPr>
              <w:t>　</w:t>
            </w:r>
          </w:p>
        </w:tc>
      </w:tr>
      <w:tr w14:paraId="4D966111">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0FFFB90">
            <w:pPr>
              <w:widowControl/>
              <w:jc w:val="center"/>
              <w:rPr>
                <w:rFonts w:ascii="宋体" w:hAnsi="宋体" w:cs="宋体"/>
                <w:b/>
                <w:bCs/>
                <w:kern w:val="0"/>
                <w:sz w:val="22"/>
                <w:szCs w:val="22"/>
              </w:rPr>
            </w:pPr>
            <w:r>
              <w:rPr>
                <w:rFonts w:hint="eastAsia" w:ascii="宋体" w:hAnsi="宋体" w:cs="宋体"/>
                <w:b/>
                <w:bCs/>
                <w:kern w:val="0"/>
                <w:sz w:val="22"/>
                <w:szCs w:val="22"/>
              </w:rPr>
              <w:t>37</w:t>
            </w:r>
          </w:p>
        </w:tc>
        <w:tc>
          <w:tcPr>
            <w:tcW w:w="849" w:type="pct"/>
            <w:tcBorders>
              <w:top w:val="nil"/>
              <w:left w:val="nil"/>
              <w:bottom w:val="single" w:color="auto" w:sz="4" w:space="0"/>
              <w:right w:val="single" w:color="auto" w:sz="4" w:space="0"/>
            </w:tcBorders>
            <w:shd w:val="clear" w:color="000000" w:fill="FFFFFF"/>
            <w:vAlign w:val="center"/>
          </w:tcPr>
          <w:p w14:paraId="755D3CC4">
            <w:pPr>
              <w:widowControl/>
              <w:jc w:val="left"/>
              <w:rPr>
                <w:rFonts w:ascii="宋体" w:hAnsi="宋体" w:cs="宋体"/>
                <w:kern w:val="0"/>
                <w:sz w:val="22"/>
                <w:szCs w:val="22"/>
              </w:rPr>
            </w:pPr>
            <w:r>
              <w:rPr>
                <w:rFonts w:hint="eastAsia" w:ascii="宋体" w:hAnsi="宋体" w:cs="宋体"/>
                <w:kern w:val="0"/>
                <w:sz w:val="22"/>
                <w:szCs w:val="22"/>
              </w:rPr>
              <w:t>U段双手持无线话筒</w:t>
            </w:r>
          </w:p>
        </w:tc>
        <w:tc>
          <w:tcPr>
            <w:tcW w:w="2219" w:type="pct"/>
            <w:tcBorders>
              <w:top w:val="nil"/>
              <w:left w:val="nil"/>
              <w:bottom w:val="single" w:color="auto" w:sz="4" w:space="0"/>
              <w:right w:val="single" w:color="auto" w:sz="4" w:space="0"/>
            </w:tcBorders>
            <w:shd w:val="clear" w:color="000000" w:fill="FFFFFF"/>
            <w:vAlign w:val="center"/>
          </w:tcPr>
          <w:p w14:paraId="482329A2">
            <w:pPr>
              <w:widowControl/>
              <w:jc w:val="left"/>
              <w:rPr>
                <w:rFonts w:ascii="宋体" w:hAnsi="宋体" w:cs="宋体"/>
                <w:kern w:val="0"/>
                <w:sz w:val="22"/>
                <w:szCs w:val="22"/>
              </w:rPr>
            </w:pPr>
            <w:r>
              <w:rPr>
                <w:rFonts w:hint="eastAsia" w:ascii="宋体" w:hAnsi="宋体" w:cs="宋体"/>
                <w:kern w:val="0"/>
                <w:sz w:val="22"/>
                <w:szCs w:val="22"/>
              </w:rPr>
              <w:t>支持16套32个频率同一区域使用，不互相干扰；</w:t>
            </w:r>
            <w:r>
              <w:rPr>
                <w:rFonts w:hint="eastAsia" w:ascii="宋体" w:hAnsi="宋体" w:cs="宋体"/>
                <w:kern w:val="0"/>
                <w:sz w:val="22"/>
                <w:szCs w:val="22"/>
              </w:rPr>
              <w:br w:type="textWrapping"/>
            </w:r>
            <w:r>
              <w:rPr>
                <w:rFonts w:hint="eastAsia" w:ascii="宋体" w:hAnsi="宋体" w:cs="宋体"/>
                <w:kern w:val="0"/>
                <w:sz w:val="22"/>
                <w:szCs w:val="22"/>
              </w:rPr>
              <w:t>同时使用多达200只发射机；支持两个手持话筒；</w:t>
            </w:r>
            <w:r>
              <w:rPr>
                <w:rFonts w:hint="eastAsia" w:ascii="宋体" w:hAnsi="宋体" w:cs="宋体"/>
                <w:kern w:val="0"/>
                <w:sz w:val="22"/>
                <w:szCs w:val="22"/>
              </w:rPr>
              <w:br w:type="textWrapping"/>
            </w:r>
            <w:r>
              <w:rPr>
                <w:rFonts w:hint="eastAsia" w:ascii="宋体" w:hAnsi="宋体" w:cs="宋体"/>
                <w:kern w:val="0"/>
                <w:sz w:val="22"/>
                <w:szCs w:val="22"/>
              </w:rPr>
              <w:t>频率范围：640-857MHz 共三段;频道总数 600个；</w:t>
            </w:r>
          </w:p>
        </w:tc>
        <w:tc>
          <w:tcPr>
            <w:tcW w:w="344" w:type="pct"/>
            <w:tcBorders>
              <w:top w:val="nil"/>
              <w:left w:val="nil"/>
              <w:bottom w:val="single" w:color="auto" w:sz="4" w:space="0"/>
              <w:right w:val="single" w:color="auto" w:sz="4" w:space="0"/>
            </w:tcBorders>
            <w:shd w:val="clear" w:color="000000" w:fill="FFFFFF"/>
            <w:vAlign w:val="center"/>
          </w:tcPr>
          <w:p w14:paraId="066529F2">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499120C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31BDDE1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1201032A">
            <w:pPr>
              <w:widowControl/>
              <w:jc w:val="left"/>
              <w:rPr>
                <w:rFonts w:ascii="宋体" w:hAnsi="宋体" w:cs="宋体"/>
                <w:kern w:val="0"/>
                <w:sz w:val="22"/>
                <w:szCs w:val="22"/>
              </w:rPr>
            </w:pPr>
            <w:r>
              <w:rPr>
                <w:rFonts w:hint="eastAsia" w:ascii="宋体" w:hAnsi="宋体" w:cs="宋体"/>
                <w:kern w:val="0"/>
                <w:sz w:val="22"/>
                <w:szCs w:val="22"/>
              </w:rPr>
              <w:t>　</w:t>
            </w:r>
          </w:p>
        </w:tc>
      </w:tr>
      <w:tr w14:paraId="7553819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90FCACC">
            <w:pPr>
              <w:widowControl/>
              <w:jc w:val="center"/>
              <w:rPr>
                <w:rFonts w:ascii="宋体" w:hAnsi="宋体" w:cs="宋体"/>
                <w:b/>
                <w:bCs/>
                <w:kern w:val="0"/>
                <w:sz w:val="22"/>
                <w:szCs w:val="22"/>
              </w:rPr>
            </w:pPr>
            <w:r>
              <w:rPr>
                <w:rFonts w:hint="eastAsia" w:ascii="宋体" w:hAnsi="宋体" w:cs="宋体"/>
                <w:b/>
                <w:bCs/>
                <w:kern w:val="0"/>
                <w:sz w:val="22"/>
                <w:szCs w:val="22"/>
              </w:rPr>
              <w:t>38</w:t>
            </w:r>
          </w:p>
        </w:tc>
        <w:tc>
          <w:tcPr>
            <w:tcW w:w="849" w:type="pct"/>
            <w:tcBorders>
              <w:top w:val="nil"/>
              <w:left w:val="nil"/>
              <w:bottom w:val="single" w:color="auto" w:sz="4" w:space="0"/>
              <w:right w:val="single" w:color="auto" w:sz="4" w:space="0"/>
            </w:tcBorders>
            <w:shd w:val="clear" w:color="000000" w:fill="FFFFFF"/>
            <w:vAlign w:val="center"/>
          </w:tcPr>
          <w:p w14:paraId="05589059">
            <w:pPr>
              <w:widowControl/>
              <w:jc w:val="left"/>
              <w:rPr>
                <w:rFonts w:ascii="宋体" w:hAnsi="宋体" w:cs="宋体"/>
                <w:kern w:val="0"/>
                <w:sz w:val="22"/>
                <w:szCs w:val="22"/>
              </w:rPr>
            </w:pPr>
            <w:r>
              <w:rPr>
                <w:rFonts w:hint="eastAsia" w:ascii="宋体" w:hAnsi="宋体" w:cs="宋体"/>
                <w:kern w:val="0"/>
                <w:sz w:val="22"/>
                <w:szCs w:val="22"/>
              </w:rPr>
              <w:t>数字会议主机</w:t>
            </w:r>
          </w:p>
        </w:tc>
        <w:tc>
          <w:tcPr>
            <w:tcW w:w="2219" w:type="pct"/>
            <w:tcBorders>
              <w:top w:val="nil"/>
              <w:left w:val="nil"/>
              <w:bottom w:val="single" w:color="auto" w:sz="4" w:space="0"/>
              <w:right w:val="single" w:color="auto" w:sz="4" w:space="0"/>
            </w:tcBorders>
            <w:shd w:val="clear" w:color="000000" w:fill="FFFFFF"/>
            <w:vAlign w:val="center"/>
          </w:tcPr>
          <w:p w14:paraId="7BFFD156">
            <w:pPr>
              <w:widowControl/>
              <w:jc w:val="left"/>
              <w:rPr>
                <w:rFonts w:ascii="宋体" w:hAnsi="宋体" w:cs="宋体"/>
                <w:kern w:val="0"/>
                <w:sz w:val="22"/>
                <w:szCs w:val="22"/>
              </w:rPr>
            </w:pPr>
            <w:r>
              <w:rPr>
                <w:rFonts w:hint="eastAsia" w:ascii="宋体" w:hAnsi="宋体" w:cs="宋体"/>
                <w:kern w:val="0"/>
                <w:sz w:val="22"/>
                <w:szCs w:val="22"/>
              </w:rPr>
              <w:t>可连接128台发言单元，通过扩展最多可接入4096台发言单元；配合摄像跟踪系统可实现视像自动跟踪功能；</w:t>
            </w:r>
          </w:p>
        </w:tc>
        <w:tc>
          <w:tcPr>
            <w:tcW w:w="344" w:type="pct"/>
            <w:tcBorders>
              <w:top w:val="nil"/>
              <w:left w:val="nil"/>
              <w:bottom w:val="single" w:color="auto" w:sz="4" w:space="0"/>
              <w:right w:val="single" w:color="auto" w:sz="4" w:space="0"/>
            </w:tcBorders>
            <w:shd w:val="clear" w:color="000000" w:fill="FFFFFF"/>
            <w:vAlign w:val="center"/>
          </w:tcPr>
          <w:p w14:paraId="7B070E71">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31EB58B4">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C292FF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2CF40162">
            <w:pPr>
              <w:widowControl/>
              <w:jc w:val="left"/>
              <w:rPr>
                <w:rFonts w:ascii="宋体" w:hAnsi="宋体" w:cs="宋体"/>
                <w:kern w:val="0"/>
                <w:sz w:val="22"/>
                <w:szCs w:val="22"/>
              </w:rPr>
            </w:pPr>
            <w:r>
              <w:rPr>
                <w:rFonts w:hint="eastAsia" w:ascii="宋体" w:hAnsi="宋体" w:cs="宋体"/>
                <w:kern w:val="0"/>
                <w:sz w:val="22"/>
                <w:szCs w:val="22"/>
              </w:rPr>
              <w:t>　</w:t>
            </w:r>
          </w:p>
        </w:tc>
      </w:tr>
      <w:tr w14:paraId="4F52034F">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BA58C76">
            <w:pPr>
              <w:widowControl/>
              <w:jc w:val="center"/>
              <w:rPr>
                <w:rFonts w:ascii="宋体" w:hAnsi="宋体" w:cs="宋体"/>
                <w:b/>
                <w:bCs/>
                <w:kern w:val="0"/>
                <w:sz w:val="22"/>
                <w:szCs w:val="22"/>
              </w:rPr>
            </w:pPr>
            <w:r>
              <w:rPr>
                <w:rFonts w:hint="eastAsia" w:ascii="宋体" w:hAnsi="宋体" w:cs="宋体"/>
                <w:b/>
                <w:bCs/>
                <w:kern w:val="0"/>
                <w:sz w:val="22"/>
                <w:szCs w:val="22"/>
              </w:rPr>
              <w:t>39</w:t>
            </w:r>
          </w:p>
        </w:tc>
        <w:tc>
          <w:tcPr>
            <w:tcW w:w="849" w:type="pct"/>
            <w:tcBorders>
              <w:top w:val="nil"/>
              <w:left w:val="nil"/>
              <w:bottom w:val="single" w:color="auto" w:sz="4" w:space="0"/>
              <w:right w:val="single" w:color="auto" w:sz="4" w:space="0"/>
            </w:tcBorders>
            <w:shd w:val="clear" w:color="000000" w:fill="FFFFFF"/>
            <w:vAlign w:val="center"/>
          </w:tcPr>
          <w:p w14:paraId="2EF07A7E">
            <w:pPr>
              <w:widowControl/>
              <w:jc w:val="left"/>
              <w:rPr>
                <w:rFonts w:ascii="宋体" w:hAnsi="宋体" w:cs="宋体"/>
                <w:kern w:val="0"/>
                <w:sz w:val="22"/>
                <w:szCs w:val="22"/>
              </w:rPr>
            </w:pPr>
            <w:r>
              <w:rPr>
                <w:rFonts w:hint="eastAsia" w:ascii="宋体" w:hAnsi="宋体" w:cs="宋体"/>
                <w:kern w:val="0"/>
                <w:sz w:val="22"/>
                <w:szCs w:val="22"/>
              </w:rPr>
              <w:t>主席单元</w:t>
            </w:r>
          </w:p>
        </w:tc>
        <w:tc>
          <w:tcPr>
            <w:tcW w:w="2219" w:type="pct"/>
            <w:tcBorders>
              <w:top w:val="nil"/>
              <w:left w:val="nil"/>
              <w:bottom w:val="single" w:color="auto" w:sz="4" w:space="0"/>
              <w:right w:val="single" w:color="auto" w:sz="4" w:space="0"/>
            </w:tcBorders>
            <w:shd w:val="clear" w:color="000000" w:fill="FFFFFF"/>
            <w:vAlign w:val="center"/>
          </w:tcPr>
          <w:p w14:paraId="0913246A">
            <w:pPr>
              <w:widowControl/>
              <w:jc w:val="left"/>
              <w:rPr>
                <w:rFonts w:ascii="宋体" w:hAnsi="宋体" w:cs="宋体"/>
                <w:kern w:val="0"/>
                <w:sz w:val="22"/>
                <w:szCs w:val="22"/>
              </w:rPr>
            </w:pPr>
            <w:r>
              <w:rPr>
                <w:rFonts w:hint="eastAsia" w:ascii="宋体" w:hAnsi="宋体" w:cs="宋体"/>
                <w:kern w:val="0"/>
                <w:sz w:val="22"/>
                <w:szCs w:val="22"/>
              </w:rPr>
              <w:t>心型电容式</w:t>
            </w:r>
          </w:p>
        </w:tc>
        <w:tc>
          <w:tcPr>
            <w:tcW w:w="344" w:type="pct"/>
            <w:tcBorders>
              <w:top w:val="nil"/>
              <w:left w:val="nil"/>
              <w:bottom w:val="single" w:color="auto" w:sz="4" w:space="0"/>
              <w:right w:val="single" w:color="auto" w:sz="4" w:space="0"/>
            </w:tcBorders>
            <w:shd w:val="clear" w:color="000000" w:fill="FFFFFF"/>
            <w:vAlign w:val="center"/>
          </w:tcPr>
          <w:p w14:paraId="7D292BEA">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59F8E12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72D46584">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64D2B697">
            <w:pPr>
              <w:widowControl/>
              <w:jc w:val="left"/>
              <w:rPr>
                <w:rFonts w:ascii="宋体" w:hAnsi="宋体" w:cs="宋体"/>
                <w:kern w:val="0"/>
                <w:sz w:val="22"/>
                <w:szCs w:val="22"/>
              </w:rPr>
            </w:pPr>
            <w:r>
              <w:rPr>
                <w:rFonts w:hint="eastAsia" w:ascii="宋体" w:hAnsi="宋体" w:cs="宋体"/>
                <w:kern w:val="0"/>
                <w:sz w:val="22"/>
                <w:szCs w:val="22"/>
              </w:rPr>
              <w:t>　</w:t>
            </w:r>
          </w:p>
        </w:tc>
      </w:tr>
      <w:tr w14:paraId="542EE32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65FDF88">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49" w:type="pct"/>
            <w:tcBorders>
              <w:top w:val="nil"/>
              <w:left w:val="nil"/>
              <w:bottom w:val="single" w:color="auto" w:sz="4" w:space="0"/>
              <w:right w:val="single" w:color="auto" w:sz="4" w:space="0"/>
            </w:tcBorders>
            <w:shd w:val="clear" w:color="000000" w:fill="FFFFFF"/>
            <w:vAlign w:val="center"/>
          </w:tcPr>
          <w:p w14:paraId="144041D2">
            <w:pPr>
              <w:widowControl/>
              <w:jc w:val="left"/>
              <w:rPr>
                <w:rFonts w:ascii="宋体" w:hAnsi="宋体" w:cs="宋体"/>
                <w:kern w:val="0"/>
                <w:sz w:val="22"/>
                <w:szCs w:val="22"/>
              </w:rPr>
            </w:pPr>
            <w:r>
              <w:rPr>
                <w:rFonts w:hint="eastAsia" w:ascii="宋体" w:hAnsi="宋体" w:cs="宋体"/>
                <w:kern w:val="0"/>
                <w:sz w:val="22"/>
                <w:szCs w:val="22"/>
              </w:rPr>
              <w:t>代表单元</w:t>
            </w:r>
          </w:p>
        </w:tc>
        <w:tc>
          <w:tcPr>
            <w:tcW w:w="2219" w:type="pct"/>
            <w:tcBorders>
              <w:top w:val="nil"/>
              <w:left w:val="nil"/>
              <w:bottom w:val="single" w:color="auto" w:sz="4" w:space="0"/>
              <w:right w:val="single" w:color="auto" w:sz="4" w:space="0"/>
            </w:tcBorders>
            <w:shd w:val="clear" w:color="000000" w:fill="FFFFFF"/>
            <w:vAlign w:val="center"/>
          </w:tcPr>
          <w:p w14:paraId="5335F71E">
            <w:pPr>
              <w:widowControl/>
              <w:jc w:val="left"/>
              <w:rPr>
                <w:rFonts w:ascii="宋体" w:hAnsi="宋体" w:cs="宋体"/>
                <w:kern w:val="0"/>
                <w:sz w:val="22"/>
                <w:szCs w:val="22"/>
              </w:rPr>
            </w:pPr>
            <w:r>
              <w:rPr>
                <w:rFonts w:hint="eastAsia" w:ascii="宋体" w:hAnsi="宋体" w:cs="宋体"/>
                <w:kern w:val="0"/>
                <w:sz w:val="22"/>
                <w:szCs w:val="22"/>
              </w:rPr>
              <w:t>心型电容式</w:t>
            </w:r>
          </w:p>
        </w:tc>
        <w:tc>
          <w:tcPr>
            <w:tcW w:w="344" w:type="pct"/>
            <w:tcBorders>
              <w:top w:val="nil"/>
              <w:left w:val="nil"/>
              <w:bottom w:val="single" w:color="auto" w:sz="4" w:space="0"/>
              <w:right w:val="single" w:color="auto" w:sz="4" w:space="0"/>
            </w:tcBorders>
            <w:shd w:val="clear" w:color="000000" w:fill="FFFFFF"/>
            <w:vAlign w:val="center"/>
          </w:tcPr>
          <w:p w14:paraId="59607D4B">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1FA1EF0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F0B043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21 </w:t>
            </w:r>
          </w:p>
        </w:tc>
        <w:tc>
          <w:tcPr>
            <w:tcW w:w="462" w:type="pct"/>
            <w:tcBorders>
              <w:top w:val="nil"/>
              <w:left w:val="nil"/>
              <w:bottom w:val="single" w:color="auto" w:sz="4" w:space="0"/>
              <w:right w:val="single" w:color="auto" w:sz="4" w:space="0"/>
            </w:tcBorders>
            <w:shd w:val="clear" w:color="000000" w:fill="FFFFFF"/>
            <w:noWrap/>
            <w:vAlign w:val="center"/>
          </w:tcPr>
          <w:p w14:paraId="696586BF">
            <w:pPr>
              <w:widowControl/>
              <w:jc w:val="left"/>
              <w:rPr>
                <w:rFonts w:ascii="宋体" w:hAnsi="宋体" w:cs="宋体"/>
                <w:kern w:val="0"/>
                <w:sz w:val="22"/>
                <w:szCs w:val="22"/>
              </w:rPr>
            </w:pPr>
            <w:r>
              <w:rPr>
                <w:rFonts w:hint="eastAsia" w:ascii="宋体" w:hAnsi="宋体" w:cs="宋体"/>
                <w:kern w:val="0"/>
                <w:sz w:val="22"/>
                <w:szCs w:val="22"/>
              </w:rPr>
              <w:t>　</w:t>
            </w:r>
          </w:p>
        </w:tc>
      </w:tr>
      <w:tr w14:paraId="36044EE3">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9B00F19">
            <w:pPr>
              <w:widowControl/>
              <w:jc w:val="center"/>
              <w:rPr>
                <w:rFonts w:ascii="宋体" w:hAnsi="宋体" w:cs="宋体"/>
                <w:b/>
                <w:bCs/>
                <w:kern w:val="0"/>
                <w:sz w:val="22"/>
                <w:szCs w:val="22"/>
              </w:rPr>
            </w:pPr>
            <w:r>
              <w:rPr>
                <w:rFonts w:hint="eastAsia" w:ascii="宋体" w:hAnsi="宋体" w:cs="宋体"/>
                <w:b/>
                <w:bCs/>
                <w:kern w:val="0"/>
                <w:sz w:val="22"/>
                <w:szCs w:val="22"/>
              </w:rPr>
              <w:t>41</w:t>
            </w:r>
          </w:p>
        </w:tc>
        <w:tc>
          <w:tcPr>
            <w:tcW w:w="849" w:type="pct"/>
            <w:tcBorders>
              <w:top w:val="nil"/>
              <w:left w:val="nil"/>
              <w:bottom w:val="single" w:color="auto" w:sz="4" w:space="0"/>
              <w:right w:val="single" w:color="auto" w:sz="4" w:space="0"/>
            </w:tcBorders>
            <w:shd w:val="clear" w:color="000000" w:fill="FFFFFF"/>
            <w:vAlign w:val="center"/>
          </w:tcPr>
          <w:p w14:paraId="1F1F0350">
            <w:pPr>
              <w:widowControl/>
              <w:jc w:val="left"/>
              <w:rPr>
                <w:rFonts w:ascii="宋体" w:hAnsi="宋体" w:cs="宋体"/>
                <w:kern w:val="0"/>
                <w:sz w:val="22"/>
                <w:szCs w:val="22"/>
              </w:rPr>
            </w:pPr>
            <w:r>
              <w:rPr>
                <w:rFonts w:hint="eastAsia" w:ascii="宋体" w:hAnsi="宋体" w:cs="宋体"/>
                <w:kern w:val="0"/>
                <w:sz w:val="22"/>
                <w:szCs w:val="22"/>
              </w:rPr>
              <w:t>8*2VGA矩阵</w:t>
            </w:r>
          </w:p>
        </w:tc>
        <w:tc>
          <w:tcPr>
            <w:tcW w:w="2219" w:type="pct"/>
            <w:tcBorders>
              <w:top w:val="nil"/>
              <w:left w:val="nil"/>
              <w:bottom w:val="single" w:color="auto" w:sz="4" w:space="0"/>
              <w:right w:val="single" w:color="auto" w:sz="4" w:space="0"/>
            </w:tcBorders>
            <w:shd w:val="clear" w:color="000000" w:fill="FFFFFF"/>
            <w:vAlign w:val="center"/>
          </w:tcPr>
          <w:p w14:paraId="75D01717">
            <w:pPr>
              <w:widowControl/>
              <w:jc w:val="left"/>
              <w:rPr>
                <w:rFonts w:ascii="宋体" w:hAnsi="宋体" w:cs="宋体"/>
                <w:kern w:val="0"/>
                <w:sz w:val="22"/>
                <w:szCs w:val="22"/>
              </w:rPr>
            </w:pPr>
            <w:r>
              <w:rPr>
                <w:rFonts w:hint="eastAsia" w:ascii="宋体" w:hAnsi="宋体" w:cs="宋体"/>
                <w:kern w:val="0"/>
                <w:sz w:val="22"/>
                <w:szCs w:val="22"/>
              </w:rPr>
              <w:t>支持8路视频信号输入，2路视频信号输出；</w:t>
            </w:r>
          </w:p>
        </w:tc>
        <w:tc>
          <w:tcPr>
            <w:tcW w:w="344" w:type="pct"/>
            <w:tcBorders>
              <w:top w:val="nil"/>
              <w:left w:val="nil"/>
              <w:bottom w:val="single" w:color="auto" w:sz="4" w:space="0"/>
              <w:right w:val="single" w:color="auto" w:sz="4" w:space="0"/>
            </w:tcBorders>
            <w:shd w:val="clear" w:color="000000" w:fill="FFFFFF"/>
            <w:vAlign w:val="center"/>
          </w:tcPr>
          <w:p w14:paraId="036FA46E">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24E3652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5AB5DE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4CE4D896">
            <w:pPr>
              <w:widowControl/>
              <w:jc w:val="left"/>
              <w:rPr>
                <w:rFonts w:ascii="宋体" w:hAnsi="宋体" w:cs="宋体"/>
                <w:kern w:val="0"/>
                <w:sz w:val="22"/>
                <w:szCs w:val="22"/>
              </w:rPr>
            </w:pPr>
            <w:r>
              <w:rPr>
                <w:rFonts w:hint="eastAsia" w:ascii="宋体" w:hAnsi="宋体" w:cs="宋体"/>
                <w:kern w:val="0"/>
                <w:sz w:val="22"/>
                <w:szCs w:val="22"/>
              </w:rPr>
              <w:t>　</w:t>
            </w:r>
          </w:p>
        </w:tc>
      </w:tr>
      <w:tr w14:paraId="771C9D33">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0A70547">
            <w:pPr>
              <w:widowControl/>
              <w:jc w:val="center"/>
              <w:rPr>
                <w:rFonts w:ascii="宋体" w:hAnsi="宋体" w:cs="宋体"/>
                <w:b/>
                <w:bCs/>
                <w:kern w:val="0"/>
                <w:sz w:val="22"/>
                <w:szCs w:val="22"/>
              </w:rPr>
            </w:pPr>
            <w:r>
              <w:rPr>
                <w:rFonts w:hint="eastAsia" w:ascii="宋体" w:hAnsi="宋体" w:cs="宋体"/>
                <w:b/>
                <w:bCs/>
                <w:kern w:val="0"/>
                <w:sz w:val="22"/>
                <w:szCs w:val="22"/>
              </w:rPr>
              <w:t>42</w:t>
            </w:r>
          </w:p>
        </w:tc>
        <w:tc>
          <w:tcPr>
            <w:tcW w:w="849" w:type="pct"/>
            <w:tcBorders>
              <w:top w:val="nil"/>
              <w:left w:val="nil"/>
              <w:bottom w:val="single" w:color="auto" w:sz="4" w:space="0"/>
              <w:right w:val="single" w:color="auto" w:sz="4" w:space="0"/>
            </w:tcBorders>
            <w:shd w:val="clear" w:color="000000" w:fill="FFFFFF"/>
            <w:vAlign w:val="center"/>
          </w:tcPr>
          <w:p w14:paraId="66FF8A1D">
            <w:pPr>
              <w:widowControl/>
              <w:jc w:val="left"/>
              <w:rPr>
                <w:rFonts w:ascii="宋体" w:hAnsi="宋体" w:cs="宋体"/>
                <w:kern w:val="0"/>
                <w:sz w:val="22"/>
                <w:szCs w:val="22"/>
              </w:rPr>
            </w:pPr>
            <w:r>
              <w:rPr>
                <w:rFonts w:hint="eastAsia" w:ascii="宋体" w:hAnsi="宋体" w:cs="宋体"/>
                <w:kern w:val="0"/>
                <w:sz w:val="22"/>
                <w:szCs w:val="22"/>
              </w:rPr>
              <w:t>智能高清混插矩阵机箱</w:t>
            </w:r>
          </w:p>
        </w:tc>
        <w:tc>
          <w:tcPr>
            <w:tcW w:w="2219" w:type="pct"/>
            <w:tcBorders>
              <w:top w:val="nil"/>
              <w:left w:val="nil"/>
              <w:bottom w:val="single" w:color="auto" w:sz="4" w:space="0"/>
              <w:right w:val="single" w:color="auto" w:sz="4" w:space="0"/>
            </w:tcBorders>
            <w:shd w:val="clear" w:color="000000" w:fill="FFFFFF"/>
            <w:vAlign w:val="center"/>
          </w:tcPr>
          <w:p w14:paraId="0456948A">
            <w:pPr>
              <w:widowControl/>
              <w:jc w:val="left"/>
              <w:rPr>
                <w:rFonts w:ascii="宋体" w:hAnsi="宋体" w:cs="宋体"/>
                <w:kern w:val="0"/>
                <w:sz w:val="22"/>
                <w:szCs w:val="22"/>
              </w:rPr>
            </w:pPr>
            <w:r>
              <w:rPr>
                <w:rFonts w:hint="eastAsia" w:ascii="宋体" w:hAnsi="宋体" w:cs="宋体"/>
                <w:kern w:val="0"/>
                <w:sz w:val="22"/>
                <w:szCs w:val="22"/>
              </w:rPr>
              <w:t xml:space="preserve">支持DVI和HDMI实时无缝切换输出，支持各类高清晰数字/模拟信号切换处理； </w:t>
            </w:r>
            <w:r>
              <w:rPr>
                <w:rFonts w:hint="eastAsia" w:ascii="宋体" w:hAnsi="宋体" w:cs="宋体"/>
                <w:kern w:val="0"/>
                <w:sz w:val="22"/>
                <w:szCs w:val="22"/>
              </w:rPr>
              <w:br w:type="textWrapping"/>
            </w:r>
            <w:r>
              <w:rPr>
                <w:rFonts w:hint="eastAsia" w:ascii="宋体" w:hAnsi="宋体" w:cs="宋体"/>
                <w:kern w:val="0"/>
                <w:sz w:val="22"/>
                <w:szCs w:val="22"/>
              </w:rPr>
              <w:t>可接输入卡 数量 2，可接输出卡 数量 2；</w:t>
            </w:r>
            <w:r>
              <w:rPr>
                <w:rFonts w:hint="eastAsia" w:ascii="宋体" w:hAnsi="宋体" w:cs="宋体"/>
                <w:kern w:val="0"/>
                <w:sz w:val="22"/>
                <w:szCs w:val="22"/>
              </w:rPr>
              <w:br w:type="textWrapping"/>
            </w:r>
            <w:r>
              <w:rPr>
                <w:rFonts w:hint="eastAsia" w:ascii="宋体" w:hAnsi="宋体" w:cs="宋体"/>
                <w:kern w:val="0"/>
                <w:sz w:val="22"/>
                <w:szCs w:val="22"/>
              </w:rPr>
              <w:t>输入路数 8，输出路数 8；</w:t>
            </w:r>
          </w:p>
        </w:tc>
        <w:tc>
          <w:tcPr>
            <w:tcW w:w="344" w:type="pct"/>
            <w:tcBorders>
              <w:top w:val="nil"/>
              <w:left w:val="nil"/>
              <w:bottom w:val="single" w:color="auto" w:sz="4" w:space="0"/>
              <w:right w:val="single" w:color="auto" w:sz="4" w:space="0"/>
            </w:tcBorders>
            <w:shd w:val="clear" w:color="000000" w:fill="FFFFFF"/>
            <w:vAlign w:val="center"/>
          </w:tcPr>
          <w:p w14:paraId="2B268B0B">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069035D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52F3D5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7DFFF5F2">
            <w:pPr>
              <w:widowControl/>
              <w:jc w:val="left"/>
              <w:rPr>
                <w:rFonts w:ascii="宋体" w:hAnsi="宋体" w:cs="宋体"/>
                <w:kern w:val="0"/>
                <w:sz w:val="22"/>
                <w:szCs w:val="22"/>
              </w:rPr>
            </w:pPr>
            <w:r>
              <w:rPr>
                <w:rFonts w:hint="eastAsia" w:ascii="宋体" w:hAnsi="宋体" w:cs="宋体"/>
                <w:kern w:val="0"/>
                <w:sz w:val="22"/>
                <w:szCs w:val="22"/>
              </w:rPr>
              <w:t>　</w:t>
            </w:r>
          </w:p>
        </w:tc>
      </w:tr>
      <w:tr w14:paraId="50651CF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706337A">
            <w:pPr>
              <w:widowControl/>
              <w:jc w:val="center"/>
              <w:rPr>
                <w:rFonts w:ascii="宋体" w:hAnsi="宋体" w:cs="宋体"/>
                <w:b/>
                <w:bCs/>
                <w:kern w:val="0"/>
                <w:sz w:val="22"/>
                <w:szCs w:val="22"/>
              </w:rPr>
            </w:pPr>
            <w:r>
              <w:rPr>
                <w:rFonts w:hint="eastAsia" w:ascii="宋体" w:hAnsi="宋体" w:cs="宋体"/>
                <w:b/>
                <w:bCs/>
                <w:kern w:val="0"/>
                <w:sz w:val="22"/>
                <w:szCs w:val="22"/>
              </w:rPr>
              <w:t>43</w:t>
            </w:r>
          </w:p>
        </w:tc>
        <w:tc>
          <w:tcPr>
            <w:tcW w:w="849" w:type="pct"/>
            <w:tcBorders>
              <w:top w:val="nil"/>
              <w:left w:val="nil"/>
              <w:bottom w:val="single" w:color="auto" w:sz="4" w:space="0"/>
              <w:right w:val="single" w:color="auto" w:sz="4" w:space="0"/>
            </w:tcBorders>
            <w:shd w:val="clear" w:color="000000" w:fill="FFFFFF"/>
            <w:vAlign w:val="center"/>
          </w:tcPr>
          <w:p w14:paraId="15548805">
            <w:pPr>
              <w:widowControl/>
              <w:jc w:val="left"/>
              <w:rPr>
                <w:rFonts w:ascii="宋体" w:hAnsi="宋体" w:cs="宋体"/>
                <w:kern w:val="0"/>
                <w:sz w:val="22"/>
                <w:szCs w:val="22"/>
              </w:rPr>
            </w:pPr>
            <w:r>
              <w:rPr>
                <w:rFonts w:hint="eastAsia" w:ascii="宋体" w:hAnsi="宋体" w:cs="宋体"/>
                <w:kern w:val="0"/>
                <w:sz w:val="22"/>
                <w:szCs w:val="22"/>
              </w:rPr>
              <w:t>4路HDMI音视频输入卡</w:t>
            </w:r>
          </w:p>
        </w:tc>
        <w:tc>
          <w:tcPr>
            <w:tcW w:w="2219" w:type="pct"/>
            <w:tcBorders>
              <w:top w:val="nil"/>
              <w:left w:val="nil"/>
              <w:bottom w:val="single" w:color="auto" w:sz="4" w:space="0"/>
              <w:right w:val="single" w:color="auto" w:sz="4" w:space="0"/>
            </w:tcBorders>
            <w:shd w:val="clear" w:color="000000" w:fill="FFFFFF"/>
            <w:vAlign w:val="center"/>
          </w:tcPr>
          <w:p w14:paraId="0D35FBEC">
            <w:pPr>
              <w:widowControl/>
              <w:jc w:val="left"/>
              <w:rPr>
                <w:rFonts w:ascii="宋体" w:hAnsi="宋体" w:cs="宋体"/>
                <w:kern w:val="0"/>
                <w:sz w:val="22"/>
                <w:szCs w:val="22"/>
              </w:rPr>
            </w:pPr>
            <w:r>
              <w:rPr>
                <w:rFonts w:hint="eastAsia" w:ascii="宋体" w:hAnsi="宋体" w:cs="宋体"/>
                <w:kern w:val="0"/>
                <w:sz w:val="22"/>
                <w:szCs w:val="22"/>
              </w:rPr>
              <w:t>4路HDMI音视频信号输入，支持数字高清1080P信号，4路HDMI-A母接口输入；</w:t>
            </w:r>
            <w:r>
              <w:rPr>
                <w:rFonts w:hint="eastAsia" w:ascii="宋体" w:hAnsi="宋体" w:cs="宋体"/>
                <w:kern w:val="0"/>
                <w:sz w:val="22"/>
                <w:szCs w:val="22"/>
              </w:rPr>
              <w:br w:type="textWrapping"/>
            </w:r>
            <w:r>
              <w:rPr>
                <w:rFonts w:hint="eastAsia" w:ascii="宋体" w:hAnsi="宋体" w:cs="宋体"/>
                <w:kern w:val="0"/>
                <w:sz w:val="22"/>
                <w:szCs w:val="22"/>
              </w:rPr>
              <w:t>输入最长距离达20M；</w:t>
            </w:r>
          </w:p>
        </w:tc>
        <w:tc>
          <w:tcPr>
            <w:tcW w:w="344" w:type="pct"/>
            <w:tcBorders>
              <w:top w:val="nil"/>
              <w:left w:val="nil"/>
              <w:bottom w:val="single" w:color="auto" w:sz="4" w:space="0"/>
              <w:right w:val="single" w:color="auto" w:sz="4" w:space="0"/>
            </w:tcBorders>
            <w:shd w:val="clear" w:color="000000" w:fill="FFFFFF"/>
            <w:vAlign w:val="center"/>
          </w:tcPr>
          <w:p w14:paraId="4ADE6C96">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4D69544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179CCEE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356AC68E">
            <w:pPr>
              <w:widowControl/>
              <w:jc w:val="left"/>
              <w:rPr>
                <w:rFonts w:ascii="宋体" w:hAnsi="宋体" w:cs="宋体"/>
                <w:kern w:val="0"/>
                <w:sz w:val="22"/>
                <w:szCs w:val="22"/>
              </w:rPr>
            </w:pPr>
            <w:r>
              <w:rPr>
                <w:rFonts w:hint="eastAsia" w:ascii="宋体" w:hAnsi="宋体" w:cs="宋体"/>
                <w:kern w:val="0"/>
                <w:sz w:val="22"/>
                <w:szCs w:val="22"/>
              </w:rPr>
              <w:t>　</w:t>
            </w:r>
          </w:p>
        </w:tc>
      </w:tr>
      <w:tr w14:paraId="2E89356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C465306">
            <w:pPr>
              <w:widowControl/>
              <w:jc w:val="center"/>
              <w:rPr>
                <w:rFonts w:ascii="宋体" w:hAnsi="宋体" w:cs="宋体"/>
                <w:b/>
                <w:bCs/>
                <w:kern w:val="0"/>
                <w:sz w:val="22"/>
                <w:szCs w:val="22"/>
              </w:rPr>
            </w:pPr>
            <w:r>
              <w:rPr>
                <w:rFonts w:hint="eastAsia" w:ascii="宋体" w:hAnsi="宋体" w:cs="宋体"/>
                <w:b/>
                <w:bCs/>
                <w:kern w:val="0"/>
                <w:sz w:val="22"/>
                <w:szCs w:val="22"/>
              </w:rPr>
              <w:t>44</w:t>
            </w:r>
          </w:p>
        </w:tc>
        <w:tc>
          <w:tcPr>
            <w:tcW w:w="849" w:type="pct"/>
            <w:tcBorders>
              <w:top w:val="nil"/>
              <w:left w:val="nil"/>
              <w:bottom w:val="single" w:color="auto" w:sz="4" w:space="0"/>
              <w:right w:val="single" w:color="auto" w:sz="4" w:space="0"/>
            </w:tcBorders>
            <w:shd w:val="clear" w:color="000000" w:fill="FFFFFF"/>
            <w:vAlign w:val="center"/>
          </w:tcPr>
          <w:p w14:paraId="7144E133">
            <w:pPr>
              <w:widowControl/>
              <w:jc w:val="left"/>
              <w:rPr>
                <w:rFonts w:ascii="宋体" w:hAnsi="宋体" w:cs="宋体"/>
                <w:kern w:val="0"/>
                <w:sz w:val="22"/>
                <w:szCs w:val="22"/>
              </w:rPr>
            </w:pPr>
            <w:r>
              <w:rPr>
                <w:rFonts w:hint="eastAsia" w:ascii="宋体" w:hAnsi="宋体" w:cs="宋体"/>
                <w:kern w:val="0"/>
                <w:sz w:val="22"/>
                <w:szCs w:val="22"/>
              </w:rPr>
              <w:t>4路HDMI音视频输出卡</w:t>
            </w:r>
          </w:p>
        </w:tc>
        <w:tc>
          <w:tcPr>
            <w:tcW w:w="2219" w:type="pct"/>
            <w:tcBorders>
              <w:top w:val="nil"/>
              <w:left w:val="nil"/>
              <w:bottom w:val="single" w:color="auto" w:sz="4" w:space="0"/>
              <w:right w:val="single" w:color="auto" w:sz="4" w:space="0"/>
            </w:tcBorders>
            <w:shd w:val="clear" w:color="000000" w:fill="FFFFFF"/>
            <w:vAlign w:val="center"/>
          </w:tcPr>
          <w:p w14:paraId="7F511E78">
            <w:pPr>
              <w:widowControl/>
              <w:jc w:val="left"/>
              <w:rPr>
                <w:rFonts w:ascii="宋体" w:hAnsi="宋体" w:cs="宋体"/>
                <w:kern w:val="0"/>
                <w:sz w:val="22"/>
                <w:szCs w:val="22"/>
              </w:rPr>
            </w:pPr>
            <w:r>
              <w:rPr>
                <w:rFonts w:hint="eastAsia" w:ascii="宋体" w:hAnsi="宋体" w:cs="宋体"/>
                <w:kern w:val="0"/>
                <w:sz w:val="22"/>
                <w:szCs w:val="22"/>
              </w:rPr>
              <w:t>4路HDMI音视频信号输出，支持数字高清1080P信号，输出最长距离达20M；接口：8路HDMI-A母接口输出；</w:t>
            </w:r>
          </w:p>
        </w:tc>
        <w:tc>
          <w:tcPr>
            <w:tcW w:w="344" w:type="pct"/>
            <w:tcBorders>
              <w:top w:val="nil"/>
              <w:left w:val="nil"/>
              <w:bottom w:val="single" w:color="auto" w:sz="4" w:space="0"/>
              <w:right w:val="single" w:color="auto" w:sz="4" w:space="0"/>
            </w:tcBorders>
            <w:shd w:val="clear" w:color="000000" w:fill="FFFFFF"/>
            <w:vAlign w:val="center"/>
          </w:tcPr>
          <w:p w14:paraId="692E6796">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3FDE06D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7D77D21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2E35C26F">
            <w:pPr>
              <w:widowControl/>
              <w:jc w:val="left"/>
              <w:rPr>
                <w:rFonts w:ascii="宋体" w:hAnsi="宋体" w:cs="宋体"/>
                <w:kern w:val="0"/>
                <w:sz w:val="22"/>
                <w:szCs w:val="22"/>
              </w:rPr>
            </w:pPr>
            <w:r>
              <w:rPr>
                <w:rFonts w:hint="eastAsia" w:ascii="宋体" w:hAnsi="宋体" w:cs="宋体"/>
                <w:kern w:val="0"/>
                <w:sz w:val="22"/>
                <w:szCs w:val="22"/>
              </w:rPr>
              <w:t>　</w:t>
            </w:r>
          </w:p>
        </w:tc>
      </w:tr>
      <w:tr w14:paraId="5658DFC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76904F7">
            <w:pPr>
              <w:widowControl/>
              <w:jc w:val="center"/>
              <w:rPr>
                <w:rFonts w:ascii="宋体" w:hAnsi="宋体" w:cs="宋体"/>
                <w:b/>
                <w:bCs/>
                <w:kern w:val="0"/>
                <w:sz w:val="22"/>
                <w:szCs w:val="22"/>
              </w:rPr>
            </w:pPr>
            <w:r>
              <w:rPr>
                <w:rFonts w:hint="eastAsia" w:ascii="宋体" w:hAnsi="宋体" w:cs="宋体"/>
                <w:b/>
                <w:bCs/>
                <w:kern w:val="0"/>
                <w:sz w:val="22"/>
                <w:szCs w:val="22"/>
              </w:rPr>
              <w:t>45</w:t>
            </w:r>
          </w:p>
        </w:tc>
        <w:tc>
          <w:tcPr>
            <w:tcW w:w="849" w:type="pct"/>
            <w:tcBorders>
              <w:top w:val="nil"/>
              <w:left w:val="nil"/>
              <w:bottom w:val="single" w:color="auto" w:sz="4" w:space="0"/>
              <w:right w:val="single" w:color="auto" w:sz="4" w:space="0"/>
            </w:tcBorders>
            <w:shd w:val="clear" w:color="000000" w:fill="FFFFFF"/>
            <w:vAlign w:val="center"/>
          </w:tcPr>
          <w:p w14:paraId="3E5C7401">
            <w:pPr>
              <w:widowControl/>
              <w:jc w:val="left"/>
              <w:rPr>
                <w:rFonts w:ascii="宋体" w:hAnsi="宋体" w:cs="宋体"/>
                <w:kern w:val="0"/>
                <w:sz w:val="22"/>
                <w:szCs w:val="22"/>
              </w:rPr>
            </w:pPr>
            <w:r>
              <w:rPr>
                <w:rFonts w:hint="eastAsia" w:ascii="宋体" w:hAnsi="宋体" w:cs="宋体"/>
                <w:kern w:val="0"/>
                <w:sz w:val="22"/>
                <w:szCs w:val="22"/>
              </w:rPr>
              <w:t>4路DVI视频输入卡</w:t>
            </w:r>
          </w:p>
        </w:tc>
        <w:tc>
          <w:tcPr>
            <w:tcW w:w="2219" w:type="pct"/>
            <w:tcBorders>
              <w:top w:val="nil"/>
              <w:left w:val="nil"/>
              <w:bottom w:val="single" w:color="auto" w:sz="4" w:space="0"/>
              <w:right w:val="single" w:color="auto" w:sz="4" w:space="0"/>
            </w:tcBorders>
            <w:shd w:val="clear" w:color="000000" w:fill="FFFFFF"/>
            <w:vAlign w:val="center"/>
          </w:tcPr>
          <w:p w14:paraId="73986BF9">
            <w:pPr>
              <w:widowControl/>
              <w:jc w:val="left"/>
              <w:rPr>
                <w:rFonts w:ascii="宋体" w:hAnsi="宋体" w:cs="宋体"/>
                <w:kern w:val="0"/>
                <w:sz w:val="22"/>
                <w:szCs w:val="22"/>
              </w:rPr>
            </w:pPr>
            <w:r>
              <w:rPr>
                <w:rFonts w:hint="eastAsia" w:ascii="宋体" w:hAnsi="宋体" w:cs="宋体"/>
                <w:kern w:val="0"/>
                <w:sz w:val="22"/>
                <w:szCs w:val="22"/>
              </w:rPr>
              <w:t>4路DVI视频信号输入，支持数字高清1080P信号</w:t>
            </w:r>
          </w:p>
        </w:tc>
        <w:tc>
          <w:tcPr>
            <w:tcW w:w="344" w:type="pct"/>
            <w:tcBorders>
              <w:top w:val="nil"/>
              <w:left w:val="nil"/>
              <w:bottom w:val="single" w:color="auto" w:sz="4" w:space="0"/>
              <w:right w:val="single" w:color="auto" w:sz="4" w:space="0"/>
            </w:tcBorders>
            <w:shd w:val="clear" w:color="000000" w:fill="FFFFFF"/>
            <w:vAlign w:val="center"/>
          </w:tcPr>
          <w:p w14:paraId="4656E04D">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03735EA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6B9A166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4131D23C">
            <w:pPr>
              <w:widowControl/>
              <w:jc w:val="left"/>
              <w:rPr>
                <w:rFonts w:ascii="宋体" w:hAnsi="宋体" w:cs="宋体"/>
                <w:kern w:val="0"/>
                <w:sz w:val="22"/>
                <w:szCs w:val="22"/>
              </w:rPr>
            </w:pPr>
            <w:r>
              <w:rPr>
                <w:rFonts w:hint="eastAsia" w:ascii="宋体" w:hAnsi="宋体" w:cs="宋体"/>
                <w:kern w:val="0"/>
                <w:sz w:val="22"/>
                <w:szCs w:val="22"/>
              </w:rPr>
              <w:t>　</w:t>
            </w:r>
          </w:p>
        </w:tc>
      </w:tr>
      <w:tr w14:paraId="73CB75E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9A60AFA">
            <w:pPr>
              <w:widowControl/>
              <w:jc w:val="center"/>
              <w:rPr>
                <w:rFonts w:ascii="宋体" w:hAnsi="宋体" w:cs="宋体"/>
                <w:b/>
                <w:bCs/>
                <w:kern w:val="0"/>
                <w:sz w:val="22"/>
                <w:szCs w:val="22"/>
              </w:rPr>
            </w:pPr>
            <w:r>
              <w:rPr>
                <w:rFonts w:hint="eastAsia" w:ascii="宋体" w:hAnsi="宋体" w:cs="宋体"/>
                <w:b/>
                <w:bCs/>
                <w:kern w:val="0"/>
                <w:sz w:val="22"/>
                <w:szCs w:val="22"/>
              </w:rPr>
              <w:t>46</w:t>
            </w:r>
          </w:p>
        </w:tc>
        <w:tc>
          <w:tcPr>
            <w:tcW w:w="849" w:type="pct"/>
            <w:tcBorders>
              <w:top w:val="nil"/>
              <w:left w:val="nil"/>
              <w:bottom w:val="single" w:color="auto" w:sz="4" w:space="0"/>
              <w:right w:val="single" w:color="auto" w:sz="4" w:space="0"/>
            </w:tcBorders>
            <w:shd w:val="clear" w:color="000000" w:fill="FFFFFF"/>
            <w:vAlign w:val="center"/>
          </w:tcPr>
          <w:p w14:paraId="3559F632">
            <w:pPr>
              <w:widowControl/>
              <w:jc w:val="left"/>
              <w:rPr>
                <w:rFonts w:ascii="宋体" w:hAnsi="宋体" w:cs="宋体"/>
                <w:kern w:val="0"/>
                <w:sz w:val="22"/>
                <w:szCs w:val="22"/>
              </w:rPr>
            </w:pPr>
            <w:r>
              <w:rPr>
                <w:rFonts w:hint="eastAsia" w:ascii="宋体" w:hAnsi="宋体" w:cs="宋体"/>
                <w:kern w:val="0"/>
                <w:sz w:val="22"/>
                <w:szCs w:val="22"/>
              </w:rPr>
              <w:t>4路DVI视频输出卡</w:t>
            </w:r>
          </w:p>
        </w:tc>
        <w:tc>
          <w:tcPr>
            <w:tcW w:w="2219" w:type="pct"/>
            <w:tcBorders>
              <w:top w:val="nil"/>
              <w:left w:val="nil"/>
              <w:bottom w:val="single" w:color="auto" w:sz="4" w:space="0"/>
              <w:right w:val="single" w:color="auto" w:sz="4" w:space="0"/>
            </w:tcBorders>
            <w:shd w:val="clear" w:color="000000" w:fill="FFFFFF"/>
            <w:vAlign w:val="center"/>
          </w:tcPr>
          <w:p w14:paraId="2C1D72FF">
            <w:pPr>
              <w:widowControl/>
              <w:jc w:val="left"/>
              <w:rPr>
                <w:rFonts w:ascii="宋体" w:hAnsi="宋体" w:cs="宋体"/>
                <w:kern w:val="0"/>
                <w:sz w:val="22"/>
                <w:szCs w:val="22"/>
              </w:rPr>
            </w:pPr>
            <w:r>
              <w:rPr>
                <w:rFonts w:hint="eastAsia" w:ascii="宋体" w:hAnsi="宋体" w:cs="宋体"/>
                <w:kern w:val="0"/>
                <w:sz w:val="22"/>
                <w:szCs w:val="22"/>
              </w:rPr>
              <w:t>4路DVI视频信号输出，支持数字高清1080P信号</w:t>
            </w:r>
          </w:p>
        </w:tc>
        <w:tc>
          <w:tcPr>
            <w:tcW w:w="344" w:type="pct"/>
            <w:tcBorders>
              <w:top w:val="nil"/>
              <w:left w:val="nil"/>
              <w:bottom w:val="single" w:color="auto" w:sz="4" w:space="0"/>
              <w:right w:val="single" w:color="auto" w:sz="4" w:space="0"/>
            </w:tcBorders>
            <w:shd w:val="clear" w:color="000000" w:fill="FFFFFF"/>
            <w:vAlign w:val="center"/>
          </w:tcPr>
          <w:p w14:paraId="1C8FC0E7">
            <w:pPr>
              <w:widowControl/>
              <w:jc w:val="center"/>
              <w:rPr>
                <w:rFonts w:ascii="宋体" w:hAnsi="宋体" w:cs="宋体"/>
                <w:kern w:val="0"/>
                <w:sz w:val="22"/>
                <w:szCs w:val="22"/>
              </w:rPr>
            </w:pPr>
            <w:r>
              <w:rPr>
                <w:rFonts w:hint="eastAsia" w:ascii="宋体" w:hAnsi="宋体" w:cs="宋体"/>
                <w:kern w:val="0"/>
                <w:sz w:val="22"/>
                <w:szCs w:val="22"/>
              </w:rPr>
              <w:t>ITC</w:t>
            </w:r>
          </w:p>
        </w:tc>
        <w:tc>
          <w:tcPr>
            <w:tcW w:w="330" w:type="pct"/>
            <w:tcBorders>
              <w:top w:val="nil"/>
              <w:left w:val="nil"/>
              <w:bottom w:val="single" w:color="auto" w:sz="4" w:space="0"/>
              <w:right w:val="single" w:color="auto" w:sz="4" w:space="0"/>
            </w:tcBorders>
            <w:shd w:val="clear" w:color="000000" w:fill="FFFFFF"/>
            <w:vAlign w:val="center"/>
          </w:tcPr>
          <w:p w14:paraId="6531B00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4CBC028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6F813B78">
            <w:pPr>
              <w:widowControl/>
              <w:jc w:val="left"/>
              <w:rPr>
                <w:rFonts w:ascii="宋体" w:hAnsi="宋体" w:cs="宋体"/>
                <w:kern w:val="0"/>
                <w:sz w:val="22"/>
                <w:szCs w:val="22"/>
              </w:rPr>
            </w:pPr>
            <w:r>
              <w:rPr>
                <w:rFonts w:hint="eastAsia" w:ascii="宋体" w:hAnsi="宋体" w:cs="宋体"/>
                <w:kern w:val="0"/>
                <w:sz w:val="22"/>
                <w:szCs w:val="22"/>
              </w:rPr>
              <w:t>　</w:t>
            </w:r>
          </w:p>
        </w:tc>
      </w:tr>
      <w:tr w14:paraId="75508FC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D20AF19">
            <w:pPr>
              <w:widowControl/>
              <w:jc w:val="center"/>
              <w:rPr>
                <w:rFonts w:ascii="宋体" w:hAnsi="宋体" w:cs="宋体"/>
                <w:b/>
                <w:bCs/>
                <w:kern w:val="0"/>
                <w:sz w:val="22"/>
                <w:szCs w:val="22"/>
              </w:rPr>
            </w:pPr>
            <w:r>
              <w:rPr>
                <w:rFonts w:hint="eastAsia" w:ascii="宋体" w:hAnsi="宋体" w:cs="宋体"/>
                <w:b/>
                <w:bCs/>
                <w:kern w:val="0"/>
                <w:sz w:val="22"/>
                <w:szCs w:val="22"/>
              </w:rPr>
              <w:t>47</w:t>
            </w:r>
          </w:p>
        </w:tc>
        <w:tc>
          <w:tcPr>
            <w:tcW w:w="849" w:type="pct"/>
            <w:tcBorders>
              <w:top w:val="nil"/>
              <w:left w:val="nil"/>
              <w:bottom w:val="single" w:color="auto" w:sz="4" w:space="0"/>
              <w:right w:val="single" w:color="auto" w:sz="4" w:space="0"/>
            </w:tcBorders>
            <w:shd w:val="clear" w:color="000000" w:fill="FFFFFF"/>
            <w:vAlign w:val="center"/>
          </w:tcPr>
          <w:p w14:paraId="59075135">
            <w:pPr>
              <w:widowControl/>
              <w:jc w:val="left"/>
              <w:rPr>
                <w:rFonts w:ascii="宋体" w:hAnsi="宋体" w:cs="宋体"/>
                <w:kern w:val="0"/>
                <w:sz w:val="22"/>
                <w:szCs w:val="22"/>
              </w:rPr>
            </w:pPr>
            <w:r>
              <w:rPr>
                <w:rFonts w:hint="eastAsia" w:ascii="宋体" w:hAnsi="宋体" w:cs="宋体"/>
                <w:kern w:val="0"/>
                <w:sz w:val="22"/>
                <w:szCs w:val="22"/>
              </w:rPr>
              <w:t>调音台机柜航空箱</w:t>
            </w:r>
          </w:p>
        </w:tc>
        <w:tc>
          <w:tcPr>
            <w:tcW w:w="2219" w:type="pct"/>
            <w:tcBorders>
              <w:top w:val="nil"/>
              <w:left w:val="nil"/>
              <w:bottom w:val="single" w:color="auto" w:sz="4" w:space="0"/>
              <w:right w:val="single" w:color="auto" w:sz="4" w:space="0"/>
            </w:tcBorders>
            <w:shd w:val="clear" w:color="000000" w:fill="FFFFFF"/>
            <w:vAlign w:val="center"/>
          </w:tcPr>
          <w:p w14:paraId="09DC7298">
            <w:pPr>
              <w:widowControl/>
              <w:jc w:val="left"/>
              <w:rPr>
                <w:rFonts w:ascii="宋体" w:hAnsi="宋体" w:cs="宋体"/>
                <w:kern w:val="0"/>
                <w:sz w:val="22"/>
                <w:szCs w:val="22"/>
              </w:rPr>
            </w:pPr>
            <w:r>
              <w:rPr>
                <w:rFonts w:hint="eastAsia" w:ascii="宋体" w:hAnsi="宋体" w:cs="宋体"/>
                <w:kern w:val="0"/>
                <w:sz w:val="22"/>
                <w:szCs w:val="22"/>
              </w:rPr>
              <w:t>12U</w:t>
            </w:r>
          </w:p>
        </w:tc>
        <w:tc>
          <w:tcPr>
            <w:tcW w:w="344" w:type="pct"/>
            <w:tcBorders>
              <w:top w:val="nil"/>
              <w:left w:val="nil"/>
              <w:bottom w:val="single" w:color="auto" w:sz="4" w:space="0"/>
              <w:right w:val="single" w:color="auto" w:sz="4" w:space="0"/>
            </w:tcBorders>
            <w:shd w:val="clear" w:color="000000" w:fill="FFFFFF"/>
            <w:vAlign w:val="center"/>
          </w:tcPr>
          <w:p w14:paraId="1245D263">
            <w:pPr>
              <w:widowControl/>
              <w:jc w:val="center"/>
              <w:rPr>
                <w:rFonts w:ascii="宋体" w:hAnsi="宋体" w:cs="宋体"/>
                <w:kern w:val="0"/>
                <w:sz w:val="22"/>
                <w:szCs w:val="22"/>
              </w:rPr>
            </w:pPr>
            <w:r>
              <w:rPr>
                <w:rFonts w:hint="eastAsia" w:ascii="宋体" w:hAnsi="宋体" w:cs="宋体"/>
                <w:kern w:val="0"/>
                <w:sz w:val="22"/>
                <w:szCs w:val="22"/>
              </w:rPr>
              <w:t>国产</w:t>
            </w:r>
          </w:p>
        </w:tc>
        <w:tc>
          <w:tcPr>
            <w:tcW w:w="330" w:type="pct"/>
            <w:tcBorders>
              <w:top w:val="nil"/>
              <w:left w:val="nil"/>
              <w:bottom w:val="single" w:color="auto" w:sz="4" w:space="0"/>
              <w:right w:val="single" w:color="auto" w:sz="4" w:space="0"/>
            </w:tcBorders>
            <w:shd w:val="clear" w:color="000000" w:fill="FFFFFF"/>
            <w:vAlign w:val="center"/>
          </w:tcPr>
          <w:p w14:paraId="1AF761E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只</w:t>
            </w:r>
          </w:p>
        </w:tc>
        <w:tc>
          <w:tcPr>
            <w:tcW w:w="355" w:type="pct"/>
            <w:tcBorders>
              <w:top w:val="nil"/>
              <w:left w:val="nil"/>
              <w:bottom w:val="single" w:color="auto" w:sz="4" w:space="0"/>
              <w:right w:val="single" w:color="auto" w:sz="4" w:space="0"/>
            </w:tcBorders>
            <w:shd w:val="clear" w:color="000000" w:fill="FFFFFF"/>
            <w:vAlign w:val="center"/>
          </w:tcPr>
          <w:p w14:paraId="4BA57F1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7F4EF5E9">
            <w:pPr>
              <w:widowControl/>
              <w:jc w:val="left"/>
              <w:rPr>
                <w:rFonts w:ascii="宋体" w:hAnsi="宋体" w:cs="宋体"/>
                <w:kern w:val="0"/>
                <w:sz w:val="22"/>
                <w:szCs w:val="22"/>
              </w:rPr>
            </w:pPr>
            <w:r>
              <w:rPr>
                <w:rFonts w:hint="eastAsia" w:ascii="宋体" w:hAnsi="宋体" w:cs="宋体"/>
                <w:kern w:val="0"/>
                <w:sz w:val="22"/>
                <w:szCs w:val="22"/>
              </w:rPr>
              <w:t>　</w:t>
            </w:r>
          </w:p>
        </w:tc>
      </w:tr>
      <w:tr w14:paraId="45BE63F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5A44F45">
            <w:pPr>
              <w:widowControl/>
              <w:jc w:val="center"/>
              <w:rPr>
                <w:rFonts w:ascii="宋体" w:hAnsi="宋体" w:cs="宋体"/>
                <w:b/>
                <w:bCs/>
                <w:kern w:val="0"/>
                <w:sz w:val="22"/>
                <w:szCs w:val="22"/>
              </w:rPr>
            </w:pPr>
            <w:r>
              <w:rPr>
                <w:rFonts w:hint="eastAsia" w:ascii="宋体" w:hAnsi="宋体" w:cs="宋体"/>
                <w:b/>
                <w:bCs/>
                <w:kern w:val="0"/>
                <w:sz w:val="22"/>
                <w:szCs w:val="22"/>
              </w:rPr>
              <w:t>48</w:t>
            </w:r>
          </w:p>
        </w:tc>
        <w:tc>
          <w:tcPr>
            <w:tcW w:w="849" w:type="pct"/>
            <w:tcBorders>
              <w:top w:val="nil"/>
              <w:left w:val="nil"/>
              <w:bottom w:val="single" w:color="auto" w:sz="4" w:space="0"/>
              <w:right w:val="single" w:color="auto" w:sz="4" w:space="0"/>
            </w:tcBorders>
            <w:shd w:val="clear" w:color="000000" w:fill="FFFFFF"/>
            <w:vAlign w:val="center"/>
          </w:tcPr>
          <w:p w14:paraId="305F0FD7">
            <w:pPr>
              <w:widowControl/>
              <w:jc w:val="left"/>
              <w:rPr>
                <w:rFonts w:ascii="宋体" w:hAnsi="宋体" w:cs="宋体"/>
                <w:kern w:val="0"/>
                <w:sz w:val="22"/>
                <w:szCs w:val="22"/>
              </w:rPr>
            </w:pPr>
            <w:r>
              <w:rPr>
                <w:rFonts w:hint="eastAsia" w:ascii="宋体" w:hAnsi="宋体" w:cs="宋体"/>
                <w:kern w:val="0"/>
                <w:sz w:val="22"/>
                <w:szCs w:val="22"/>
              </w:rPr>
              <w:t>机柜</w:t>
            </w:r>
          </w:p>
        </w:tc>
        <w:tc>
          <w:tcPr>
            <w:tcW w:w="2219" w:type="pct"/>
            <w:tcBorders>
              <w:top w:val="nil"/>
              <w:left w:val="nil"/>
              <w:bottom w:val="single" w:color="auto" w:sz="4" w:space="0"/>
              <w:right w:val="single" w:color="auto" w:sz="4" w:space="0"/>
            </w:tcBorders>
            <w:shd w:val="clear" w:color="000000" w:fill="FFFFFF"/>
            <w:vAlign w:val="center"/>
          </w:tcPr>
          <w:p w14:paraId="47E57E1A">
            <w:pPr>
              <w:widowControl/>
              <w:jc w:val="left"/>
              <w:rPr>
                <w:rFonts w:ascii="宋体" w:hAnsi="宋体" w:cs="宋体"/>
                <w:kern w:val="0"/>
                <w:sz w:val="22"/>
                <w:szCs w:val="22"/>
              </w:rPr>
            </w:pPr>
            <w:r>
              <w:rPr>
                <w:rFonts w:hint="eastAsia" w:ascii="宋体" w:hAnsi="宋体" w:cs="宋体"/>
                <w:kern w:val="0"/>
                <w:sz w:val="22"/>
                <w:szCs w:val="22"/>
              </w:rPr>
              <w:t>机柜（42U)</w:t>
            </w:r>
          </w:p>
        </w:tc>
        <w:tc>
          <w:tcPr>
            <w:tcW w:w="344" w:type="pct"/>
            <w:tcBorders>
              <w:top w:val="nil"/>
              <w:left w:val="nil"/>
              <w:bottom w:val="single" w:color="auto" w:sz="4" w:space="0"/>
              <w:right w:val="single" w:color="auto" w:sz="4" w:space="0"/>
            </w:tcBorders>
            <w:shd w:val="clear" w:color="000000" w:fill="FFFFFF"/>
            <w:vAlign w:val="center"/>
          </w:tcPr>
          <w:p w14:paraId="22176D3A">
            <w:pPr>
              <w:widowControl/>
              <w:jc w:val="center"/>
              <w:rPr>
                <w:rFonts w:ascii="宋体" w:hAnsi="宋体" w:cs="宋体"/>
                <w:kern w:val="0"/>
                <w:sz w:val="22"/>
                <w:szCs w:val="22"/>
              </w:rPr>
            </w:pPr>
            <w:r>
              <w:rPr>
                <w:rFonts w:hint="eastAsia" w:ascii="宋体" w:hAnsi="宋体" w:cs="宋体"/>
                <w:kern w:val="0"/>
                <w:sz w:val="22"/>
                <w:szCs w:val="22"/>
              </w:rPr>
              <w:t>国产</w:t>
            </w:r>
          </w:p>
        </w:tc>
        <w:tc>
          <w:tcPr>
            <w:tcW w:w="330" w:type="pct"/>
            <w:tcBorders>
              <w:top w:val="nil"/>
              <w:left w:val="nil"/>
              <w:bottom w:val="single" w:color="auto" w:sz="4" w:space="0"/>
              <w:right w:val="single" w:color="auto" w:sz="4" w:space="0"/>
            </w:tcBorders>
            <w:shd w:val="clear" w:color="000000" w:fill="FFFFFF"/>
            <w:vAlign w:val="center"/>
          </w:tcPr>
          <w:p w14:paraId="01D9CDD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只</w:t>
            </w:r>
          </w:p>
        </w:tc>
        <w:tc>
          <w:tcPr>
            <w:tcW w:w="355" w:type="pct"/>
            <w:tcBorders>
              <w:top w:val="nil"/>
              <w:left w:val="nil"/>
              <w:bottom w:val="single" w:color="auto" w:sz="4" w:space="0"/>
              <w:right w:val="single" w:color="auto" w:sz="4" w:space="0"/>
            </w:tcBorders>
            <w:shd w:val="clear" w:color="000000" w:fill="FFFFFF"/>
            <w:vAlign w:val="center"/>
          </w:tcPr>
          <w:p w14:paraId="501CE1C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4835B183">
            <w:pPr>
              <w:widowControl/>
              <w:jc w:val="left"/>
              <w:rPr>
                <w:rFonts w:ascii="宋体" w:hAnsi="宋体" w:cs="宋体"/>
                <w:kern w:val="0"/>
                <w:sz w:val="22"/>
                <w:szCs w:val="22"/>
              </w:rPr>
            </w:pPr>
            <w:r>
              <w:rPr>
                <w:rFonts w:hint="eastAsia" w:ascii="宋体" w:hAnsi="宋体" w:cs="宋体"/>
                <w:kern w:val="0"/>
                <w:sz w:val="22"/>
                <w:szCs w:val="22"/>
              </w:rPr>
              <w:t>　</w:t>
            </w:r>
          </w:p>
        </w:tc>
      </w:tr>
      <w:tr w14:paraId="1E1714A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92FF1ED">
            <w:pPr>
              <w:widowControl/>
              <w:jc w:val="center"/>
              <w:rPr>
                <w:rFonts w:ascii="宋体" w:hAnsi="宋体" w:cs="宋体"/>
                <w:b/>
                <w:bCs/>
                <w:kern w:val="0"/>
                <w:sz w:val="22"/>
                <w:szCs w:val="22"/>
              </w:rPr>
            </w:pPr>
            <w:r>
              <w:rPr>
                <w:rFonts w:hint="eastAsia" w:ascii="宋体" w:hAnsi="宋体" w:cs="宋体"/>
                <w:b/>
                <w:bCs/>
                <w:kern w:val="0"/>
                <w:sz w:val="22"/>
                <w:szCs w:val="22"/>
              </w:rPr>
              <w:t>49</w:t>
            </w:r>
          </w:p>
        </w:tc>
        <w:tc>
          <w:tcPr>
            <w:tcW w:w="849" w:type="pct"/>
            <w:tcBorders>
              <w:top w:val="nil"/>
              <w:left w:val="nil"/>
              <w:bottom w:val="single" w:color="auto" w:sz="4" w:space="0"/>
              <w:right w:val="single" w:color="auto" w:sz="4" w:space="0"/>
            </w:tcBorders>
            <w:shd w:val="clear" w:color="000000" w:fill="FFFFFF"/>
            <w:vAlign w:val="center"/>
          </w:tcPr>
          <w:p w14:paraId="524EEFDE">
            <w:pPr>
              <w:widowControl/>
              <w:jc w:val="left"/>
              <w:rPr>
                <w:rFonts w:ascii="宋体" w:hAnsi="宋体" w:cs="宋体"/>
                <w:kern w:val="0"/>
                <w:sz w:val="22"/>
                <w:szCs w:val="22"/>
              </w:rPr>
            </w:pPr>
            <w:r>
              <w:rPr>
                <w:rFonts w:hint="eastAsia" w:ascii="宋体" w:hAnsi="宋体" w:cs="宋体"/>
                <w:kern w:val="0"/>
                <w:sz w:val="22"/>
                <w:szCs w:val="22"/>
              </w:rPr>
              <w:t>显示屏</w:t>
            </w:r>
          </w:p>
        </w:tc>
        <w:tc>
          <w:tcPr>
            <w:tcW w:w="2219" w:type="pct"/>
            <w:tcBorders>
              <w:top w:val="nil"/>
              <w:left w:val="nil"/>
              <w:bottom w:val="single" w:color="auto" w:sz="4" w:space="0"/>
              <w:right w:val="single" w:color="auto" w:sz="4" w:space="0"/>
            </w:tcBorders>
            <w:shd w:val="clear" w:color="000000" w:fill="FFFFFF"/>
            <w:vAlign w:val="center"/>
          </w:tcPr>
          <w:p w14:paraId="4BB01FB1">
            <w:pPr>
              <w:widowControl/>
              <w:jc w:val="left"/>
              <w:rPr>
                <w:rFonts w:ascii="宋体" w:hAnsi="宋体" w:cs="宋体"/>
                <w:kern w:val="0"/>
                <w:sz w:val="22"/>
                <w:szCs w:val="22"/>
              </w:rPr>
            </w:pPr>
            <w:r>
              <w:rPr>
                <w:rFonts w:hint="eastAsia" w:ascii="宋体" w:hAnsi="宋体" w:cs="宋体"/>
                <w:kern w:val="0"/>
                <w:sz w:val="22"/>
                <w:szCs w:val="22"/>
              </w:rPr>
              <w:t>100寸全高清激光电视（1920x1080），内置网口，无线WIFI，含HDMI接口，支持数字一体机，激光器寿命大于等于25000小时，壁挂安装</w:t>
            </w:r>
          </w:p>
        </w:tc>
        <w:tc>
          <w:tcPr>
            <w:tcW w:w="344" w:type="pct"/>
            <w:tcBorders>
              <w:top w:val="nil"/>
              <w:left w:val="nil"/>
              <w:bottom w:val="single" w:color="auto" w:sz="4" w:space="0"/>
              <w:right w:val="single" w:color="auto" w:sz="4" w:space="0"/>
            </w:tcBorders>
            <w:shd w:val="clear" w:color="000000" w:fill="FFFFFF"/>
            <w:vAlign w:val="center"/>
          </w:tcPr>
          <w:p w14:paraId="2CFF9856">
            <w:pPr>
              <w:widowControl/>
              <w:jc w:val="center"/>
              <w:rPr>
                <w:rFonts w:ascii="宋体" w:hAnsi="宋体" w:cs="宋体"/>
                <w:kern w:val="0"/>
                <w:sz w:val="22"/>
                <w:szCs w:val="22"/>
              </w:rPr>
            </w:pPr>
            <w:r>
              <w:rPr>
                <w:rFonts w:hint="eastAsia" w:ascii="宋体" w:hAnsi="宋体" w:cs="宋体"/>
                <w:kern w:val="0"/>
                <w:sz w:val="22"/>
                <w:szCs w:val="22"/>
              </w:rPr>
              <w:t>海信</w:t>
            </w:r>
          </w:p>
        </w:tc>
        <w:tc>
          <w:tcPr>
            <w:tcW w:w="330" w:type="pct"/>
            <w:tcBorders>
              <w:top w:val="nil"/>
              <w:left w:val="nil"/>
              <w:bottom w:val="single" w:color="auto" w:sz="4" w:space="0"/>
              <w:right w:val="single" w:color="auto" w:sz="4" w:space="0"/>
            </w:tcBorders>
            <w:shd w:val="clear" w:color="000000" w:fill="FFFFFF"/>
            <w:vAlign w:val="center"/>
          </w:tcPr>
          <w:p w14:paraId="441D3AE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3B2B054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7C13EE1">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3F20515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B781160">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49" w:type="pct"/>
            <w:tcBorders>
              <w:top w:val="nil"/>
              <w:left w:val="nil"/>
              <w:bottom w:val="single" w:color="auto" w:sz="4" w:space="0"/>
              <w:right w:val="single" w:color="auto" w:sz="4" w:space="0"/>
            </w:tcBorders>
            <w:shd w:val="clear" w:color="000000" w:fill="FFFFFF"/>
            <w:vAlign w:val="center"/>
          </w:tcPr>
          <w:p w14:paraId="6C128BF2">
            <w:pPr>
              <w:widowControl/>
              <w:jc w:val="left"/>
              <w:rPr>
                <w:rFonts w:ascii="宋体" w:hAnsi="宋体" w:cs="宋体"/>
                <w:kern w:val="0"/>
                <w:sz w:val="22"/>
                <w:szCs w:val="22"/>
              </w:rPr>
            </w:pPr>
            <w:r>
              <w:rPr>
                <w:rFonts w:hint="eastAsia" w:ascii="宋体" w:hAnsi="宋体" w:cs="宋体"/>
                <w:kern w:val="0"/>
                <w:sz w:val="22"/>
                <w:szCs w:val="22"/>
              </w:rPr>
              <w:t xml:space="preserve">多点控制服务器 </w:t>
            </w:r>
          </w:p>
        </w:tc>
        <w:tc>
          <w:tcPr>
            <w:tcW w:w="2219" w:type="pct"/>
            <w:tcBorders>
              <w:top w:val="nil"/>
              <w:left w:val="nil"/>
              <w:bottom w:val="single" w:color="auto" w:sz="4" w:space="0"/>
              <w:right w:val="single" w:color="auto" w:sz="4" w:space="0"/>
            </w:tcBorders>
            <w:shd w:val="clear" w:color="000000" w:fill="FFFFFF"/>
            <w:vAlign w:val="center"/>
          </w:tcPr>
          <w:p w14:paraId="59453740">
            <w:pPr>
              <w:widowControl/>
              <w:jc w:val="left"/>
              <w:rPr>
                <w:rFonts w:ascii="宋体" w:hAnsi="宋体" w:cs="宋体"/>
                <w:kern w:val="0"/>
                <w:sz w:val="22"/>
                <w:szCs w:val="22"/>
              </w:rPr>
            </w:pPr>
            <w:r>
              <w:rPr>
                <w:rFonts w:hint="eastAsia" w:ascii="宋体" w:hAnsi="宋体" w:cs="宋体"/>
                <w:kern w:val="0"/>
                <w:sz w:val="22"/>
                <w:szCs w:val="22"/>
              </w:rPr>
              <w:t>15HD 720p,1块板卡,可扩容到35 720p</w:t>
            </w:r>
          </w:p>
        </w:tc>
        <w:tc>
          <w:tcPr>
            <w:tcW w:w="344" w:type="pct"/>
            <w:tcBorders>
              <w:top w:val="nil"/>
              <w:left w:val="nil"/>
              <w:bottom w:val="single" w:color="auto" w:sz="4" w:space="0"/>
              <w:right w:val="single" w:color="auto" w:sz="4" w:space="0"/>
            </w:tcBorders>
            <w:shd w:val="clear" w:color="000000" w:fill="FFFFFF"/>
            <w:vAlign w:val="center"/>
          </w:tcPr>
          <w:p w14:paraId="1C64ED52">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5DEFFD4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E5CA47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5BAE4A59">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7CA25979">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6C0866A">
            <w:pPr>
              <w:widowControl/>
              <w:jc w:val="center"/>
              <w:rPr>
                <w:rFonts w:ascii="宋体" w:hAnsi="宋体" w:cs="宋体"/>
                <w:b/>
                <w:bCs/>
                <w:kern w:val="0"/>
                <w:sz w:val="22"/>
                <w:szCs w:val="22"/>
              </w:rPr>
            </w:pPr>
            <w:r>
              <w:rPr>
                <w:rFonts w:hint="eastAsia" w:ascii="宋体" w:hAnsi="宋体" w:cs="宋体"/>
                <w:b/>
                <w:bCs/>
                <w:kern w:val="0"/>
                <w:sz w:val="22"/>
                <w:szCs w:val="22"/>
              </w:rPr>
              <w:t>51</w:t>
            </w:r>
          </w:p>
        </w:tc>
        <w:tc>
          <w:tcPr>
            <w:tcW w:w="849" w:type="pct"/>
            <w:tcBorders>
              <w:top w:val="nil"/>
              <w:left w:val="nil"/>
              <w:bottom w:val="single" w:color="auto" w:sz="4" w:space="0"/>
              <w:right w:val="single" w:color="auto" w:sz="4" w:space="0"/>
            </w:tcBorders>
            <w:shd w:val="clear" w:color="000000" w:fill="FFFFFF"/>
            <w:vAlign w:val="center"/>
          </w:tcPr>
          <w:p w14:paraId="6AA51E6F">
            <w:pPr>
              <w:widowControl/>
              <w:jc w:val="left"/>
              <w:rPr>
                <w:rFonts w:ascii="宋体" w:hAnsi="宋体" w:cs="宋体"/>
                <w:kern w:val="0"/>
                <w:sz w:val="22"/>
                <w:szCs w:val="22"/>
              </w:rPr>
            </w:pPr>
            <w:r>
              <w:rPr>
                <w:rFonts w:hint="eastAsia" w:ascii="宋体" w:hAnsi="宋体" w:cs="宋体"/>
                <w:kern w:val="0"/>
                <w:sz w:val="22"/>
                <w:szCs w:val="22"/>
              </w:rPr>
              <w:t>高清终端</w:t>
            </w:r>
          </w:p>
        </w:tc>
        <w:tc>
          <w:tcPr>
            <w:tcW w:w="2219" w:type="pct"/>
            <w:tcBorders>
              <w:top w:val="nil"/>
              <w:left w:val="nil"/>
              <w:bottom w:val="single" w:color="auto" w:sz="4" w:space="0"/>
              <w:right w:val="single" w:color="auto" w:sz="4" w:space="0"/>
            </w:tcBorders>
            <w:shd w:val="clear" w:color="000000" w:fill="FFFFFF"/>
            <w:vAlign w:val="center"/>
          </w:tcPr>
          <w:p w14:paraId="591CF4AE">
            <w:pPr>
              <w:widowControl/>
              <w:jc w:val="left"/>
              <w:rPr>
                <w:rFonts w:ascii="宋体" w:hAnsi="宋体" w:cs="宋体"/>
                <w:kern w:val="0"/>
                <w:sz w:val="22"/>
                <w:szCs w:val="22"/>
              </w:rPr>
            </w:pPr>
            <w:r>
              <w:rPr>
                <w:rFonts w:hint="eastAsia" w:ascii="宋体" w:hAnsi="宋体" w:cs="宋体"/>
                <w:kern w:val="0"/>
                <w:sz w:val="22"/>
                <w:szCs w:val="22"/>
              </w:rPr>
              <w:t xml:space="preserve">(EE III 12xCam)含双显 </w:t>
            </w:r>
          </w:p>
        </w:tc>
        <w:tc>
          <w:tcPr>
            <w:tcW w:w="344" w:type="pct"/>
            <w:tcBorders>
              <w:top w:val="nil"/>
              <w:left w:val="nil"/>
              <w:bottom w:val="single" w:color="auto" w:sz="4" w:space="0"/>
              <w:right w:val="single" w:color="auto" w:sz="4" w:space="0"/>
            </w:tcBorders>
            <w:shd w:val="clear" w:color="000000" w:fill="FFFFFF"/>
            <w:vAlign w:val="center"/>
          </w:tcPr>
          <w:p w14:paraId="7093708A">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7849964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6B9A87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0E829767">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2A9AFE9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FD1D677">
            <w:pPr>
              <w:widowControl/>
              <w:jc w:val="center"/>
              <w:rPr>
                <w:rFonts w:ascii="宋体" w:hAnsi="宋体" w:cs="宋体"/>
                <w:b/>
                <w:bCs/>
                <w:kern w:val="0"/>
                <w:sz w:val="22"/>
                <w:szCs w:val="22"/>
              </w:rPr>
            </w:pPr>
            <w:r>
              <w:rPr>
                <w:rFonts w:hint="eastAsia" w:ascii="宋体" w:hAnsi="宋体" w:cs="宋体"/>
                <w:b/>
                <w:bCs/>
                <w:kern w:val="0"/>
                <w:sz w:val="22"/>
                <w:szCs w:val="22"/>
              </w:rPr>
              <w:t>52</w:t>
            </w:r>
          </w:p>
        </w:tc>
        <w:tc>
          <w:tcPr>
            <w:tcW w:w="849" w:type="pct"/>
            <w:tcBorders>
              <w:top w:val="nil"/>
              <w:left w:val="nil"/>
              <w:bottom w:val="single" w:color="auto" w:sz="4" w:space="0"/>
              <w:right w:val="single" w:color="auto" w:sz="4" w:space="0"/>
            </w:tcBorders>
            <w:shd w:val="clear" w:color="000000" w:fill="FFFFFF"/>
            <w:vAlign w:val="center"/>
          </w:tcPr>
          <w:p w14:paraId="1360C8AE">
            <w:pPr>
              <w:widowControl/>
              <w:jc w:val="left"/>
              <w:rPr>
                <w:rFonts w:ascii="宋体" w:hAnsi="宋体" w:cs="宋体"/>
                <w:kern w:val="0"/>
                <w:sz w:val="22"/>
                <w:szCs w:val="22"/>
              </w:rPr>
            </w:pPr>
            <w:r>
              <w:rPr>
                <w:rFonts w:hint="eastAsia" w:ascii="宋体" w:hAnsi="宋体" w:cs="宋体"/>
                <w:kern w:val="0"/>
                <w:sz w:val="22"/>
                <w:szCs w:val="22"/>
              </w:rPr>
              <w:t>液晶电视机</w:t>
            </w:r>
          </w:p>
        </w:tc>
        <w:tc>
          <w:tcPr>
            <w:tcW w:w="2219" w:type="pct"/>
            <w:tcBorders>
              <w:top w:val="nil"/>
              <w:left w:val="nil"/>
              <w:bottom w:val="single" w:color="auto" w:sz="4" w:space="0"/>
              <w:right w:val="single" w:color="auto" w:sz="4" w:space="0"/>
            </w:tcBorders>
            <w:shd w:val="clear" w:color="000000" w:fill="FFFFFF"/>
            <w:vAlign w:val="center"/>
          </w:tcPr>
          <w:p w14:paraId="755B6326">
            <w:pPr>
              <w:widowControl/>
              <w:jc w:val="left"/>
              <w:rPr>
                <w:rFonts w:ascii="宋体" w:hAnsi="宋体" w:cs="宋体"/>
                <w:kern w:val="0"/>
                <w:sz w:val="22"/>
                <w:szCs w:val="22"/>
              </w:rPr>
            </w:pPr>
            <w:r>
              <w:rPr>
                <w:rFonts w:hint="eastAsia" w:ascii="宋体" w:hAnsi="宋体" w:cs="宋体"/>
                <w:kern w:val="0"/>
                <w:sz w:val="22"/>
                <w:szCs w:val="22"/>
              </w:rPr>
              <w:t>屏幕尺寸 70英寸，全高清（1920x1080），含HDMI接口</w:t>
            </w:r>
          </w:p>
        </w:tc>
        <w:tc>
          <w:tcPr>
            <w:tcW w:w="344" w:type="pct"/>
            <w:tcBorders>
              <w:top w:val="nil"/>
              <w:left w:val="nil"/>
              <w:bottom w:val="single" w:color="auto" w:sz="4" w:space="0"/>
              <w:right w:val="single" w:color="auto" w:sz="4" w:space="0"/>
            </w:tcBorders>
            <w:shd w:val="clear" w:color="000000" w:fill="FFFFFF"/>
            <w:vAlign w:val="center"/>
          </w:tcPr>
          <w:p w14:paraId="329F7EDA">
            <w:pPr>
              <w:widowControl/>
              <w:jc w:val="center"/>
              <w:rPr>
                <w:rFonts w:ascii="宋体" w:hAnsi="宋体" w:cs="宋体"/>
                <w:kern w:val="0"/>
                <w:sz w:val="22"/>
                <w:szCs w:val="22"/>
              </w:rPr>
            </w:pPr>
            <w:r>
              <w:rPr>
                <w:rFonts w:hint="eastAsia" w:ascii="宋体" w:hAnsi="宋体" w:cs="宋体"/>
                <w:kern w:val="0"/>
                <w:sz w:val="22"/>
                <w:szCs w:val="22"/>
              </w:rPr>
              <w:t>夏普</w:t>
            </w:r>
          </w:p>
        </w:tc>
        <w:tc>
          <w:tcPr>
            <w:tcW w:w="330" w:type="pct"/>
            <w:tcBorders>
              <w:top w:val="nil"/>
              <w:left w:val="nil"/>
              <w:bottom w:val="single" w:color="auto" w:sz="4" w:space="0"/>
              <w:right w:val="single" w:color="auto" w:sz="4" w:space="0"/>
            </w:tcBorders>
            <w:shd w:val="clear" w:color="000000" w:fill="FFFFFF"/>
            <w:vAlign w:val="center"/>
          </w:tcPr>
          <w:p w14:paraId="4C0CA05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938739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0907AA78">
            <w:pPr>
              <w:widowControl/>
              <w:jc w:val="left"/>
              <w:rPr>
                <w:rFonts w:ascii="宋体" w:hAnsi="宋体" w:cs="宋体"/>
                <w:kern w:val="0"/>
                <w:sz w:val="22"/>
                <w:szCs w:val="22"/>
              </w:rPr>
            </w:pPr>
            <w:r>
              <w:rPr>
                <w:rFonts w:hint="eastAsia" w:ascii="宋体" w:hAnsi="宋体" w:cs="宋体"/>
                <w:kern w:val="0"/>
                <w:sz w:val="22"/>
                <w:szCs w:val="22"/>
              </w:rPr>
              <w:t>　</w:t>
            </w:r>
          </w:p>
        </w:tc>
      </w:tr>
      <w:tr w14:paraId="6046EFD0">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AFB1A6E">
            <w:pPr>
              <w:widowControl/>
              <w:jc w:val="center"/>
              <w:rPr>
                <w:rFonts w:ascii="宋体" w:hAnsi="宋体" w:cs="宋体"/>
                <w:b/>
                <w:bCs/>
                <w:kern w:val="0"/>
                <w:sz w:val="22"/>
                <w:szCs w:val="22"/>
              </w:rPr>
            </w:pPr>
            <w:r>
              <w:rPr>
                <w:rFonts w:hint="eastAsia" w:ascii="宋体" w:hAnsi="宋体" w:cs="宋体"/>
                <w:b/>
                <w:bCs/>
                <w:kern w:val="0"/>
                <w:sz w:val="22"/>
                <w:szCs w:val="22"/>
              </w:rPr>
              <w:t>53</w:t>
            </w:r>
          </w:p>
        </w:tc>
        <w:tc>
          <w:tcPr>
            <w:tcW w:w="849" w:type="pct"/>
            <w:tcBorders>
              <w:top w:val="nil"/>
              <w:left w:val="nil"/>
              <w:bottom w:val="single" w:color="auto" w:sz="4" w:space="0"/>
              <w:right w:val="single" w:color="auto" w:sz="4" w:space="0"/>
            </w:tcBorders>
            <w:shd w:val="clear" w:color="000000" w:fill="FFFFFF"/>
            <w:vAlign w:val="center"/>
          </w:tcPr>
          <w:p w14:paraId="0DA83ACF">
            <w:pPr>
              <w:widowControl/>
              <w:jc w:val="left"/>
              <w:rPr>
                <w:rFonts w:ascii="宋体" w:hAnsi="宋体" w:cs="宋体"/>
                <w:kern w:val="0"/>
                <w:sz w:val="22"/>
                <w:szCs w:val="22"/>
              </w:rPr>
            </w:pPr>
            <w:r>
              <w:rPr>
                <w:rFonts w:hint="eastAsia" w:ascii="宋体" w:hAnsi="宋体" w:cs="宋体"/>
                <w:kern w:val="0"/>
                <w:sz w:val="22"/>
                <w:szCs w:val="22"/>
              </w:rPr>
              <w:t>高清终端</w:t>
            </w:r>
          </w:p>
        </w:tc>
        <w:tc>
          <w:tcPr>
            <w:tcW w:w="2219" w:type="pct"/>
            <w:tcBorders>
              <w:top w:val="nil"/>
              <w:left w:val="nil"/>
              <w:bottom w:val="single" w:color="auto" w:sz="4" w:space="0"/>
              <w:right w:val="single" w:color="auto" w:sz="4" w:space="0"/>
            </w:tcBorders>
            <w:shd w:val="clear" w:color="000000" w:fill="FFFFFF"/>
            <w:vAlign w:val="center"/>
          </w:tcPr>
          <w:p w14:paraId="6ABB6038">
            <w:pPr>
              <w:widowControl/>
              <w:jc w:val="left"/>
              <w:rPr>
                <w:rFonts w:ascii="宋体" w:hAnsi="宋体" w:cs="宋体"/>
                <w:kern w:val="0"/>
                <w:sz w:val="22"/>
                <w:szCs w:val="22"/>
              </w:rPr>
            </w:pPr>
            <w:r>
              <w:rPr>
                <w:rFonts w:hint="eastAsia" w:ascii="宋体" w:hAnsi="宋体" w:cs="宋体"/>
                <w:kern w:val="0"/>
                <w:sz w:val="22"/>
                <w:szCs w:val="22"/>
              </w:rPr>
              <w:t>(EE IV 12xCam)含双显</w:t>
            </w:r>
          </w:p>
        </w:tc>
        <w:tc>
          <w:tcPr>
            <w:tcW w:w="344" w:type="pct"/>
            <w:tcBorders>
              <w:top w:val="nil"/>
              <w:left w:val="nil"/>
              <w:bottom w:val="single" w:color="auto" w:sz="4" w:space="0"/>
              <w:right w:val="single" w:color="auto" w:sz="4" w:space="0"/>
            </w:tcBorders>
            <w:shd w:val="clear" w:color="000000" w:fill="FFFFFF"/>
            <w:vAlign w:val="center"/>
          </w:tcPr>
          <w:p w14:paraId="16EFFF7A">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6CE2697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602743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310017E2">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23900109">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8B98BF5">
            <w:pPr>
              <w:widowControl/>
              <w:jc w:val="center"/>
              <w:rPr>
                <w:rFonts w:ascii="宋体" w:hAnsi="宋体" w:cs="宋体"/>
                <w:b/>
                <w:bCs/>
                <w:kern w:val="0"/>
                <w:sz w:val="22"/>
                <w:szCs w:val="22"/>
              </w:rPr>
            </w:pPr>
            <w:r>
              <w:rPr>
                <w:rFonts w:hint="eastAsia" w:ascii="宋体" w:hAnsi="宋体" w:cs="宋体"/>
                <w:b/>
                <w:bCs/>
                <w:kern w:val="0"/>
                <w:sz w:val="22"/>
                <w:szCs w:val="22"/>
              </w:rPr>
              <w:t>54</w:t>
            </w:r>
          </w:p>
        </w:tc>
        <w:tc>
          <w:tcPr>
            <w:tcW w:w="849" w:type="pct"/>
            <w:tcBorders>
              <w:top w:val="nil"/>
              <w:left w:val="nil"/>
              <w:bottom w:val="single" w:color="auto" w:sz="4" w:space="0"/>
              <w:right w:val="single" w:color="auto" w:sz="4" w:space="0"/>
            </w:tcBorders>
            <w:shd w:val="clear" w:color="000000" w:fill="FFFFFF"/>
            <w:vAlign w:val="center"/>
          </w:tcPr>
          <w:p w14:paraId="5F4C88BA">
            <w:pPr>
              <w:widowControl/>
              <w:jc w:val="left"/>
              <w:rPr>
                <w:rFonts w:ascii="宋体" w:hAnsi="宋体" w:cs="宋体"/>
                <w:kern w:val="0"/>
                <w:sz w:val="22"/>
                <w:szCs w:val="22"/>
              </w:rPr>
            </w:pPr>
            <w:r>
              <w:rPr>
                <w:rFonts w:hint="eastAsia" w:ascii="宋体" w:hAnsi="宋体" w:cs="宋体"/>
                <w:kern w:val="0"/>
                <w:sz w:val="22"/>
                <w:szCs w:val="22"/>
              </w:rPr>
              <w:t>麦克风</w:t>
            </w:r>
          </w:p>
        </w:tc>
        <w:tc>
          <w:tcPr>
            <w:tcW w:w="2219" w:type="pct"/>
            <w:tcBorders>
              <w:top w:val="nil"/>
              <w:left w:val="nil"/>
              <w:bottom w:val="single" w:color="auto" w:sz="4" w:space="0"/>
              <w:right w:val="single" w:color="auto" w:sz="4" w:space="0"/>
            </w:tcBorders>
            <w:shd w:val="clear" w:color="000000" w:fill="FFFFFF"/>
            <w:vAlign w:val="center"/>
          </w:tcPr>
          <w:p w14:paraId="04C5EF70">
            <w:pPr>
              <w:widowControl/>
              <w:jc w:val="left"/>
              <w:rPr>
                <w:rFonts w:ascii="宋体" w:hAnsi="宋体" w:cs="宋体"/>
                <w:kern w:val="0"/>
                <w:sz w:val="22"/>
                <w:szCs w:val="22"/>
              </w:rPr>
            </w:pPr>
            <w:r>
              <w:rPr>
                <w:rFonts w:hint="eastAsia" w:ascii="宋体" w:hAnsi="宋体" w:cs="宋体"/>
                <w:kern w:val="0"/>
                <w:sz w:val="22"/>
                <w:szCs w:val="22"/>
              </w:rPr>
              <w:t>全向麦克风 拾音半径 5M</w:t>
            </w:r>
          </w:p>
        </w:tc>
        <w:tc>
          <w:tcPr>
            <w:tcW w:w="344" w:type="pct"/>
            <w:tcBorders>
              <w:top w:val="nil"/>
              <w:left w:val="nil"/>
              <w:bottom w:val="single" w:color="auto" w:sz="4" w:space="0"/>
              <w:right w:val="single" w:color="auto" w:sz="4" w:space="0"/>
            </w:tcBorders>
            <w:shd w:val="clear" w:color="000000" w:fill="FFFFFF"/>
            <w:vAlign w:val="center"/>
          </w:tcPr>
          <w:p w14:paraId="039F951C">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7F5F7A4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900468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106A28BC">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45966D5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E594478">
            <w:pPr>
              <w:widowControl/>
              <w:jc w:val="center"/>
              <w:rPr>
                <w:rFonts w:ascii="宋体" w:hAnsi="宋体" w:cs="宋体"/>
                <w:b/>
                <w:bCs/>
                <w:kern w:val="0"/>
                <w:sz w:val="22"/>
                <w:szCs w:val="22"/>
              </w:rPr>
            </w:pPr>
            <w:r>
              <w:rPr>
                <w:rFonts w:hint="eastAsia" w:ascii="宋体" w:hAnsi="宋体" w:cs="宋体"/>
                <w:b/>
                <w:bCs/>
                <w:kern w:val="0"/>
                <w:sz w:val="22"/>
                <w:szCs w:val="22"/>
              </w:rPr>
              <w:t>55</w:t>
            </w:r>
          </w:p>
        </w:tc>
        <w:tc>
          <w:tcPr>
            <w:tcW w:w="849" w:type="pct"/>
            <w:tcBorders>
              <w:top w:val="nil"/>
              <w:left w:val="nil"/>
              <w:bottom w:val="single" w:color="auto" w:sz="4" w:space="0"/>
              <w:right w:val="single" w:color="auto" w:sz="4" w:space="0"/>
            </w:tcBorders>
            <w:shd w:val="clear" w:color="000000" w:fill="FFFFFF"/>
            <w:vAlign w:val="center"/>
          </w:tcPr>
          <w:p w14:paraId="30994F72">
            <w:pPr>
              <w:widowControl/>
              <w:jc w:val="left"/>
              <w:rPr>
                <w:rFonts w:ascii="宋体" w:hAnsi="宋体" w:cs="宋体"/>
                <w:kern w:val="0"/>
                <w:sz w:val="22"/>
                <w:szCs w:val="22"/>
              </w:rPr>
            </w:pPr>
            <w:r>
              <w:rPr>
                <w:rFonts w:hint="eastAsia" w:ascii="宋体" w:hAnsi="宋体" w:cs="宋体"/>
                <w:kern w:val="0"/>
                <w:sz w:val="22"/>
                <w:szCs w:val="22"/>
              </w:rPr>
              <w:t>多媒体音箱</w:t>
            </w:r>
          </w:p>
        </w:tc>
        <w:tc>
          <w:tcPr>
            <w:tcW w:w="2219" w:type="pct"/>
            <w:tcBorders>
              <w:top w:val="nil"/>
              <w:left w:val="nil"/>
              <w:bottom w:val="single" w:color="auto" w:sz="4" w:space="0"/>
              <w:right w:val="single" w:color="auto" w:sz="4" w:space="0"/>
            </w:tcBorders>
            <w:shd w:val="clear" w:color="000000" w:fill="FFFFFF"/>
            <w:vAlign w:val="center"/>
          </w:tcPr>
          <w:p w14:paraId="6B8B361B">
            <w:pPr>
              <w:widowControl/>
              <w:jc w:val="left"/>
              <w:rPr>
                <w:rFonts w:ascii="宋体" w:hAnsi="宋体" w:cs="宋体"/>
                <w:kern w:val="0"/>
                <w:sz w:val="22"/>
                <w:szCs w:val="22"/>
              </w:rPr>
            </w:pPr>
            <w:r>
              <w:rPr>
                <w:rFonts w:hint="eastAsia" w:ascii="宋体" w:hAnsi="宋体" w:cs="宋体"/>
                <w:kern w:val="0"/>
                <w:sz w:val="22"/>
                <w:szCs w:val="22"/>
              </w:rPr>
              <w:t>2.0声道 多媒体有源音箱 黑色</w:t>
            </w:r>
          </w:p>
        </w:tc>
        <w:tc>
          <w:tcPr>
            <w:tcW w:w="344" w:type="pct"/>
            <w:tcBorders>
              <w:top w:val="nil"/>
              <w:left w:val="nil"/>
              <w:bottom w:val="single" w:color="auto" w:sz="4" w:space="0"/>
              <w:right w:val="single" w:color="auto" w:sz="4" w:space="0"/>
            </w:tcBorders>
            <w:shd w:val="clear" w:color="000000" w:fill="FFFFFF"/>
            <w:vAlign w:val="center"/>
          </w:tcPr>
          <w:p w14:paraId="3F4AF0E5">
            <w:pPr>
              <w:widowControl/>
              <w:jc w:val="center"/>
              <w:rPr>
                <w:rFonts w:ascii="宋体" w:hAnsi="宋体" w:cs="宋体"/>
                <w:kern w:val="0"/>
                <w:sz w:val="22"/>
                <w:szCs w:val="22"/>
              </w:rPr>
            </w:pPr>
            <w:r>
              <w:rPr>
                <w:rFonts w:hint="eastAsia" w:ascii="宋体" w:hAnsi="宋体" w:cs="宋体"/>
                <w:kern w:val="0"/>
                <w:sz w:val="22"/>
                <w:szCs w:val="22"/>
              </w:rPr>
              <w:t>漫步者</w:t>
            </w:r>
          </w:p>
        </w:tc>
        <w:tc>
          <w:tcPr>
            <w:tcW w:w="330" w:type="pct"/>
            <w:tcBorders>
              <w:top w:val="nil"/>
              <w:left w:val="nil"/>
              <w:bottom w:val="single" w:color="auto" w:sz="4" w:space="0"/>
              <w:right w:val="single" w:color="auto" w:sz="4" w:space="0"/>
            </w:tcBorders>
            <w:shd w:val="clear" w:color="000000" w:fill="FFFFFF"/>
            <w:vAlign w:val="center"/>
          </w:tcPr>
          <w:p w14:paraId="2E393E4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4CD5C92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382AE709">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40525FE3">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196A5F5">
            <w:pPr>
              <w:widowControl/>
              <w:jc w:val="center"/>
              <w:rPr>
                <w:rFonts w:ascii="宋体" w:hAnsi="宋体" w:cs="宋体"/>
                <w:b/>
                <w:bCs/>
                <w:kern w:val="0"/>
                <w:sz w:val="22"/>
                <w:szCs w:val="22"/>
              </w:rPr>
            </w:pPr>
            <w:r>
              <w:rPr>
                <w:rFonts w:hint="eastAsia" w:ascii="宋体" w:hAnsi="宋体" w:cs="宋体"/>
                <w:b/>
                <w:bCs/>
                <w:kern w:val="0"/>
                <w:sz w:val="22"/>
                <w:szCs w:val="22"/>
              </w:rPr>
              <w:t>56</w:t>
            </w:r>
          </w:p>
        </w:tc>
        <w:tc>
          <w:tcPr>
            <w:tcW w:w="849" w:type="pct"/>
            <w:tcBorders>
              <w:top w:val="nil"/>
              <w:left w:val="nil"/>
              <w:bottom w:val="single" w:color="auto" w:sz="4" w:space="0"/>
              <w:right w:val="single" w:color="auto" w:sz="4" w:space="0"/>
            </w:tcBorders>
            <w:shd w:val="clear" w:color="000000" w:fill="FFFFFF"/>
            <w:vAlign w:val="center"/>
          </w:tcPr>
          <w:p w14:paraId="4F688FC6">
            <w:pPr>
              <w:widowControl/>
              <w:jc w:val="left"/>
              <w:rPr>
                <w:rFonts w:ascii="宋体" w:hAnsi="宋体" w:cs="宋体"/>
                <w:kern w:val="0"/>
                <w:sz w:val="22"/>
                <w:szCs w:val="22"/>
              </w:rPr>
            </w:pPr>
            <w:r>
              <w:rPr>
                <w:rFonts w:hint="eastAsia" w:ascii="宋体" w:hAnsi="宋体" w:cs="宋体"/>
                <w:kern w:val="0"/>
                <w:sz w:val="22"/>
                <w:szCs w:val="22"/>
              </w:rPr>
              <w:t>投影仪</w:t>
            </w:r>
          </w:p>
        </w:tc>
        <w:tc>
          <w:tcPr>
            <w:tcW w:w="2219" w:type="pct"/>
            <w:tcBorders>
              <w:top w:val="nil"/>
              <w:left w:val="nil"/>
              <w:bottom w:val="single" w:color="auto" w:sz="4" w:space="0"/>
              <w:right w:val="single" w:color="auto" w:sz="4" w:space="0"/>
            </w:tcBorders>
            <w:shd w:val="clear" w:color="000000" w:fill="FFFFFF"/>
            <w:vAlign w:val="center"/>
          </w:tcPr>
          <w:p w14:paraId="21BB17C0">
            <w:pPr>
              <w:widowControl/>
              <w:jc w:val="left"/>
              <w:rPr>
                <w:rFonts w:ascii="宋体" w:hAnsi="宋体" w:cs="宋体"/>
                <w:kern w:val="0"/>
                <w:sz w:val="22"/>
                <w:szCs w:val="22"/>
              </w:rPr>
            </w:pPr>
            <w:r>
              <w:rPr>
                <w:rFonts w:hint="eastAsia" w:ascii="宋体" w:hAnsi="宋体" w:cs="宋体"/>
                <w:kern w:val="0"/>
                <w:sz w:val="22"/>
                <w:szCs w:val="22"/>
              </w:rPr>
              <w:t>亮度≥3800流明；分辨率≥1024*768;对比度≥10000:1 ；接口要求：HDMI</w:t>
            </w:r>
          </w:p>
        </w:tc>
        <w:tc>
          <w:tcPr>
            <w:tcW w:w="344" w:type="pct"/>
            <w:tcBorders>
              <w:top w:val="nil"/>
              <w:left w:val="nil"/>
              <w:bottom w:val="single" w:color="auto" w:sz="4" w:space="0"/>
              <w:right w:val="single" w:color="auto" w:sz="4" w:space="0"/>
            </w:tcBorders>
            <w:shd w:val="clear" w:color="000000" w:fill="FFFFFF"/>
            <w:vAlign w:val="center"/>
          </w:tcPr>
          <w:p w14:paraId="2ACF2A4B">
            <w:pPr>
              <w:widowControl/>
              <w:jc w:val="center"/>
              <w:rPr>
                <w:rFonts w:ascii="宋体" w:hAnsi="宋体" w:cs="宋体"/>
                <w:kern w:val="0"/>
                <w:sz w:val="22"/>
                <w:szCs w:val="22"/>
              </w:rPr>
            </w:pPr>
            <w:r>
              <w:rPr>
                <w:rFonts w:hint="eastAsia" w:ascii="宋体" w:hAnsi="宋体" w:cs="宋体"/>
                <w:kern w:val="0"/>
                <w:sz w:val="22"/>
                <w:szCs w:val="22"/>
              </w:rPr>
              <w:t>3M  ASK  ACTO</w:t>
            </w:r>
          </w:p>
        </w:tc>
        <w:tc>
          <w:tcPr>
            <w:tcW w:w="330" w:type="pct"/>
            <w:tcBorders>
              <w:top w:val="nil"/>
              <w:left w:val="nil"/>
              <w:bottom w:val="single" w:color="auto" w:sz="4" w:space="0"/>
              <w:right w:val="single" w:color="auto" w:sz="4" w:space="0"/>
            </w:tcBorders>
            <w:shd w:val="clear" w:color="000000" w:fill="FFFFFF"/>
            <w:vAlign w:val="center"/>
          </w:tcPr>
          <w:p w14:paraId="53B64FD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323E342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5 </w:t>
            </w:r>
          </w:p>
        </w:tc>
        <w:tc>
          <w:tcPr>
            <w:tcW w:w="462" w:type="pct"/>
            <w:tcBorders>
              <w:top w:val="nil"/>
              <w:left w:val="nil"/>
              <w:bottom w:val="single" w:color="auto" w:sz="4" w:space="0"/>
              <w:right w:val="single" w:color="auto" w:sz="4" w:space="0"/>
            </w:tcBorders>
            <w:shd w:val="clear" w:color="000000" w:fill="FFFFFF"/>
            <w:vAlign w:val="center"/>
          </w:tcPr>
          <w:p w14:paraId="781C0F1B">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684384C5">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DC46439">
            <w:pPr>
              <w:widowControl/>
              <w:jc w:val="center"/>
              <w:rPr>
                <w:rFonts w:ascii="宋体" w:hAnsi="宋体" w:cs="宋体"/>
                <w:b/>
                <w:bCs/>
                <w:kern w:val="0"/>
                <w:sz w:val="22"/>
                <w:szCs w:val="22"/>
              </w:rPr>
            </w:pPr>
            <w:r>
              <w:rPr>
                <w:rFonts w:hint="eastAsia" w:ascii="宋体" w:hAnsi="宋体" w:cs="宋体"/>
                <w:b/>
                <w:bCs/>
                <w:kern w:val="0"/>
                <w:sz w:val="22"/>
                <w:szCs w:val="22"/>
              </w:rPr>
              <w:t>57</w:t>
            </w:r>
          </w:p>
        </w:tc>
        <w:tc>
          <w:tcPr>
            <w:tcW w:w="849" w:type="pct"/>
            <w:tcBorders>
              <w:top w:val="nil"/>
              <w:left w:val="nil"/>
              <w:bottom w:val="single" w:color="auto" w:sz="4" w:space="0"/>
              <w:right w:val="single" w:color="auto" w:sz="4" w:space="0"/>
            </w:tcBorders>
            <w:shd w:val="clear" w:color="000000" w:fill="FFFFFF"/>
            <w:vAlign w:val="center"/>
          </w:tcPr>
          <w:p w14:paraId="2EF3658C">
            <w:pPr>
              <w:widowControl/>
              <w:jc w:val="left"/>
              <w:rPr>
                <w:rFonts w:ascii="宋体" w:hAnsi="宋体" w:cs="宋体"/>
                <w:kern w:val="0"/>
                <w:sz w:val="22"/>
                <w:szCs w:val="22"/>
              </w:rPr>
            </w:pPr>
            <w:r>
              <w:rPr>
                <w:rFonts w:hint="eastAsia" w:ascii="宋体" w:hAnsi="宋体" w:cs="宋体"/>
                <w:kern w:val="0"/>
                <w:sz w:val="22"/>
                <w:szCs w:val="22"/>
              </w:rPr>
              <w:t>吊架</w:t>
            </w:r>
          </w:p>
        </w:tc>
        <w:tc>
          <w:tcPr>
            <w:tcW w:w="2219" w:type="pct"/>
            <w:tcBorders>
              <w:top w:val="nil"/>
              <w:left w:val="nil"/>
              <w:bottom w:val="single" w:color="auto" w:sz="4" w:space="0"/>
              <w:right w:val="single" w:color="auto" w:sz="4" w:space="0"/>
            </w:tcBorders>
            <w:shd w:val="clear" w:color="000000" w:fill="FFFFFF"/>
            <w:vAlign w:val="center"/>
          </w:tcPr>
          <w:p w14:paraId="454D5FC5">
            <w:pPr>
              <w:widowControl/>
              <w:jc w:val="left"/>
              <w:rPr>
                <w:rFonts w:ascii="宋体" w:hAnsi="宋体" w:cs="宋体"/>
                <w:kern w:val="0"/>
                <w:sz w:val="22"/>
                <w:szCs w:val="22"/>
              </w:rPr>
            </w:pPr>
            <w:r>
              <w:rPr>
                <w:rFonts w:hint="eastAsia" w:ascii="宋体" w:hAnsi="宋体" w:cs="宋体"/>
                <w:kern w:val="0"/>
                <w:sz w:val="22"/>
                <w:szCs w:val="22"/>
              </w:rPr>
              <w:t>3米可调节吊架</w:t>
            </w:r>
          </w:p>
        </w:tc>
        <w:tc>
          <w:tcPr>
            <w:tcW w:w="344" w:type="pct"/>
            <w:tcBorders>
              <w:top w:val="nil"/>
              <w:left w:val="nil"/>
              <w:bottom w:val="single" w:color="auto" w:sz="4" w:space="0"/>
              <w:right w:val="single" w:color="auto" w:sz="4" w:space="0"/>
            </w:tcBorders>
            <w:shd w:val="clear" w:color="000000" w:fill="FFFFFF"/>
            <w:vAlign w:val="center"/>
          </w:tcPr>
          <w:p w14:paraId="28DD57BC">
            <w:pPr>
              <w:widowControl/>
              <w:jc w:val="center"/>
              <w:rPr>
                <w:rFonts w:ascii="宋体" w:hAnsi="宋体" w:cs="宋体"/>
                <w:kern w:val="0"/>
                <w:sz w:val="22"/>
                <w:szCs w:val="22"/>
              </w:rPr>
            </w:pPr>
            <w:r>
              <w:rPr>
                <w:rFonts w:hint="eastAsia" w:ascii="宋体" w:hAnsi="宋体" w:cs="宋体"/>
                <w:kern w:val="0"/>
                <w:sz w:val="22"/>
                <w:szCs w:val="22"/>
              </w:rPr>
              <w:t>国产</w:t>
            </w:r>
          </w:p>
        </w:tc>
        <w:tc>
          <w:tcPr>
            <w:tcW w:w="330" w:type="pct"/>
            <w:tcBorders>
              <w:top w:val="nil"/>
              <w:left w:val="nil"/>
              <w:bottom w:val="single" w:color="auto" w:sz="4" w:space="0"/>
              <w:right w:val="single" w:color="auto" w:sz="4" w:space="0"/>
            </w:tcBorders>
            <w:shd w:val="clear" w:color="000000" w:fill="FFFFFF"/>
            <w:vAlign w:val="center"/>
          </w:tcPr>
          <w:p w14:paraId="4B1881B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578FB70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5 </w:t>
            </w:r>
          </w:p>
        </w:tc>
        <w:tc>
          <w:tcPr>
            <w:tcW w:w="462" w:type="pct"/>
            <w:tcBorders>
              <w:top w:val="nil"/>
              <w:left w:val="nil"/>
              <w:bottom w:val="single" w:color="auto" w:sz="4" w:space="0"/>
              <w:right w:val="single" w:color="auto" w:sz="4" w:space="0"/>
            </w:tcBorders>
            <w:shd w:val="clear" w:color="000000" w:fill="FFFFFF"/>
            <w:vAlign w:val="center"/>
          </w:tcPr>
          <w:p w14:paraId="7BA0FD10">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5DDB10C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33252D0">
            <w:pPr>
              <w:widowControl/>
              <w:jc w:val="center"/>
              <w:rPr>
                <w:rFonts w:ascii="宋体" w:hAnsi="宋体" w:cs="宋体"/>
                <w:b/>
                <w:bCs/>
                <w:kern w:val="0"/>
                <w:sz w:val="22"/>
                <w:szCs w:val="22"/>
              </w:rPr>
            </w:pPr>
            <w:r>
              <w:rPr>
                <w:rFonts w:hint="eastAsia" w:ascii="宋体" w:hAnsi="宋体" w:cs="宋体"/>
                <w:b/>
                <w:bCs/>
                <w:kern w:val="0"/>
                <w:sz w:val="22"/>
                <w:szCs w:val="22"/>
              </w:rPr>
              <w:t>58</w:t>
            </w:r>
          </w:p>
        </w:tc>
        <w:tc>
          <w:tcPr>
            <w:tcW w:w="849" w:type="pct"/>
            <w:tcBorders>
              <w:top w:val="nil"/>
              <w:left w:val="nil"/>
              <w:bottom w:val="single" w:color="auto" w:sz="4" w:space="0"/>
              <w:right w:val="single" w:color="auto" w:sz="4" w:space="0"/>
            </w:tcBorders>
            <w:shd w:val="clear" w:color="000000" w:fill="FFFFFF"/>
            <w:vAlign w:val="center"/>
          </w:tcPr>
          <w:p w14:paraId="4E18B8DE">
            <w:pPr>
              <w:widowControl/>
              <w:jc w:val="left"/>
              <w:rPr>
                <w:rFonts w:ascii="宋体" w:hAnsi="宋体" w:cs="宋体"/>
                <w:kern w:val="0"/>
                <w:sz w:val="22"/>
                <w:szCs w:val="22"/>
              </w:rPr>
            </w:pPr>
            <w:r>
              <w:rPr>
                <w:rFonts w:hint="eastAsia" w:ascii="宋体" w:hAnsi="宋体" w:cs="宋体"/>
                <w:kern w:val="0"/>
                <w:sz w:val="22"/>
                <w:szCs w:val="22"/>
              </w:rPr>
              <w:t>投影幕</w:t>
            </w:r>
          </w:p>
        </w:tc>
        <w:tc>
          <w:tcPr>
            <w:tcW w:w="2219" w:type="pct"/>
            <w:tcBorders>
              <w:top w:val="nil"/>
              <w:left w:val="nil"/>
              <w:bottom w:val="single" w:color="auto" w:sz="4" w:space="0"/>
              <w:right w:val="single" w:color="auto" w:sz="4" w:space="0"/>
            </w:tcBorders>
            <w:shd w:val="clear" w:color="000000" w:fill="FFFFFF"/>
            <w:vAlign w:val="center"/>
          </w:tcPr>
          <w:p w14:paraId="4A677785">
            <w:pPr>
              <w:widowControl/>
              <w:jc w:val="left"/>
              <w:rPr>
                <w:rFonts w:ascii="宋体" w:hAnsi="宋体" w:cs="宋体"/>
                <w:kern w:val="0"/>
                <w:sz w:val="22"/>
                <w:szCs w:val="22"/>
              </w:rPr>
            </w:pPr>
            <w:r>
              <w:rPr>
                <w:rFonts w:hint="eastAsia" w:ascii="宋体" w:hAnsi="宋体" w:cs="宋体"/>
                <w:kern w:val="0"/>
                <w:sz w:val="22"/>
                <w:szCs w:val="22"/>
              </w:rPr>
              <w:t>100寸</w:t>
            </w:r>
          </w:p>
        </w:tc>
        <w:tc>
          <w:tcPr>
            <w:tcW w:w="344" w:type="pct"/>
            <w:tcBorders>
              <w:top w:val="nil"/>
              <w:left w:val="nil"/>
              <w:bottom w:val="single" w:color="auto" w:sz="4" w:space="0"/>
              <w:right w:val="single" w:color="auto" w:sz="4" w:space="0"/>
            </w:tcBorders>
            <w:shd w:val="clear" w:color="000000" w:fill="FFFFFF"/>
            <w:vAlign w:val="center"/>
          </w:tcPr>
          <w:p w14:paraId="7773E777">
            <w:pPr>
              <w:widowControl/>
              <w:jc w:val="center"/>
              <w:rPr>
                <w:rFonts w:ascii="宋体" w:hAnsi="宋体" w:cs="宋体"/>
                <w:kern w:val="0"/>
                <w:sz w:val="22"/>
                <w:szCs w:val="22"/>
              </w:rPr>
            </w:pPr>
            <w:r>
              <w:rPr>
                <w:rFonts w:hint="eastAsia" w:ascii="宋体" w:hAnsi="宋体" w:cs="宋体"/>
                <w:kern w:val="0"/>
                <w:sz w:val="22"/>
                <w:szCs w:val="22"/>
              </w:rPr>
              <w:t>红叶</w:t>
            </w:r>
          </w:p>
        </w:tc>
        <w:tc>
          <w:tcPr>
            <w:tcW w:w="330" w:type="pct"/>
            <w:tcBorders>
              <w:top w:val="nil"/>
              <w:left w:val="nil"/>
              <w:bottom w:val="single" w:color="auto" w:sz="4" w:space="0"/>
              <w:right w:val="single" w:color="auto" w:sz="4" w:space="0"/>
            </w:tcBorders>
            <w:shd w:val="clear" w:color="000000" w:fill="FFFFFF"/>
            <w:vAlign w:val="center"/>
          </w:tcPr>
          <w:p w14:paraId="77128C0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1B32A5B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5 </w:t>
            </w:r>
          </w:p>
        </w:tc>
        <w:tc>
          <w:tcPr>
            <w:tcW w:w="462" w:type="pct"/>
            <w:tcBorders>
              <w:top w:val="nil"/>
              <w:left w:val="nil"/>
              <w:bottom w:val="single" w:color="auto" w:sz="4" w:space="0"/>
              <w:right w:val="single" w:color="auto" w:sz="4" w:space="0"/>
            </w:tcBorders>
            <w:shd w:val="clear" w:color="000000" w:fill="FFFFFF"/>
            <w:vAlign w:val="center"/>
          </w:tcPr>
          <w:p w14:paraId="2F83E2ED">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31C3AC6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4474155">
            <w:pPr>
              <w:widowControl/>
              <w:jc w:val="center"/>
              <w:rPr>
                <w:rFonts w:ascii="宋体" w:hAnsi="宋体" w:cs="宋体"/>
                <w:b/>
                <w:bCs/>
                <w:kern w:val="0"/>
                <w:sz w:val="22"/>
                <w:szCs w:val="22"/>
              </w:rPr>
            </w:pPr>
            <w:r>
              <w:rPr>
                <w:rFonts w:hint="eastAsia" w:ascii="宋体" w:hAnsi="宋体" w:cs="宋体"/>
                <w:b/>
                <w:bCs/>
                <w:kern w:val="0"/>
                <w:sz w:val="22"/>
                <w:szCs w:val="22"/>
              </w:rPr>
              <w:t>59</w:t>
            </w:r>
          </w:p>
        </w:tc>
        <w:tc>
          <w:tcPr>
            <w:tcW w:w="849" w:type="pct"/>
            <w:tcBorders>
              <w:top w:val="nil"/>
              <w:left w:val="nil"/>
              <w:bottom w:val="single" w:color="auto" w:sz="4" w:space="0"/>
              <w:right w:val="single" w:color="auto" w:sz="4" w:space="0"/>
            </w:tcBorders>
            <w:shd w:val="clear" w:color="000000" w:fill="FFFFFF"/>
            <w:vAlign w:val="center"/>
          </w:tcPr>
          <w:p w14:paraId="492B606A">
            <w:pPr>
              <w:widowControl/>
              <w:jc w:val="left"/>
              <w:rPr>
                <w:rFonts w:ascii="宋体" w:hAnsi="宋体" w:cs="宋体"/>
                <w:kern w:val="0"/>
                <w:sz w:val="22"/>
                <w:szCs w:val="22"/>
              </w:rPr>
            </w:pPr>
            <w:r>
              <w:rPr>
                <w:rFonts w:hint="eastAsia" w:ascii="宋体" w:hAnsi="宋体" w:cs="宋体"/>
                <w:kern w:val="0"/>
                <w:sz w:val="22"/>
                <w:szCs w:val="22"/>
              </w:rPr>
              <w:t>高清终端</w:t>
            </w:r>
          </w:p>
        </w:tc>
        <w:tc>
          <w:tcPr>
            <w:tcW w:w="2219" w:type="pct"/>
            <w:tcBorders>
              <w:top w:val="nil"/>
              <w:left w:val="nil"/>
              <w:bottom w:val="single" w:color="auto" w:sz="4" w:space="0"/>
              <w:right w:val="single" w:color="auto" w:sz="4" w:space="0"/>
            </w:tcBorders>
            <w:shd w:val="clear" w:color="000000" w:fill="FFFFFF"/>
            <w:vAlign w:val="center"/>
          </w:tcPr>
          <w:p w14:paraId="11100659">
            <w:pPr>
              <w:widowControl/>
              <w:jc w:val="left"/>
              <w:rPr>
                <w:rFonts w:ascii="宋体" w:hAnsi="宋体" w:cs="宋体"/>
                <w:kern w:val="0"/>
                <w:sz w:val="22"/>
                <w:szCs w:val="22"/>
              </w:rPr>
            </w:pPr>
            <w:r>
              <w:rPr>
                <w:rFonts w:hint="eastAsia" w:ascii="宋体" w:hAnsi="宋体" w:cs="宋体"/>
                <w:kern w:val="0"/>
                <w:sz w:val="22"/>
                <w:szCs w:val="22"/>
              </w:rPr>
              <w:t>(EE IV 12xCam)含双显</w:t>
            </w:r>
          </w:p>
        </w:tc>
        <w:tc>
          <w:tcPr>
            <w:tcW w:w="344" w:type="pct"/>
            <w:tcBorders>
              <w:top w:val="nil"/>
              <w:left w:val="nil"/>
              <w:bottom w:val="single" w:color="auto" w:sz="4" w:space="0"/>
              <w:right w:val="single" w:color="auto" w:sz="4" w:space="0"/>
            </w:tcBorders>
            <w:shd w:val="clear" w:color="000000" w:fill="FFFFFF"/>
            <w:vAlign w:val="center"/>
          </w:tcPr>
          <w:p w14:paraId="64273748">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3E299CB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FA4684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10 </w:t>
            </w:r>
          </w:p>
        </w:tc>
        <w:tc>
          <w:tcPr>
            <w:tcW w:w="462" w:type="pct"/>
            <w:tcBorders>
              <w:top w:val="nil"/>
              <w:left w:val="nil"/>
              <w:bottom w:val="single" w:color="auto" w:sz="4" w:space="0"/>
              <w:right w:val="single" w:color="auto" w:sz="4" w:space="0"/>
            </w:tcBorders>
            <w:shd w:val="clear" w:color="000000" w:fill="FFFFFF"/>
            <w:vAlign w:val="center"/>
          </w:tcPr>
          <w:p w14:paraId="5767095E">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5C9FA53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D00A96A">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49" w:type="pct"/>
            <w:tcBorders>
              <w:top w:val="nil"/>
              <w:left w:val="nil"/>
              <w:bottom w:val="single" w:color="auto" w:sz="4" w:space="0"/>
              <w:right w:val="single" w:color="auto" w:sz="4" w:space="0"/>
            </w:tcBorders>
            <w:shd w:val="clear" w:color="000000" w:fill="FFFFFF"/>
            <w:vAlign w:val="center"/>
          </w:tcPr>
          <w:p w14:paraId="3A3569AE">
            <w:pPr>
              <w:widowControl/>
              <w:jc w:val="left"/>
              <w:rPr>
                <w:rFonts w:ascii="宋体" w:hAnsi="宋体" w:cs="宋体"/>
                <w:kern w:val="0"/>
                <w:sz w:val="22"/>
                <w:szCs w:val="22"/>
              </w:rPr>
            </w:pPr>
            <w:r>
              <w:rPr>
                <w:rFonts w:hint="eastAsia" w:ascii="宋体" w:hAnsi="宋体" w:cs="宋体"/>
                <w:kern w:val="0"/>
                <w:sz w:val="22"/>
                <w:szCs w:val="22"/>
              </w:rPr>
              <w:t>延长器</w:t>
            </w:r>
          </w:p>
        </w:tc>
        <w:tc>
          <w:tcPr>
            <w:tcW w:w="2219" w:type="pct"/>
            <w:tcBorders>
              <w:top w:val="nil"/>
              <w:left w:val="nil"/>
              <w:bottom w:val="single" w:color="auto" w:sz="4" w:space="0"/>
              <w:right w:val="single" w:color="auto" w:sz="4" w:space="0"/>
            </w:tcBorders>
            <w:shd w:val="clear" w:color="000000" w:fill="FFFFFF"/>
            <w:vAlign w:val="center"/>
          </w:tcPr>
          <w:p w14:paraId="2CABD04A">
            <w:pPr>
              <w:widowControl/>
              <w:jc w:val="left"/>
              <w:rPr>
                <w:rFonts w:ascii="宋体" w:hAnsi="宋体" w:cs="宋体"/>
                <w:kern w:val="0"/>
                <w:sz w:val="22"/>
                <w:szCs w:val="22"/>
              </w:rPr>
            </w:pPr>
            <w:r>
              <w:rPr>
                <w:rFonts w:hint="eastAsia" w:ascii="宋体" w:hAnsi="宋体" w:cs="宋体"/>
                <w:kern w:val="0"/>
                <w:sz w:val="22"/>
                <w:szCs w:val="22"/>
              </w:rPr>
              <w:t>麦克风延长器</w:t>
            </w:r>
          </w:p>
        </w:tc>
        <w:tc>
          <w:tcPr>
            <w:tcW w:w="344" w:type="pct"/>
            <w:tcBorders>
              <w:top w:val="nil"/>
              <w:left w:val="nil"/>
              <w:bottom w:val="single" w:color="auto" w:sz="4" w:space="0"/>
              <w:right w:val="single" w:color="auto" w:sz="4" w:space="0"/>
            </w:tcBorders>
            <w:shd w:val="clear" w:color="000000" w:fill="FFFFFF"/>
            <w:vAlign w:val="center"/>
          </w:tcPr>
          <w:p w14:paraId="0AF62215">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2590425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76A3778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10 </w:t>
            </w:r>
          </w:p>
        </w:tc>
        <w:tc>
          <w:tcPr>
            <w:tcW w:w="462" w:type="pct"/>
            <w:tcBorders>
              <w:top w:val="nil"/>
              <w:left w:val="nil"/>
              <w:bottom w:val="single" w:color="auto" w:sz="4" w:space="0"/>
              <w:right w:val="single" w:color="auto" w:sz="4" w:space="0"/>
            </w:tcBorders>
            <w:shd w:val="clear" w:color="000000" w:fill="FFFFFF"/>
            <w:vAlign w:val="center"/>
          </w:tcPr>
          <w:p w14:paraId="732224F3">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18FE03D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690CBD1">
            <w:pPr>
              <w:widowControl/>
              <w:jc w:val="center"/>
              <w:rPr>
                <w:rFonts w:ascii="宋体" w:hAnsi="宋体" w:cs="宋体"/>
                <w:b/>
                <w:bCs/>
                <w:kern w:val="0"/>
                <w:sz w:val="22"/>
                <w:szCs w:val="22"/>
              </w:rPr>
            </w:pPr>
            <w:r>
              <w:rPr>
                <w:rFonts w:hint="eastAsia" w:ascii="宋体" w:hAnsi="宋体" w:cs="宋体"/>
                <w:b/>
                <w:bCs/>
                <w:kern w:val="0"/>
                <w:sz w:val="22"/>
                <w:szCs w:val="22"/>
              </w:rPr>
              <w:t>61</w:t>
            </w:r>
          </w:p>
        </w:tc>
        <w:tc>
          <w:tcPr>
            <w:tcW w:w="849" w:type="pct"/>
            <w:tcBorders>
              <w:top w:val="nil"/>
              <w:left w:val="nil"/>
              <w:bottom w:val="single" w:color="auto" w:sz="4" w:space="0"/>
              <w:right w:val="single" w:color="auto" w:sz="4" w:space="0"/>
            </w:tcBorders>
            <w:shd w:val="clear" w:color="000000" w:fill="FFFFFF"/>
            <w:vAlign w:val="center"/>
          </w:tcPr>
          <w:p w14:paraId="421BC560">
            <w:pPr>
              <w:widowControl/>
              <w:jc w:val="left"/>
              <w:rPr>
                <w:rFonts w:ascii="宋体" w:hAnsi="宋体" w:cs="宋体"/>
                <w:kern w:val="0"/>
                <w:sz w:val="22"/>
                <w:szCs w:val="22"/>
              </w:rPr>
            </w:pPr>
            <w:r>
              <w:rPr>
                <w:rFonts w:hint="eastAsia" w:ascii="宋体" w:hAnsi="宋体" w:cs="宋体"/>
                <w:kern w:val="0"/>
                <w:sz w:val="22"/>
                <w:szCs w:val="22"/>
              </w:rPr>
              <w:t>可移动支架</w:t>
            </w:r>
          </w:p>
        </w:tc>
        <w:tc>
          <w:tcPr>
            <w:tcW w:w="2219" w:type="pct"/>
            <w:tcBorders>
              <w:top w:val="nil"/>
              <w:left w:val="nil"/>
              <w:bottom w:val="single" w:color="auto" w:sz="4" w:space="0"/>
              <w:right w:val="single" w:color="auto" w:sz="4" w:space="0"/>
            </w:tcBorders>
            <w:shd w:val="clear" w:color="000000" w:fill="FFFFFF"/>
            <w:vAlign w:val="center"/>
          </w:tcPr>
          <w:p w14:paraId="21F6835F">
            <w:pPr>
              <w:widowControl/>
              <w:jc w:val="left"/>
              <w:rPr>
                <w:rFonts w:ascii="宋体" w:hAnsi="宋体" w:cs="宋体"/>
                <w:kern w:val="0"/>
                <w:sz w:val="22"/>
                <w:szCs w:val="22"/>
              </w:rPr>
            </w:pPr>
            <w:r>
              <w:rPr>
                <w:rFonts w:hint="eastAsia" w:ascii="宋体" w:hAnsi="宋体" w:cs="宋体"/>
                <w:kern w:val="0"/>
                <w:sz w:val="22"/>
                <w:szCs w:val="22"/>
              </w:rPr>
              <w:t>可放置视频终端、摄像头、音响等</w:t>
            </w:r>
          </w:p>
        </w:tc>
        <w:tc>
          <w:tcPr>
            <w:tcW w:w="344" w:type="pct"/>
            <w:tcBorders>
              <w:top w:val="nil"/>
              <w:left w:val="nil"/>
              <w:bottom w:val="single" w:color="auto" w:sz="4" w:space="0"/>
              <w:right w:val="single" w:color="auto" w:sz="4" w:space="0"/>
            </w:tcBorders>
            <w:shd w:val="clear" w:color="000000" w:fill="FFFFFF"/>
            <w:vAlign w:val="center"/>
          </w:tcPr>
          <w:p w14:paraId="1FC60DDD">
            <w:pPr>
              <w:widowControl/>
              <w:jc w:val="center"/>
              <w:rPr>
                <w:rFonts w:ascii="宋体" w:hAnsi="宋体" w:cs="宋体"/>
                <w:kern w:val="0"/>
                <w:sz w:val="22"/>
                <w:szCs w:val="22"/>
              </w:rPr>
            </w:pPr>
            <w:r>
              <w:rPr>
                <w:rFonts w:hint="eastAsia" w:ascii="宋体" w:hAnsi="宋体" w:cs="宋体"/>
                <w:kern w:val="0"/>
                <w:sz w:val="22"/>
                <w:szCs w:val="22"/>
              </w:rPr>
              <w:t>国产</w:t>
            </w:r>
          </w:p>
        </w:tc>
        <w:tc>
          <w:tcPr>
            <w:tcW w:w="330" w:type="pct"/>
            <w:tcBorders>
              <w:top w:val="nil"/>
              <w:left w:val="nil"/>
              <w:bottom w:val="single" w:color="auto" w:sz="4" w:space="0"/>
              <w:right w:val="single" w:color="auto" w:sz="4" w:space="0"/>
            </w:tcBorders>
            <w:shd w:val="clear" w:color="000000" w:fill="FFFFFF"/>
            <w:vAlign w:val="center"/>
          </w:tcPr>
          <w:p w14:paraId="3315558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w:t>
            </w:r>
          </w:p>
        </w:tc>
        <w:tc>
          <w:tcPr>
            <w:tcW w:w="355" w:type="pct"/>
            <w:tcBorders>
              <w:top w:val="nil"/>
              <w:left w:val="nil"/>
              <w:bottom w:val="single" w:color="auto" w:sz="4" w:space="0"/>
              <w:right w:val="single" w:color="auto" w:sz="4" w:space="0"/>
            </w:tcBorders>
            <w:shd w:val="clear" w:color="000000" w:fill="FFFFFF"/>
            <w:vAlign w:val="center"/>
          </w:tcPr>
          <w:p w14:paraId="6F563D7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10 </w:t>
            </w:r>
          </w:p>
        </w:tc>
        <w:tc>
          <w:tcPr>
            <w:tcW w:w="462" w:type="pct"/>
            <w:tcBorders>
              <w:top w:val="nil"/>
              <w:left w:val="nil"/>
              <w:bottom w:val="single" w:color="auto" w:sz="4" w:space="0"/>
              <w:right w:val="single" w:color="auto" w:sz="4" w:space="0"/>
            </w:tcBorders>
            <w:shd w:val="clear" w:color="000000" w:fill="FFFFFF"/>
            <w:vAlign w:val="center"/>
          </w:tcPr>
          <w:p w14:paraId="5290C2D4">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22F8EF7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9E62BD9">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49" w:type="pct"/>
            <w:tcBorders>
              <w:top w:val="nil"/>
              <w:left w:val="nil"/>
              <w:bottom w:val="single" w:color="auto" w:sz="4" w:space="0"/>
              <w:right w:val="single" w:color="auto" w:sz="4" w:space="0"/>
            </w:tcBorders>
            <w:shd w:val="clear" w:color="000000" w:fill="FFFFFF"/>
            <w:vAlign w:val="center"/>
          </w:tcPr>
          <w:p w14:paraId="685FEA69">
            <w:pPr>
              <w:widowControl/>
              <w:jc w:val="left"/>
              <w:rPr>
                <w:rFonts w:ascii="宋体" w:hAnsi="宋体" w:cs="宋体"/>
                <w:kern w:val="0"/>
                <w:sz w:val="22"/>
                <w:szCs w:val="22"/>
              </w:rPr>
            </w:pPr>
            <w:r>
              <w:rPr>
                <w:rFonts w:hint="eastAsia" w:ascii="宋体" w:hAnsi="宋体" w:cs="宋体"/>
                <w:kern w:val="0"/>
                <w:sz w:val="22"/>
                <w:szCs w:val="22"/>
              </w:rPr>
              <w:t>麦克风</w:t>
            </w:r>
          </w:p>
        </w:tc>
        <w:tc>
          <w:tcPr>
            <w:tcW w:w="2219" w:type="pct"/>
            <w:tcBorders>
              <w:top w:val="nil"/>
              <w:left w:val="nil"/>
              <w:bottom w:val="single" w:color="auto" w:sz="4" w:space="0"/>
              <w:right w:val="single" w:color="auto" w:sz="4" w:space="0"/>
            </w:tcBorders>
            <w:shd w:val="clear" w:color="000000" w:fill="FFFFFF"/>
            <w:vAlign w:val="center"/>
          </w:tcPr>
          <w:p w14:paraId="36837A0F">
            <w:pPr>
              <w:widowControl/>
              <w:jc w:val="left"/>
              <w:rPr>
                <w:rFonts w:ascii="宋体" w:hAnsi="宋体" w:cs="宋体"/>
                <w:kern w:val="0"/>
                <w:sz w:val="22"/>
                <w:szCs w:val="22"/>
              </w:rPr>
            </w:pPr>
            <w:r>
              <w:rPr>
                <w:rFonts w:hint="eastAsia" w:ascii="宋体" w:hAnsi="宋体" w:cs="宋体"/>
                <w:kern w:val="0"/>
                <w:sz w:val="22"/>
                <w:szCs w:val="22"/>
              </w:rPr>
              <w:t>全向麦克风 拾音半径 5M</w:t>
            </w:r>
          </w:p>
        </w:tc>
        <w:tc>
          <w:tcPr>
            <w:tcW w:w="344" w:type="pct"/>
            <w:tcBorders>
              <w:top w:val="nil"/>
              <w:left w:val="nil"/>
              <w:bottom w:val="single" w:color="auto" w:sz="4" w:space="0"/>
              <w:right w:val="single" w:color="auto" w:sz="4" w:space="0"/>
            </w:tcBorders>
            <w:shd w:val="clear" w:color="000000" w:fill="FFFFFF"/>
            <w:vAlign w:val="center"/>
          </w:tcPr>
          <w:p w14:paraId="6E2BA3C5">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1FA4C77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2C5F295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10 </w:t>
            </w:r>
          </w:p>
        </w:tc>
        <w:tc>
          <w:tcPr>
            <w:tcW w:w="462" w:type="pct"/>
            <w:tcBorders>
              <w:top w:val="nil"/>
              <w:left w:val="nil"/>
              <w:bottom w:val="single" w:color="auto" w:sz="4" w:space="0"/>
              <w:right w:val="single" w:color="auto" w:sz="4" w:space="0"/>
            </w:tcBorders>
            <w:shd w:val="clear" w:color="000000" w:fill="FFFFFF"/>
            <w:vAlign w:val="center"/>
          </w:tcPr>
          <w:p w14:paraId="5D20ABA2">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0E67B520">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97845FD">
            <w:pPr>
              <w:widowControl/>
              <w:jc w:val="center"/>
              <w:rPr>
                <w:rFonts w:ascii="宋体" w:hAnsi="宋体" w:cs="宋体"/>
                <w:b/>
                <w:bCs/>
                <w:kern w:val="0"/>
                <w:sz w:val="22"/>
                <w:szCs w:val="22"/>
              </w:rPr>
            </w:pPr>
            <w:r>
              <w:rPr>
                <w:rFonts w:hint="eastAsia" w:ascii="宋体" w:hAnsi="宋体" w:cs="宋体"/>
                <w:b/>
                <w:bCs/>
                <w:kern w:val="0"/>
                <w:sz w:val="22"/>
                <w:szCs w:val="22"/>
              </w:rPr>
              <w:t>63</w:t>
            </w:r>
          </w:p>
        </w:tc>
        <w:tc>
          <w:tcPr>
            <w:tcW w:w="849" w:type="pct"/>
            <w:tcBorders>
              <w:top w:val="nil"/>
              <w:left w:val="nil"/>
              <w:bottom w:val="single" w:color="auto" w:sz="4" w:space="0"/>
              <w:right w:val="single" w:color="auto" w:sz="4" w:space="0"/>
            </w:tcBorders>
            <w:shd w:val="clear" w:color="000000" w:fill="FFFFFF"/>
            <w:vAlign w:val="center"/>
          </w:tcPr>
          <w:p w14:paraId="5B2C2AB7">
            <w:pPr>
              <w:widowControl/>
              <w:jc w:val="left"/>
              <w:rPr>
                <w:rFonts w:ascii="宋体" w:hAnsi="宋体" w:cs="宋体"/>
                <w:kern w:val="0"/>
                <w:sz w:val="22"/>
                <w:szCs w:val="22"/>
              </w:rPr>
            </w:pPr>
            <w:r>
              <w:rPr>
                <w:rFonts w:hint="eastAsia" w:ascii="宋体" w:hAnsi="宋体" w:cs="宋体"/>
                <w:kern w:val="0"/>
                <w:sz w:val="22"/>
                <w:szCs w:val="22"/>
              </w:rPr>
              <w:t>多媒体音箱</w:t>
            </w:r>
          </w:p>
        </w:tc>
        <w:tc>
          <w:tcPr>
            <w:tcW w:w="2219" w:type="pct"/>
            <w:tcBorders>
              <w:top w:val="nil"/>
              <w:left w:val="nil"/>
              <w:bottom w:val="single" w:color="auto" w:sz="4" w:space="0"/>
              <w:right w:val="single" w:color="auto" w:sz="4" w:space="0"/>
            </w:tcBorders>
            <w:shd w:val="clear" w:color="000000" w:fill="FFFFFF"/>
            <w:vAlign w:val="center"/>
          </w:tcPr>
          <w:p w14:paraId="1AF5C130">
            <w:pPr>
              <w:widowControl/>
              <w:jc w:val="left"/>
              <w:rPr>
                <w:rFonts w:ascii="宋体" w:hAnsi="宋体" w:cs="宋体"/>
                <w:kern w:val="0"/>
                <w:sz w:val="22"/>
                <w:szCs w:val="22"/>
              </w:rPr>
            </w:pPr>
            <w:r>
              <w:rPr>
                <w:rFonts w:hint="eastAsia" w:ascii="宋体" w:hAnsi="宋体" w:cs="宋体"/>
                <w:kern w:val="0"/>
                <w:sz w:val="22"/>
                <w:szCs w:val="22"/>
              </w:rPr>
              <w:t>2.0声道 多媒体有源音箱 黑色</w:t>
            </w:r>
          </w:p>
        </w:tc>
        <w:tc>
          <w:tcPr>
            <w:tcW w:w="344" w:type="pct"/>
            <w:tcBorders>
              <w:top w:val="nil"/>
              <w:left w:val="nil"/>
              <w:bottom w:val="single" w:color="auto" w:sz="4" w:space="0"/>
              <w:right w:val="single" w:color="auto" w:sz="4" w:space="0"/>
            </w:tcBorders>
            <w:shd w:val="clear" w:color="000000" w:fill="FFFFFF"/>
            <w:vAlign w:val="center"/>
          </w:tcPr>
          <w:p w14:paraId="4D781E7D">
            <w:pPr>
              <w:widowControl/>
              <w:jc w:val="center"/>
              <w:rPr>
                <w:rFonts w:ascii="宋体" w:hAnsi="宋体" w:cs="宋体"/>
                <w:kern w:val="0"/>
                <w:sz w:val="22"/>
                <w:szCs w:val="22"/>
              </w:rPr>
            </w:pPr>
            <w:r>
              <w:rPr>
                <w:rFonts w:hint="eastAsia" w:ascii="宋体" w:hAnsi="宋体" w:cs="宋体"/>
                <w:kern w:val="0"/>
                <w:sz w:val="22"/>
                <w:szCs w:val="22"/>
              </w:rPr>
              <w:t>漫步者</w:t>
            </w:r>
          </w:p>
        </w:tc>
        <w:tc>
          <w:tcPr>
            <w:tcW w:w="330" w:type="pct"/>
            <w:tcBorders>
              <w:top w:val="nil"/>
              <w:left w:val="nil"/>
              <w:bottom w:val="single" w:color="auto" w:sz="4" w:space="0"/>
              <w:right w:val="single" w:color="auto" w:sz="4" w:space="0"/>
            </w:tcBorders>
            <w:shd w:val="clear" w:color="000000" w:fill="FFFFFF"/>
            <w:vAlign w:val="center"/>
          </w:tcPr>
          <w:p w14:paraId="3B6F3A7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031B9D9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10 </w:t>
            </w:r>
          </w:p>
        </w:tc>
        <w:tc>
          <w:tcPr>
            <w:tcW w:w="462" w:type="pct"/>
            <w:tcBorders>
              <w:top w:val="nil"/>
              <w:left w:val="nil"/>
              <w:bottom w:val="single" w:color="auto" w:sz="4" w:space="0"/>
              <w:right w:val="single" w:color="auto" w:sz="4" w:space="0"/>
            </w:tcBorders>
            <w:shd w:val="clear" w:color="000000" w:fill="FFFFFF"/>
            <w:vAlign w:val="center"/>
          </w:tcPr>
          <w:p w14:paraId="3DF2D025">
            <w:pPr>
              <w:widowControl/>
              <w:jc w:val="left"/>
              <w:rPr>
                <w:rFonts w:ascii="宋体" w:hAnsi="宋体" w:cs="宋体"/>
                <w:kern w:val="0"/>
                <w:sz w:val="22"/>
                <w:szCs w:val="22"/>
              </w:rPr>
            </w:pPr>
            <w:r>
              <w:rPr>
                <w:rFonts w:hint="eastAsia" w:ascii="宋体" w:hAnsi="宋体" w:cs="宋体"/>
                <w:kern w:val="0"/>
                <w:sz w:val="22"/>
                <w:szCs w:val="22"/>
              </w:rPr>
              <w:t>　</w:t>
            </w:r>
          </w:p>
        </w:tc>
      </w:tr>
      <w:tr w14:paraId="742DE905">
        <w:tblPrEx>
          <w:tblCellMar>
            <w:top w:w="0" w:type="dxa"/>
            <w:left w:w="108" w:type="dxa"/>
            <w:bottom w:w="0" w:type="dxa"/>
            <w:right w:w="108" w:type="dxa"/>
          </w:tblCellMar>
        </w:tblPrEx>
        <w:trPr>
          <w:trHeight w:val="570" w:hRule="atLeast"/>
        </w:trPr>
        <w:tc>
          <w:tcPr>
            <w:tcW w:w="4538"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0819B4D">
            <w:pPr>
              <w:widowControl/>
              <w:jc w:val="left"/>
              <w:rPr>
                <w:rFonts w:ascii="宋体" w:hAnsi="宋体" w:cs="宋体"/>
                <w:b/>
                <w:bCs/>
                <w:kern w:val="0"/>
                <w:sz w:val="22"/>
                <w:szCs w:val="22"/>
              </w:rPr>
            </w:pPr>
            <w:r>
              <w:rPr>
                <w:rFonts w:hint="eastAsia" w:ascii="宋体" w:hAnsi="宋体" w:cs="宋体"/>
                <w:b/>
                <w:bCs/>
                <w:kern w:val="0"/>
                <w:sz w:val="22"/>
                <w:szCs w:val="22"/>
              </w:rPr>
              <w:t>监控集中存储</w:t>
            </w:r>
          </w:p>
        </w:tc>
        <w:tc>
          <w:tcPr>
            <w:tcW w:w="462" w:type="pct"/>
            <w:tcBorders>
              <w:top w:val="nil"/>
              <w:left w:val="nil"/>
              <w:bottom w:val="single" w:color="auto" w:sz="4" w:space="0"/>
              <w:right w:val="single" w:color="auto" w:sz="4" w:space="0"/>
            </w:tcBorders>
            <w:shd w:val="clear" w:color="000000" w:fill="FFFFFF"/>
            <w:vAlign w:val="center"/>
          </w:tcPr>
          <w:p w14:paraId="2F727D8A">
            <w:pPr>
              <w:widowControl/>
              <w:jc w:val="left"/>
              <w:rPr>
                <w:rFonts w:ascii="宋体" w:hAnsi="宋体" w:cs="宋体"/>
                <w:kern w:val="0"/>
                <w:sz w:val="22"/>
                <w:szCs w:val="22"/>
              </w:rPr>
            </w:pPr>
            <w:r>
              <w:rPr>
                <w:rFonts w:hint="eastAsia" w:ascii="宋体" w:hAnsi="宋体" w:cs="宋体"/>
                <w:kern w:val="0"/>
                <w:sz w:val="22"/>
                <w:szCs w:val="22"/>
              </w:rPr>
              <w:t>　</w:t>
            </w:r>
          </w:p>
        </w:tc>
      </w:tr>
      <w:tr w14:paraId="4EB8683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3F0133F">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49" w:type="pct"/>
            <w:tcBorders>
              <w:top w:val="nil"/>
              <w:left w:val="nil"/>
              <w:bottom w:val="single" w:color="auto" w:sz="4" w:space="0"/>
              <w:right w:val="single" w:color="auto" w:sz="4" w:space="0"/>
            </w:tcBorders>
            <w:shd w:val="clear" w:color="000000" w:fill="FFFFFF"/>
            <w:vAlign w:val="center"/>
          </w:tcPr>
          <w:p w14:paraId="0AE57144">
            <w:pPr>
              <w:widowControl/>
              <w:jc w:val="left"/>
              <w:rPr>
                <w:rFonts w:ascii="宋体" w:hAnsi="宋体" w:cs="宋体"/>
                <w:kern w:val="0"/>
                <w:sz w:val="22"/>
                <w:szCs w:val="22"/>
              </w:rPr>
            </w:pPr>
            <w:r>
              <w:rPr>
                <w:rFonts w:hint="eastAsia" w:ascii="宋体" w:hAnsi="宋体" w:cs="宋体"/>
                <w:kern w:val="0"/>
                <w:sz w:val="22"/>
                <w:szCs w:val="22"/>
              </w:rPr>
              <w:t>视频云存储管理服务器</w:t>
            </w:r>
          </w:p>
        </w:tc>
        <w:tc>
          <w:tcPr>
            <w:tcW w:w="2219" w:type="pct"/>
            <w:tcBorders>
              <w:top w:val="nil"/>
              <w:left w:val="nil"/>
              <w:bottom w:val="single" w:color="auto" w:sz="4" w:space="0"/>
              <w:right w:val="single" w:color="auto" w:sz="4" w:space="0"/>
            </w:tcBorders>
            <w:shd w:val="clear" w:color="000000" w:fill="FFFFFF"/>
            <w:vAlign w:val="center"/>
          </w:tcPr>
          <w:p w14:paraId="2B68201C">
            <w:pPr>
              <w:widowControl/>
              <w:jc w:val="left"/>
              <w:rPr>
                <w:rFonts w:ascii="宋体" w:hAnsi="宋体" w:cs="宋体"/>
                <w:kern w:val="0"/>
                <w:sz w:val="22"/>
                <w:szCs w:val="22"/>
              </w:rPr>
            </w:pPr>
            <w:r>
              <w:rPr>
                <w:rFonts w:hint="eastAsia" w:ascii="宋体" w:hAnsi="宋体" w:cs="宋体"/>
                <w:kern w:val="0"/>
                <w:sz w:val="22"/>
                <w:szCs w:val="22"/>
              </w:rPr>
              <w:t xml:space="preserve">E5-2620 V2(6核2.1GHz)×2/8GB DDR3 ECC×4/600G 15K SAS×2/热插拔/DVD/1000M NIC×2/(1+1)冗余电源/导轨/2U </w:t>
            </w:r>
            <w:r>
              <w:rPr>
                <w:rFonts w:hint="eastAsia" w:ascii="宋体" w:hAnsi="宋体" w:cs="宋体"/>
                <w:kern w:val="0"/>
                <w:sz w:val="22"/>
                <w:szCs w:val="22"/>
              </w:rPr>
              <w:br w:type="textWrapping"/>
            </w:r>
            <w:r>
              <w:rPr>
                <w:rFonts w:hint="eastAsia" w:ascii="宋体" w:hAnsi="宋体" w:cs="宋体"/>
                <w:kern w:val="0"/>
                <w:sz w:val="22"/>
                <w:szCs w:val="22"/>
              </w:rPr>
              <w:t>操作系统：需支持Centos6.2-64bit</w:t>
            </w:r>
          </w:p>
        </w:tc>
        <w:tc>
          <w:tcPr>
            <w:tcW w:w="344" w:type="pct"/>
            <w:tcBorders>
              <w:top w:val="nil"/>
              <w:left w:val="nil"/>
              <w:bottom w:val="single" w:color="auto" w:sz="4" w:space="0"/>
              <w:right w:val="single" w:color="auto" w:sz="4" w:space="0"/>
            </w:tcBorders>
            <w:shd w:val="clear" w:color="000000" w:fill="FFFFFF"/>
            <w:vAlign w:val="center"/>
          </w:tcPr>
          <w:p w14:paraId="6D4E4062">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09FF66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834ECC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7FB5C27A">
            <w:pPr>
              <w:widowControl/>
              <w:jc w:val="left"/>
              <w:rPr>
                <w:rFonts w:ascii="宋体" w:hAnsi="宋体" w:cs="宋体"/>
                <w:kern w:val="0"/>
                <w:sz w:val="22"/>
                <w:szCs w:val="22"/>
              </w:rPr>
            </w:pPr>
            <w:r>
              <w:rPr>
                <w:rFonts w:hint="eastAsia" w:ascii="宋体" w:hAnsi="宋体" w:cs="宋体"/>
                <w:kern w:val="0"/>
                <w:sz w:val="22"/>
                <w:szCs w:val="22"/>
              </w:rPr>
              <w:t>　</w:t>
            </w:r>
          </w:p>
        </w:tc>
      </w:tr>
      <w:tr w14:paraId="3F27CA1F">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A0D99BC">
            <w:pPr>
              <w:widowControl/>
              <w:jc w:val="center"/>
              <w:rPr>
                <w:rFonts w:ascii="宋体" w:hAnsi="宋体" w:cs="宋体"/>
                <w:b/>
                <w:bCs/>
                <w:kern w:val="0"/>
                <w:sz w:val="22"/>
                <w:szCs w:val="22"/>
              </w:rPr>
            </w:pPr>
            <w:r>
              <w:rPr>
                <w:rFonts w:hint="eastAsia" w:ascii="宋体" w:hAnsi="宋体" w:cs="宋体"/>
                <w:b/>
                <w:bCs/>
                <w:kern w:val="0"/>
                <w:sz w:val="22"/>
                <w:szCs w:val="22"/>
              </w:rPr>
              <w:t>65</w:t>
            </w:r>
          </w:p>
        </w:tc>
        <w:tc>
          <w:tcPr>
            <w:tcW w:w="849" w:type="pct"/>
            <w:tcBorders>
              <w:top w:val="nil"/>
              <w:left w:val="nil"/>
              <w:bottom w:val="single" w:color="auto" w:sz="4" w:space="0"/>
              <w:right w:val="single" w:color="auto" w:sz="4" w:space="0"/>
            </w:tcBorders>
            <w:shd w:val="clear" w:color="000000" w:fill="FFFFFF"/>
            <w:vAlign w:val="center"/>
          </w:tcPr>
          <w:p w14:paraId="46A2FB9A">
            <w:pPr>
              <w:widowControl/>
              <w:jc w:val="left"/>
              <w:rPr>
                <w:rFonts w:ascii="宋体" w:hAnsi="宋体" w:cs="宋体"/>
                <w:kern w:val="0"/>
                <w:sz w:val="22"/>
                <w:szCs w:val="22"/>
              </w:rPr>
            </w:pPr>
            <w:r>
              <w:rPr>
                <w:rFonts w:hint="eastAsia" w:ascii="宋体" w:hAnsi="宋体" w:cs="宋体"/>
                <w:kern w:val="0"/>
                <w:sz w:val="22"/>
                <w:szCs w:val="22"/>
              </w:rPr>
              <w:t>视频云存储运维服务器</w:t>
            </w:r>
          </w:p>
        </w:tc>
        <w:tc>
          <w:tcPr>
            <w:tcW w:w="2219" w:type="pct"/>
            <w:tcBorders>
              <w:top w:val="nil"/>
              <w:left w:val="nil"/>
              <w:bottom w:val="single" w:color="auto" w:sz="4" w:space="0"/>
              <w:right w:val="single" w:color="auto" w:sz="4" w:space="0"/>
            </w:tcBorders>
            <w:shd w:val="clear" w:color="000000" w:fill="FFFFFF"/>
            <w:vAlign w:val="center"/>
          </w:tcPr>
          <w:p w14:paraId="4DC9121D">
            <w:pPr>
              <w:widowControl/>
              <w:jc w:val="left"/>
              <w:rPr>
                <w:rFonts w:ascii="宋体" w:hAnsi="宋体" w:cs="宋体"/>
                <w:kern w:val="0"/>
                <w:sz w:val="22"/>
                <w:szCs w:val="22"/>
              </w:rPr>
            </w:pPr>
            <w:r>
              <w:rPr>
                <w:rFonts w:hint="eastAsia" w:ascii="宋体" w:hAnsi="宋体" w:cs="宋体"/>
                <w:kern w:val="0"/>
                <w:sz w:val="22"/>
                <w:szCs w:val="22"/>
              </w:rPr>
              <w:t>E5-2620 V2(6核2.1GHz)×2/8GB DDR3 ECC×2 /1000G SATA ×2/热插拔/DVD/1000M NIC×2/(1+1)冗余电源/导轨/2U</w:t>
            </w:r>
          </w:p>
        </w:tc>
        <w:tc>
          <w:tcPr>
            <w:tcW w:w="344" w:type="pct"/>
            <w:tcBorders>
              <w:top w:val="nil"/>
              <w:left w:val="nil"/>
              <w:bottom w:val="single" w:color="auto" w:sz="4" w:space="0"/>
              <w:right w:val="single" w:color="auto" w:sz="4" w:space="0"/>
            </w:tcBorders>
            <w:shd w:val="clear" w:color="000000" w:fill="FFFFFF"/>
            <w:vAlign w:val="center"/>
          </w:tcPr>
          <w:p w14:paraId="6186038F">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131A8D7">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200B8D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FC822F2">
            <w:pPr>
              <w:widowControl/>
              <w:jc w:val="left"/>
              <w:rPr>
                <w:rFonts w:ascii="宋体" w:hAnsi="宋体" w:cs="宋体"/>
                <w:kern w:val="0"/>
                <w:sz w:val="22"/>
                <w:szCs w:val="22"/>
              </w:rPr>
            </w:pPr>
            <w:r>
              <w:rPr>
                <w:rFonts w:hint="eastAsia" w:ascii="宋体" w:hAnsi="宋体" w:cs="宋体"/>
                <w:kern w:val="0"/>
                <w:sz w:val="22"/>
                <w:szCs w:val="22"/>
              </w:rPr>
              <w:t>　</w:t>
            </w:r>
          </w:p>
        </w:tc>
      </w:tr>
      <w:tr w14:paraId="730CB40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26CA4CF">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49" w:type="pct"/>
            <w:tcBorders>
              <w:top w:val="nil"/>
              <w:left w:val="nil"/>
              <w:bottom w:val="single" w:color="auto" w:sz="4" w:space="0"/>
              <w:right w:val="single" w:color="auto" w:sz="4" w:space="0"/>
            </w:tcBorders>
            <w:shd w:val="clear" w:color="000000" w:fill="FFFFFF"/>
            <w:vAlign w:val="center"/>
          </w:tcPr>
          <w:p w14:paraId="100A3681">
            <w:pPr>
              <w:widowControl/>
              <w:jc w:val="left"/>
              <w:rPr>
                <w:rFonts w:ascii="宋体" w:hAnsi="宋体" w:cs="宋体"/>
                <w:kern w:val="0"/>
                <w:sz w:val="22"/>
                <w:szCs w:val="22"/>
              </w:rPr>
            </w:pPr>
            <w:r>
              <w:rPr>
                <w:rFonts w:hint="eastAsia" w:ascii="宋体" w:hAnsi="宋体" w:cs="宋体"/>
                <w:kern w:val="0"/>
                <w:sz w:val="22"/>
                <w:szCs w:val="22"/>
              </w:rPr>
              <w:t>视频云存储存储服务器</w:t>
            </w:r>
          </w:p>
        </w:tc>
        <w:tc>
          <w:tcPr>
            <w:tcW w:w="2219" w:type="pct"/>
            <w:tcBorders>
              <w:top w:val="nil"/>
              <w:left w:val="nil"/>
              <w:bottom w:val="single" w:color="auto" w:sz="4" w:space="0"/>
              <w:right w:val="single" w:color="auto" w:sz="4" w:space="0"/>
            </w:tcBorders>
            <w:shd w:val="clear" w:color="000000" w:fill="FFFFFF"/>
            <w:vAlign w:val="center"/>
          </w:tcPr>
          <w:p w14:paraId="73752546">
            <w:pPr>
              <w:widowControl/>
              <w:jc w:val="left"/>
              <w:rPr>
                <w:rFonts w:ascii="宋体" w:hAnsi="宋体" w:cs="宋体"/>
                <w:kern w:val="0"/>
                <w:sz w:val="22"/>
                <w:szCs w:val="22"/>
              </w:rPr>
            </w:pPr>
            <w:r>
              <w:rPr>
                <w:rFonts w:hint="eastAsia" w:ascii="宋体" w:hAnsi="宋体" w:cs="宋体"/>
                <w:kern w:val="0"/>
                <w:sz w:val="22"/>
                <w:szCs w:val="22"/>
              </w:rPr>
              <w:t>4U标准机架式36盘位；64位多核处理器；12GB缓存；冗余电源；支持SATA硬盘；2个千兆网口；1个系统SSD盘；支持外接SAS扩展柜。</w:t>
            </w:r>
          </w:p>
        </w:tc>
        <w:tc>
          <w:tcPr>
            <w:tcW w:w="344" w:type="pct"/>
            <w:tcBorders>
              <w:top w:val="nil"/>
              <w:left w:val="nil"/>
              <w:bottom w:val="single" w:color="auto" w:sz="4" w:space="0"/>
              <w:right w:val="single" w:color="auto" w:sz="4" w:space="0"/>
            </w:tcBorders>
            <w:shd w:val="clear" w:color="000000" w:fill="FFFFFF"/>
            <w:vAlign w:val="center"/>
          </w:tcPr>
          <w:p w14:paraId="1AEE216D">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1A4E964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9681B7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9 </w:t>
            </w:r>
          </w:p>
        </w:tc>
        <w:tc>
          <w:tcPr>
            <w:tcW w:w="462" w:type="pct"/>
            <w:tcBorders>
              <w:top w:val="nil"/>
              <w:left w:val="nil"/>
              <w:bottom w:val="single" w:color="auto" w:sz="4" w:space="0"/>
              <w:right w:val="single" w:color="auto" w:sz="4" w:space="0"/>
            </w:tcBorders>
            <w:shd w:val="clear" w:color="000000" w:fill="FFFFFF"/>
            <w:vAlign w:val="center"/>
          </w:tcPr>
          <w:p w14:paraId="616B9B4F">
            <w:pPr>
              <w:widowControl/>
              <w:jc w:val="left"/>
              <w:rPr>
                <w:rFonts w:ascii="宋体" w:hAnsi="宋体" w:cs="宋体"/>
                <w:kern w:val="0"/>
                <w:sz w:val="22"/>
                <w:szCs w:val="22"/>
              </w:rPr>
            </w:pPr>
            <w:r>
              <w:rPr>
                <w:rFonts w:hint="eastAsia" w:ascii="宋体" w:hAnsi="宋体" w:cs="宋体"/>
                <w:kern w:val="0"/>
                <w:sz w:val="22"/>
                <w:szCs w:val="22"/>
              </w:rPr>
              <w:t>　</w:t>
            </w:r>
          </w:p>
        </w:tc>
      </w:tr>
      <w:tr w14:paraId="4F63BB4B">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EF90C37">
            <w:pPr>
              <w:widowControl/>
              <w:jc w:val="center"/>
              <w:rPr>
                <w:rFonts w:ascii="宋体" w:hAnsi="宋体" w:cs="宋体"/>
                <w:b/>
                <w:bCs/>
                <w:kern w:val="0"/>
                <w:sz w:val="22"/>
                <w:szCs w:val="22"/>
              </w:rPr>
            </w:pPr>
            <w:r>
              <w:rPr>
                <w:rFonts w:hint="eastAsia" w:ascii="宋体" w:hAnsi="宋体" w:cs="宋体"/>
                <w:b/>
                <w:bCs/>
                <w:kern w:val="0"/>
                <w:sz w:val="22"/>
                <w:szCs w:val="22"/>
              </w:rPr>
              <w:t>67</w:t>
            </w:r>
          </w:p>
        </w:tc>
        <w:tc>
          <w:tcPr>
            <w:tcW w:w="849" w:type="pct"/>
            <w:tcBorders>
              <w:top w:val="nil"/>
              <w:left w:val="nil"/>
              <w:bottom w:val="single" w:color="auto" w:sz="4" w:space="0"/>
              <w:right w:val="single" w:color="auto" w:sz="4" w:space="0"/>
            </w:tcBorders>
            <w:shd w:val="clear" w:color="000000" w:fill="FFFFFF"/>
            <w:vAlign w:val="center"/>
          </w:tcPr>
          <w:p w14:paraId="4A23A2F7">
            <w:pPr>
              <w:widowControl/>
              <w:jc w:val="left"/>
              <w:rPr>
                <w:rFonts w:ascii="宋体" w:hAnsi="宋体" w:cs="宋体"/>
                <w:kern w:val="0"/>
                <w:sz w:val="22"/>
                <w:szCs w:val="22"/>
              </w:rPr>
            </w:pPr>
            <w:r>
              <w:rPr>
                <w:rFonts w:hint="eastAsia" w:ascii="宋体" w:hAnsi="宋体" w:cs="宋体"/>
                <w:kern w:val="0"/>
                <w:sz w:val="22"/>
                <w:szCs w:val="22"/>
              </w:rPr>
              <w:t>视频云存储软件</w:t>
            </w:r>
          </w:p>
        </w:tc>
        <w:tc>
          <w:tcPr>
            <w:tcW w:w="2219" w:type="pct"/>
            <w:tcBorders>
              <w:top w:val="nil"/>
              <w:left w:val="nil"/>
              <w:bottom w:val="single" w:color="auto" w:sz="4" w:space="0"/>
              <w:right w:val="single" w:color="auto" w:sz="4" w:space="0"/>
            </w:tcBorders>
            <w:shd w:val="clear" w:color="000000" w:fill="FFFFFF"/>
            <w:vAlign w:val="center"/>
          </w:tcPr>
          <w:p w14:paraId="53492FA8">
            <w:pPr>
              <w:widowControl/>
              <w:jc w:val="left"/>
              <w:rPr>
                <w:rFonts w:ascii="宋体" w:hAnsi="宋体" w:cs="宋体"/>
                <w:kern w:val="0"/>
                <w:sz w:val="22"/>
                <w:szCs w:val="22"/>
              </w:rPr>
            </w:pPr>
            <w:r>
              <w:rPr>
                <w:rFonts w:hint="eastAsia" w:ascii="宋体" w:hAnsi="宋体" w:cs="宋体"/>
                <w:kern w:val="0"/>
                <w:sz w:val="22"/>
                <w:szCs w:val="22"/>
              </w:rPr>
              <w:t>集成容量虚拟化管理功能、集群化管理功能；负责视频录像资源分配、计划管理、索引管理，负载均衡调度；提供数据查询、回放、下载、锁定等功能。支持录像计划从前端取流直存到虚拟化容量空间，提供视频、图片的统一存储。</w:t>
            </w:r>
          </w:p>
        </w:tc>
        <w:tc>
          <w:tcPr>
            <w:tcW w:w="344" w:type="pct"/>
            <w:tcBorders>
              <w:top w:val="nil"/>
              <w:left w:val="nil"/>
              <w:bottom w:val="single" w:color="auto" w:sz="4" w:space="0"/>
              <w:right w:val="single" w:color="auto" w:sz="4" w:space="0"/>
            </w:tcBorders>
            <w:shd w:val="clear" w:color="000000" w:fill="FFFFFF"/>
            <w:vAlign w:val="center"/>
          </w:tcPr>
          <w:p w14:paraId="05F41C08">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97A69B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4B369C0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24F04D6E">
            <w:pPr>
              <w:widowControl/>
              <w:jc w:val="left"/>
              <w:rPr>
                <w:rFonts w:ascii="宋体" w:hAnsi="宋体" w:cs="宋体"/>
                <w:kern w:val="0"/>
                <w:sz w:val="22"/>
                <w:szCs w:val="22"/>
              </w:rPr>
            </w:pPr>
            <w:r>
              <w:rPr>
                <w:rFonts w:hint="eastAsia" w:ascii="宋体" w:hAnsi="宋体" w:cs="宋体"/>
                <w:kern w:val="0"/>
                <w:sz w:val="22"/>
                <w:szCs w:val="22"/>
              </w:rPr>
              <w:t>　</w:t>
            </w:r>
          </w:p>
        </w:tc>
      </w:tr>
      <w:tr w14:paraId="1610DFCE">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8EAF590">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49" w:type="pct"/>
            <w:tcBorders>
              <w:top w:val="nil"/>
              <w:left w:val="nil"/>
              <w:bottom w:val="single" w:color="auto" w:sz="4" w:space="0"/>
              <w:right w:val="single" w:color="auto" w:sz="4" w:space="0"/>
            </w:tcBorders>
            <w:shd w:val="clear" w:color="000000" w:fill="FFFFFF"/>
            <w:vAlign w:val="center"/>
          </w:tcPr>
          <w:p w14:paraId="50ECDC43">
            <w:pPr>
              <w:widowControl/>
              <w:jc w:val="left"/>
              <w:rPr>
                <w:rFonts w:ascii="宋体" w:hAnsi="宋体" w:cs="宋体"/>
                <w:kern w:val="0"/>
                <w:sz w:val="22"/>
                <w:szCs w:val="22"/>
              </w:rPr>
            </w:pPr>
            <w:r>
              <w:rPr>
                <w:rFonts w:hint="eastAsia" w:ascii="宋体" w:hAnsi="宋体" w:cs="宋体"/>
                <w:kern w:val="0"/>
                <w:sz w:val="22"/>
                <w:szCs w:val="22"/>
              </w:rPr>
              <w:t>视频云存储运维软件</w:t>
            </w:r>
          </w:p>
        </w:tc>
        <w:tc>
          <w:tcPr>
            <w:tcW w:w="2219" w:type="pct"/>
            <w:tcBorders>
              <w:top w:val="nil"/>
              <w:left w:val="nil"/>
              <w:bottom w:val="single" w:color="auto" w:sz="4" w:space="0"/>
              <w:right w:val="single" w:color="auto" w:sz="4" w:space="0"/>
            </w:tcBorders>
            <w:shd w:val="clear" w:color="000000" w:fill="FFFFFF"/>
            <w:vAlign w:val="center"/>
          </w:tcPr>
          <w:p w14:paraId="6BF3C53E">
            <w:pPr>
              <w:widowControl/>
              <w:jc w:val="left"/>
              <w:rPr>
                <w:rFonts w:ascii="宋体" w:hAnsi="宋体" w:cs="宋体"/>
                <w:kern w:val="0"/>
                <w:sz w:val="22"/>
                <w:szCs w:val="22"/>
              </w:rPr>
            </w:pPr>
            <w:r>
              <w:rPr>
                <w:rFonts w:hint="eastAsia" w:ascii="宋体" w:hAnsi="宋体" w:cs="宋体"/>
                <w:kern w:val="0"/>
                <w:sz w:val="22"/>
                <w:szCs w:val="22"/>
              </w:rPr>
              <w:t>集成视频云存储的运维系统，可进行软件、硬件、系统的运维。</w:t>
            </w:r>
          </w:p>
        </w:tc>
        <w:tc>
          <w:tcPr>
            <w:tcW w:w="344" w:type="pct"/>
            <w:tcBorders>
              <w:top w:val="nil"/>
              <w:left w:val="nil"/>
              <w:bottom w:val="single" w:color="auto" w:sz="4" w:space="0"/>
              <w:right w:val="single" w:color="auto" w:sz="4" w:space="0"/>
            </w:tcBorders>
            <w:shd w:val="clear" w:color="000000" w:fill="FFFFFF"/>
            <w:vAlign w:val="center"/>
          </w:tcPr>
          <w:p w14:paraId="64BED866">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27EDDD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358DA38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6B1A97BB">
            <w:pPr>
              <w:widowControl/>
              <w:jc w:val="left"/>
              <w:rPr>
                <w:rFonts w:ascii="宋体" w:hAnsi="宋体" w:cs="宋体"/>
                <w:kern w:val="0"/>
                <w:sz w:val="22"/>
                <w:szCs w:val="22"/>
              </w:rPr>
            </w:pPr>
            <w:r>
              <w:rPr>
                <w:rFonts w:hint="eastAsia" w:ascii="宋体" w:hAnsi="宋体" w:cs="宋体"/>
                <w:kern w:val="0"/>
                <w:sz w:val="22"/>
                <w:szCs w:val="22"/>
              </w:rPr>
              <w:t>　</w:t>
            </w:r>
          </w:p>
        </w:tc>
      </w:tr>
      <w:tr w14:paraId="29323EF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90C5555">
            <w:pPr>
              <w:widowControl/>
              <w:jc w:val="center"/>
              <w:rPr>
                <w:rFonts w:ascii="宋体" w:hAnsi="宋体" w:cs="宋体"/>
                <w:b/>
                <w:bCs/>
                <w:kern w:val="0"/>
                <w:sz w:val="22"/>
                <w:szCs w:val="22"/>
              </w:rPr>
            </w:pPr>
            <w:r>
              <w:rPr>
                <w:rFonts w:hint="eastAsia" w:ascii="宋体" w:hAnsi="宋体" w:cs="宋体"/>
                <w:b/>
                <w:bCs/>
                <w:kern w:val="0"/>
                <w:sz w:val="22"/>
                <w:szCs w:val="22"/>
              </w:rPr>
              <w:t>69</w:t>
            </w:r>
          </w:p>
        </w:tc>
        <w:tc>
          <w:tcPr>
            <w:tcW w:w="849" w:type="pct"/>
            <w:tcBorders>
              <w:top w:val="nil"/>
              <w:left w:val="nil"/>
              <w:bottom w:val="single" w:color="auto" w:sz="4" w:space="0"/>
              <w:right w:val="single" w:color="auto" w:sz="4" w:space="0"/>
            </w:tcBorders>
            <w:shd w:val="clear" w:color="000000" w:fill="FFFFFF"/>
            <w:vAlign w:val="center"/>
          </w:tcPr>
          <w:p w14:paraId="6A56E2A0">
            <w:pPr>
              <w:widowControl/>
              <w:jc w:val="left"/>
              <w:rPr>
                <w:rFonts w:ascii="宋体" w:hAnsi="宋体" w:cs="宋体"/>
                <w:kern w:val="0"/>
                <w:sz w:val="22"/>
                <w:szCs w:val="22"/>
              </w:rPr>
            </w:pPr>
            <w:r>
              <w:rPr>
                <w:rFonts w:hint="eastAsia" w:ascii="宋体" w:hAnsi="宋体" w:cs="宋体"/>
                <w:kern w:val="0"/>
                <w:sz w:val="22"/>
                <w:szCs w:val="22"/>
              </w:rPr>
              <w:t>企业级硬盘</w:t>
            </w:r>
          </w:p>
        </w:tc>
        <w:tc>
          <w:tcPr>
            <w:tcW w:w="2219" w:type="pct"/>
            <w:tcBorders>
              <w:top w:val="nil"/>
              <w:left w:val="nil"/>
              <w:bottom w:val="single" w:color="auto" w:sz="4" w:space="0"/>
              <w:right w:val="single" w:color="auto" w:sz="4" w:space="0"/>
            </w:tcBorders>
            <w:shd w:val="clear" w:color="000000" w:fill="FFFFFF"/>
            <w:vAlign w:val="center"/>
          </w:tcPr>
          <w:p w14:paraId="5C713BF9">
            <w:pPr>
              <w:widowControl/>
              <w:jc w:val="left"/>
              <w:rPr>
                <w:rFonts w:ascii="宋体" w:hAnsi="宋体" w:cs="宋体"/>
                <w:kern w:val="0"/>
                <w:sz w:val="22"/>
                <w:szCs w:val="22"/>
              </w:rPr>
            </w:pPr>
            <w:r>
              <w:rPr>
                <w:rFonts w:hint="eastAsia" w:ascii="宋体" w:hAnsi="宋体" w:cs="宋体"/>
                <w:kern w:val="0"/>
                <w:sz w:val="22"/>
                <w:szCs w:val="22"/>
              </w:rPr>
              <w:t>3.5英寸 4000G 7200 64M SATA3.0 监控专用</w:t>
            </w:r>
          </w:p>
        </w:tc>
        <w:tc>
          <w:tcPr>
            <w:tcW w:w="344" w:type="pct"/>
            <w:tcBorders>
              <w:top w:val="nil"/>
              <w:left w:val="nil"/>
              <w:bottom w:val="single" w:color="auto" w:sz="4" w:space="0"/>
              <w:right w:val="single" w:color="auto" w:sz="4" w:space="0"/>
            </w:tcBorders>
            <w:shd w:val="clear" w:color="000000" w:fill="FFFFFF"/>
            <w:vAlign w:val="center"/>
          </w:tcPr>
          <w:p w14:paraId="0DFA8ABE">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BF2CEF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519FCA9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300 </w:t>
            </w:r>
          </w:p>
        </w:tc>
        <w:tc>
          <w:tcPr>
            <w:tcW w:w="462" w:type="pct"/>
            <w:tcBorders>
              <w:top w:val="nil"/>
              <w:left w:val="nil"/>
              <w:bottom w:val="single" w:color="auto" w:sz="4" w:space="0"/>
              <w:right w:val="single" w:color="auto" w:sz="4" w:space="0"/>
            </w:tcBorders>
            <w:shd w:val="clear" w:color="000000" w:fill="FFFFFF"/>
            <w:vAlign w:val="center"/>
          </w:tcPr>
          <w:p w14:paraId="08455EA8">
            <w:pPr>
              <w:widowControl/>
              <w:jc w:val="left"/>
              <w:rPr>
                <w:rFonts w:ascii="宋体" w:hAnsi="宋体" w:cs="宋体"/>
                <w:kern w:val="0"/>
                <w:sz w:val="22"/>
                <w:szCs w:val="22"/>
              </w:rPr>
            </w:pPr>
            <w:r>
              <w:rPr>
                <w:rFonts w:hint="eastAsia" w:ascii="宋体" w:hAnsi="宋体" w:cs="宋体"/>
                <w:kern w:val="0"/>
                <w:sz w:val="22"/>
                <w:szCs w:val="22"/>
              </w:rPr>
              <w:t>　</w:t>
            </w:r>
          </w:p>
        </w:tc>
      </w:tr>
      <w:tr w14:paraId="32F35DC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0937C82">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49" w:type="pct"/>
            <w:tcBorders>
              <w:top w:val="nil"/>
              <w:left w:val="nil"/>
              <w:bottom w:val="single" w:color="auto" w:sz="4" w:space="0"/>
              <w:right w:val="single" w:color="auto" w:sz="4" w:space="0"/>
            </w:tcBorders>
            <w:shd w:val="clear" w:color="000000" w:fill="FFFFFF"/>
            <w:vAlign w:val="center"/>
          </w:tcPr>
          <w:p w14:paraId="45626E4E">
            <w:pPr>
              <w:widowControl/>
              <w:jc w:val="left"/>
              <w:rPr>
                <w:rFonts w:ascii="宋体" w:hAnsi="宋体" w:cs="宋体"/>
                <w:kern w:val="0"/>
                <w:sz w:val="22"/>
                <w:szCs w:val="22"/>
              </w:rPr>
            </w:pPr>
            <w:r>
              <w:rPr>
                <w:rFonts w:hint="eastAsia" w:ascii="宋体" w:hAnsi="宋体" w:cs="宋体"/>
                <w:kern w:val="0"/>
                <w:sz w:val="22"/>
                <w:szCs w:val="22"/>
              </w:rPr>
              <w:t>核心交换机机箱</w:t>
            </w:r>
          </w:p>
        </w:tc>
        <w:tc>
          <w:tcPr>
            <w:tcW w:w="2219" w:type="pct"/>
            <w:tcBorders>
              <w:top w:val="nil"/>
              <w:left w:val="nil"/>
              <w:bottom w:val="single" w:color="auto" w:sz="4" w:space="0"/>
              <w:right w:val="single" w:color="auto" w:sz="4" w:space="0"/>
            </w:tcBorders>
            <w:shd w:val="clear" w:color="000000" w:fill="FFFFFF"/>
            <w:vAlign w:val="center"/>
          </w:tcPr>
          <w:p w14:paraId="1A70B428">
            <w:pPr>
              <w:widowControl/>
              <w:jc w:val="left"/>
              <w:rPr>
                <w:rFonts w:ascii="宋体" w:hAnsi="宋体" w:cs="宋体"/>
                <w:kern w:val="0"/>
                <w:sz w:val="22"/>
                <w:szCs w:val="22"/>
              </w:rPr>
            </w:pPr>
            <w:r>
              <w:rPr>
                <w:rFonts w:hint="eastAsia" w:ascii="宋体" w:hAnsi="宋体" w:cs="宋体"/>
                <w:kern w:val="0"/>
                <w:sz w:val="22"/>
                <w:szCs w:val="22"/>
              </w:rPr>
              <w:t>13U插卡式核心交换机，支持双电源，双主控，6块业务板卡</w:t>
            </w:r>
          </w:p>
        </w:tc>
        <w:tc>
          <w:tcPr>
            <w:tcW w:w="344" w:type="pct"/>
            <w:tcBorders>
              <w:top w:val="nil"/>
              <w:left w:val="nil"/>
              <w:bottom w:val="single" w:color="auto" w:sz="4" w:space="0"/>
              <w:right w:val="single" w:color="auto" w:sz="4" w:space="0"/>
            </w:tcBorders>
            <w:shd w:val="clear" w:color="000000" w:fill="FFFFFF"/>
            <w:vAlign w:val="center"/>
          </w:tcPr>
          <w:p w14:paraId="22BBC8AA">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9104D7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3EE9C5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DFD8DF5">
            <w:pPr>
              <w:widowControl/>
              <w:jc w:val="left"/>
              <w:rPr>
                <w:rFonts w:ascii="宋体" w:hAnsi="宋体" w:cs="宋体"/>
                <w:kern w:val="0"/>
                <w:sz w:val="22"/>
                <w:szCs w:val="22"/>
              </w:rPr>
            </w:pPr>
            <w:r>
              <w:rPr>
                <w:rFonts w:hint="eastAsia" w:ascii="宋体" w:hAnsi="宋体" w:cs="宋体"/>
                <w:kern w:val="0"/>
                <w:sz w:val="22"/>
                <w:szCs w:val="22"/>
              </w:rPr>
              <w:t>　</w:t>
            </w:r>
          </w:p>
        </w:tc>
      </w:tr>
      <w:tr w14:paraId="551B142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C8C4986">
            <w:pPr>
              <w:widowControl/>
              <w:jc w:val="center"/>
              <w:rPr>
                <w:rFonts w:ascii="宋体" w:hAnsi="宋体" w:cs="宋体"/>
                <w:b/>
                <w:bCs/>
                <w:kern w:val="0"/>
                <w:sz w:val="22"/>
                <w:szCs w:val="22"/>
              </w:rPr>
            </w:pPr>
            <w:r>
              <w:rPr>
                <w:rFonts w:hint="eastAsia" w:ascii="宋体" w:hAnsi="宋体" w:cs="宋体"/>
                <w:b/>
                <w:bCs/>
                <w:kern w:val="0"/>
                <w:sz w:val="22"/>
                <w:szCs w:val="22"/>
              </w:rPr>
              <w:t>71</w:t>
            </w:r>
          </w:p>
        </w:tc>
        <w:tc>
          <w:tcPr>
            <w:tcW w:w="849" w:type="pct"/>
            <w:tcBorders>
              <w:top w:val="nil"/>
              <w:left w:val="nil"/>
              <w:bottom w:val="single" w:color="auto" w:sz="4" w:space="0"/>
              <w:right w:val="single" w:color="auto" w:sz="4" w:space="0"/>
            </w:tcBorders>
            <w:shd w:val="clear" w:color="000000" w:fill="FFFFFF"/>
            <w:vAlign w:val="center"/>
          </w:tcPr>
          <w:p w14:paraId="67ADF8C7">
            <w:pPr>
              <w:widowControl/>
              <w:jc w:val="left"/>
              <w:rPr>
                <w:rFonts w:ascii="宋体" w:hAnsi="宋体" w:cs="宋体"/>
                <w:kern w:val="0"/>
                <w:sz w:val="22"/>
                <w:szCs w:val="22"/>
              </w:rPr>
            </w:pPr>
            <w:r>
              <w:rPr>
                <w:rFonts w:hint="eastAsia" w:ascii="宋体" w:hAnsi="宋体" w:cs="宋体"/>
                <w:kern w:val="0"/>
                <w:sz w:val="22"/>
                <w:szCs w:val="22"/>
              </w:rPr>
              <w:t>核心交换机主控板</w:t>
            </w:r>
          </w:p>
        </w:tc>
        <w:tc>
          <w:tcPr>
            <w:tcW w:w="2219" w:type="pct"/>
            <w:tcBorders>
              <w:top w:val="nil"/>
              <w:left w:val="nil"/>
              <w:bottom w:val="single" w:color="auto" w:sz="4" w:space="0"/>
              <w:right w:val="single" w:color="auto" w:sz="4" w:space="0"/>
            </w:tcBorders>
            <w:shd w:val="clear" w:color="000000" w:fill="FFFFFF"/>
            <w:vAlign w:val="center"/>
          </w:tcPr>
          <w:p w14:paraId="05D8026D">
            <w:pPr>
              <w:widowControl/>
              <w:jc w:val="left"/>
              <w:rPr>
                <w:rFonts w:ascii="宋体" w:hAnsi="宋体" w:cs="宋体"/>
                <w:kern w:val="0"/>
                <w:sz w:val="22"/>
                <w:szCs w:val="22"/>
              </w:rPr>
            </w:pPr>
            <w:r>
              <w:rPr>
                <w:rFonts w:hint="eastAsia" w:ascii="宋体" w:hAnsi="宋体" w:cs="宋体"/>
                <w:kern w:val="0"/>
                <w:sz w:val="22"/>
                <w:szCs w:val="22"/>
              </w:rPr>
              <w:t>III型主控引擎</w:t>
            </w:r>
          </w:p>
        </w:tc>
        <w:tc>
          <w:tcPr>
            <w:tcW w:w="344" w:type="pct"/>
            <w:tcBorders>
              <w:top w:val="nil"/>
              <w:left w:val="nil"/>
              <w:bottom w:val="single" w:color="auto" w:sz="4" w:space="0"/>
              <w:right w:val="single" w:color="auto" w:sz="4" w:space="0"/>
            </w:tcBorders>
            <w:shd w:val="clear" w:color="000000" w:fill="FFFFFF"/>
            <w:vAlign w:val="center"/>
          </w:tcPr>
          <w:p w14:paraId="5F4F7485">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7876A2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262E2ADC">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42314645">
            <w:pPr>
              <w:widowControl/>
              <w:jc w:val="left"/>
              <w:rPr>
                <w:rFonts w:ascii="宋体" w:hAnsi="宋体" w:cs="宋体"/>
                <w:kern w:val="0"/>
                <w:sz w:val="22"/>
                <w:szCs w:val="22"/>
              </w:rPr>
            </w:pPr>
            <w:r>
              <w:rPr>
                <w:rFonts w:hint="eastAsia" w:ascii="宋体" w:hAnsi="宋体" w:cs="宋体"/>
                <w:kern w:val="0"/>
                <w:sz w:val="22"/>
                <w:szCs w:val="22"/>
              </w:rPr>
              <w:t>　</w:t>
            </w:r>
          </w:p>
        </w:tc>
      </w:tr>
      <w:tr w14:paraId="2D5CE14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7BA2ACC">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49" w:type="pct"/>
            <w:tcBorders>
              <w:top w:val="nil"/>
              <w:left w:val="nil"/>
              <w:bottom w:val="single" w:color="auto" w:sz="4" w:space="0"/>
              <w:right w:val="single" w:color="auto" w:sz="4" w:space="0"/>
            </w:tcBorders>
            <w:shd w:val="clear" w:color="000000" w:fill="FFFFFF"/>
            <w:vAlign w:val="center"/>
          </w:tcPr>
          <w:p w14:paraId="01DDCB45">
            <w:pPr>
              <w:widowControl/>
              <w:jc w:val="left"/>
              <w:rPr>
                <w:rFonts w:ascii="宋体" w:hAnsi="宋体" w:cs="宋体"/>
                <w:kern w:val="0"/>
                <w:sz w:val="22"/>
                <w:szCs w:val="22"/>
              </w:rPr>
            </w:pPr>
            <w:r>
              <w:rPr>
                <w:rFonts w:hint="eastAsia" w:ascii="宋体" w:hAnsi="宋体" w:cs="宋体"/>
                <w:kern w:val="0"/>
                <w:sz w:val="22"/>
                <w:szCs w:val="22"/>
              </w:rPr>
              <w:t>核心交换机电源</w:t>
            </w:r>
          </w:p>
        </w:tc>
        <w:tc>
          <w:tcPr>
            <w:tcW w:w="2219" w:type="pct"/>
            <w:tcBorders>
              <w:top w:val="nil"/>
              <w:left w:val="nil"/>
              <w:bottom w:val="single" w:color="auto" w:sz="4" w:space="0"/>
              <w:right w:val="single" w:color="auto" w:sz="4" w:space="0"/>
            </w:tcBorders>
            <w:shd w:val="clear" w:color="000000" w:fill="FFFFFF"/>
            <w:vAlign w:val="center"/>
          </w:tcPr>
          <w:p w14:paraId="786D9525">
            <w:pPr>
              <w:widowControl/>
              <w:jc w:val="left"/>
              <w:rPr>
                <w:rFonts w:ascii="宋体" w:hAnsi="宋体" w:cs="宋体"/>
                <w:kern w:val="0"/>
                <w:sz w:val="22"/>
                <w:szCs w:val="22"/>
              </w:rPr>
            </w:pPr>
            <w:r>
              <w:rPr>
                <w:rFonts w:hint="eastAsia" w:ascii="宋体" w:hAnsi="宋体" w:cs="宋体"/>
                <w:kern w:val="0"/>
                <w:sz w:val="22"/>
                <w:szCs w:val="22"/>
              </w:rPr>
              <w:t>交流电源模块，650W</w:t>
            </w:r>
          </w:p>
        </w:tc>
        <w:tc>
          <w:tcPr>
            <w:tcW w:w="344" w:type="pct"/>
            <w:tcBorders>
              <w:top w:val="nil"/>
              <w:left w:val="nil"/>
              <w:bottom w:val="single" w:color="auto" w:sz="4" w:space="0"/>
              <w:right w:val="single" w:color="auto" w:sz="4" w:space="0"/>
            </w:tcBorders>
            <w:shd w:val="clear" w:color="000000" w:fill="FFFFFF"/>
            <w:vAlign w:val="center"/>
          </w:tcPr>
          <w:p w14:paraId="7376F600">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DE09F4F">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7D6D2C7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58C967BB">
            <w:pPr>
              <w:widowControl/>
              <w:jc w:val="left"/>
              <w:rPr>
                <w:rFonts w:ascii="宋体" w:hAnsi="宋体" w:cs="宋体"/>
                <w:kern w:val="0"/>
                <w:sz w:val="22"/>
                <w:szCs w:val="22"/>
              </w:rPr>
            </w:pPr>
            <w:r>
              <w:rPr>
                <w:rFonts w:hint="eastAsia" w:ascii="宋体" w:hAnsi="宋体" w:cs="宋体"/>
                <w:kern w:val="0"/>
                <w:sz w:val="22"/>
                <w:szCs w:val="22"/>
              </w:rPr>
              <w:t>　</w:t>
            </w:r>
          </w:p>
        </w:tc>
      </w:tr>
      <w:tr w14:paraId="77A276C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4B4C70B">
            <w:pPr>
              <w:widowControl/>
              <w:jc w:val="center"/>
              <w:rPr>
                <w:rFonts w:ascii="宋体" w:hAnsi="宋体" w:cs="宋体"/>
                <w:b/>
                <w:bCs/>
                <w:kern w:val="0"/>
                <w:sz w:val="22"/>
                <w:szCs w:val="22"/>
              </w:rPr>
            </w:pPr>
            <w:r>
              <w:rPr>
                <w:rFonts w:hint="eastAsia" w:ascii="宋体" w:hAnsi="宋体" w:cs="宋体"/>
                <w:b/>
                <w:bCs/>
                <w:kern w:val="0"/>
                <w:sz w:val="22"/>
                <w:szCs w:val="22"/>
              </w:rPr>
              <w:t>73</w:t>
            </w:r>
          </w:p>
        </w:tc>
        <w:tc>
          <w:tcPr>
            <w:tcW w:w="849" w:type="pct"/>
            <w:tcBorders>
              <w:top w:val="nil"/>
              <w:left w:val="nil"/>
              <w:bottom w:val="single" w:color="auto" w:sz="4" w:space="0"/>
              <w:right w:val="single" w:color="auto" w:sz="4" w:space="0"/>
            </w:tcBorders>
            <w:shd w:val="clear" w:color="000000" w:fill="FFFFFF"/>
            <w:vAlign w:val="center"/>
          </w:tcPr>
          <w:p w14:paraId="0A1A537B">
            <w:pPr>
              <w:widowControl/>
              <w:jc w:val="left"/>
              <w:rPr>
                <w:rFonts w:ascii="宋体" w:hAnsi="宋体" w:cs="宋体"/>
                <w:kern w:val="0"/>
                <w:sz w:val="22"/>
                <w:szCs w:val="22"/>
              </w:rPr>
            </w:pPr>
            <w:r>
              <w:rPr>
                <w:rFonts w:hint="eastAsia" w:ascii="宋体" w:hAnsi="宋体" w:cs="宋体"/>
                <w:kern w:val="0"/>
                <w:sz w:val="22"/>
                <w:szCs w:val="22"/>
              </w:rPr>
              <w:t>核心交换机万兆光口业务插卡</w:t>
            </w:r>
          </w:p>
        </w:tc>
        <w:tc>
          <w:tcPr>
            <w:tcW w:w="2219" w:type="pct"/>
            <w:tcBorders>
              <w:top w:val="nil"/>
              <w:left w:val="nil"/>
              <w:bottom w:val="single" w:color="auto" w:sz="4" w:space="0"/>
              <w:right w:val="single" w:color="auto" w:sz="4" w:space="0"/>
            </w:tcBorders>
            <w:shd w:val="clear" w:color="000000" w:fill="FFFFFF"/>
            <w:vAlign w:val="center"/>
          </w:tcPr>
          <w:p w14:paraId="3CA0E4BB">
            <w:pPr>
              <w:widowControl/>
              <w:jc w:val="left"/>
              <w:rPr>
                <w:rFonts w:ascii="宋体" w:hAnsi="宋体" w:cs="宋体"/>
                <w:kern w:val="0"/>
                <w:sz w:val="22"/>
                <w:szCs w:val="22"/>
              </w:rPr>
            </w:pPr>
            <w:r>
              <w:rPr>
                <w:rFonts w:hint="eastAsia" w:ascii="宋体" w:hAnsi="宋体" w:cs="宋体"/>
                <w:kern w:val="0"/>
                <w:sz w:val="22"/>
                <w:szCs w:val="22"/>
              </w:rPr>
              <w:t>DS-3E7600系列标准C类业务板卡，16万兆SFP+口</w:t>
            </w:r>
          </w:p>
        </w:tc>
        <w:tc>
          <w:tcPr>
            <w:tcW w:w="344" w:type="pct"/>
            <w:tcBorders>
              <w:top w:val="nil"/>
              <w:left w:val="nil"/>
              <w:bottom w:val="single" w:color="auto" w:sz="4" w:space="0"/>
              <w:right w:val="single" w:color="auto" w:sz="4" w:space="0"/>
            </w:tcBorders>
            <w:shd w:val="clear" w:color="000000" w:fill="FFFFFF"/>
            <w:vAlign w:val="center"/>
          </w:tcPr>
          <w:p w14:paraId="4185A70C">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27E81D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1B145C6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532C7011">
            <w:pPr>
              <w:widowControl/>
              <w:jc w:val="left"/>
              <w:rPr>
                <w:rFonts w:ascii="宋体" w:hAnsi="宋体" w:cs="宋体"/>
                <w:kern w:val="0"/>
                <w:sz w:val="22"/>
                <w:szCs w:val="22"/>
              </w:rPr>
            </w:pPr>
            <w:r>
              <w:rPr>
                <w:rFonts w:hint="eastAsia" w:ascii="宋体" w:hAnsi="宋体" w:cs="宋体"/>
                <w:kern w:val="0"/>
                <w:sz w:val="22"/>
                <w:szCs w:val="22"/>
              </w:rPr>
              <w:t>　</w:t>
            </w:r>
          </w:p>
        </w:tc>
      </w:tr>
      <w:tr w14:paraId="188F77E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7D112A0">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49" w:type="pct"/>
            <w:tcBorders>
              <w:top w:val="nil"/>
              <w:left w:val="nil"/>
              <w:bottom w:val="single" w:color="auto" w:sz="4" w:space="0"/>
              <w:right w:val="single" w:color="auto" w:sz="4" w:space="0"/>
            </w:tcBorders>
            <w:shd w:val="clear" w:color="000000" w:fill="FFFFFF"/>
            <w:vAlign w:val="center"/>
          </w:tcPr>
          <w:p w14:paraId="7F8EDF52">
            <w:pPr>
              <w:widowControl/>
              <w:jc w:val="left"/>
              <w:rPr>
                <w:rFonts w:ascii="宋体" w:hAnsi="宋体" w:cs="宋体"/>
                <w:kern w:val="0"/>
                <w:sz w:val="22"/>
                <w:szCs w:val="22"/>
              </w:rPr>
            </w:pPr>
            <w:r>
              <w:rPr>
                <w:rFonts w:hint="eastAsia" w:ascii="宋体" w:hAnsi="宋体" w:cs="宋体"/>
                <w:kern w:val="0"/>
                <w:sz w:val="22"/>
                <w:szCs w:val="22"/>
              </w:rPr>
              <w:t>核心交换机48电口业务插卡</w:t>
            </w:r>
          </w:p>
        </w:tc>
        <w:tc>
          <w:tcPr>
            <w:tcW w:w="2219" w:type="pct"/>
            <w:tcBorders>
              <w:top w:val="nil"/>
              <w:left w:val="nil"/>
              <w:bottom w:val="single" w:color="auto" w:sz="4" w:space="0"/>
              <w:right w:val="single" w:color="auto" w:sz="4" w:space="0"/>
            </w:tcBorders>
            <w:shd w:val="clear" w:color="000000" w:fill="FFFFFF"/>
            <w:vAlign w:val="center"/>
          </w:tcPr>
          <w:p w14:paraId="709484BE">
            <w:pPr>
              <w:widowControl/>
              <w:jc w:val="left"/>
              <w:rPr>
                <w:rFonts w:ascii="宋体" w:hAnsi="宋体" w:cs="宋体"/>
                <w:kern w:val="0"/>
                <w:sz w:val="22"/>
                <w:szCs w:val="22"/>
              </w:rPr>
            </w:pPr>
            <w:r>
              <w:rPr>
                <w:rFonts w:hint="eastAsia" w:ascii="宋体" w:hAnsi="宋体" w:cs="宋体"/>
                <w:kern w:val="0"/>
                <w:sz w:val="22"/>
                <w:szCs w:val="22"/>
              </w:rPr>
              <w:t>DS-3E7600系列标准A类业务板卡，48千兆电口</w:t>
            </w:r>
          </w:p>
        </w:tc>
        <w:tc>
          <w:tcPr>
            <w:tcW w:w="344" w:type="pct"/>
            <w:tcBorders>
              <w:top w:val="nil"/>
              <w:left w:val="nil"/>
              <w:bottom w:val="single" w:color="auto" w:sz="4" w:space="0"/>
              <w:right w:val="single" w:color="auto" w:sz="4" w:space="0"/>
            </w:tcBorders>
            <w:shd w:val="clear" w:color="000000" w:fill="FFFFFF"/>
            <w:vAlign w:val="center"/>
          </w:tcPr>
          <w:p w14:paraId="6E02B76A">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B81D09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2D0E6A5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6062421A">
            <w:pPr>
              <w:widowControl/>
              <w:jc w:val="left"/>
              <w:rPr>
                <w:rFonts w:ascii="宋体" w:hAnsi="宋体" w:cs="宋体"/>
                <w:kern w:val="0"/>
                <w:sz w:val="22"/>
                <w:szCs w:val="22"/>
              </w:rPr>
            </w:pPr>
            <w:r>
              <w:rPr>
                <w:rFonts w:hint="eastAsia" w:ascii="宋体" w:hAnsi="宋体" w:cs="宋体"/>
                <w:kern w:val="0"/>
                <w:sz w:val="22"/>
                <w:szCs w:val="22"/>
              </w:rPr>
              <w:t>　</w:t>
            </w:r>
          </w:p>
        </w:tc>
      </w:tr>
      <w:tr w14:paraId="116441AC">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A7E821E">
            <w:pPr>
              <w:widowControl/>
              <w:jc w:val="center"/>
              <w:rPr>
                <w:rFonts w:ascii="宋体" w:hAnsi="宋体" w:cs="宋体"/>
                <w:b/>
                <w:bCs/>
                <w:kern w:val="0"/>
                <w:sz w:val="22"/>
                <w:szCs w:val="22"/>
              </w:rPr>
            </w:pPr>
            <w:r>
              <w:rPr>
                <w:rFonts w:hint="eastAsia" w:ascii="宋体" w:hAnsi="宋体" w:cs="宋体"/>
                <w:b/>
                <w:bCs/>
                <w:kern w:val="0"/>
                <w:sz w:val="22"/>
                <w:szCs w:val="22"/>
              </w:rPr>
              <w:t>75</w:t>
            </w:r>
          </w:p>
        </w:tc>
        <w:tc>
          <w:tcPr>
            <w:tcW w:w="849" w:type="pct"/>
            <w:tcBorders>
              <w:top w:val="nil"/>
              <w:left w:val="nil"/>
              <w:bottom w:val="single" w:color="auto" w:sz="4" w:space="0"/>
              <w:right w:val="single" w:color="auto" w:sz="4" w:space="0"/>
            </w:tcBorders>
            <w:shd w:val="clear" w:color="000000" w:fill="FFFFFF"/>
            <w:vAlign w:val="center"/>
          </w:tcPr>
          <w:p w14:paraId="1B7A6CB0">
            <w:pPr>
              <w:widowControl/>
              <w:jc w:val="left"/>
              <w:rPr>
                <w:rFonts w:ascii="宋体" w:hAnsi="宋体" w:cs="宋体"/>
                <w:kern w:val="0"/>
                <w:sz w:val="22"/>
                <w:szCs w:val="22"/>
              </w:rPr>
            </w:pPr>
            <w:r>
              <w:rPr>
                <w:rFonts w:hint="eastAsia" w:ascii="宋体" w:hAnsi="宋体" w:cs="宋体"/>
                <w:kern w:val="0"/>
                <w:sz w:val="22"/>
                <w:szCs w:val="22"/>
              </w:rPr>
              <w:t>多模双纤双向光模块</w:t>
            </w:r>
          </w:p>
        </w:tc>
        <w:tc>
          <w:tcPr>
            <w:tcW w:w="2219" w:type="pct"/>
            <w:tcBorders>
              <w:top w:val="nil"/>
              <w:left w:val="nil"/>
              <w:bottom w:val="single" w:color="auto" w:sz="4" w:space="0"/>
              <w:right w:val="single" w:color="auto" w:sz="4" w:space="0"/>
            </w:tcBorders>
            <w:shd w:val="clear" w:color="000000" w:fill="FFFFFF"/>
            <w:vAlign w:val="center"/>
          </w:tcPr>
          <w:p w14:paraId="598F8F79">
            <w:pPr>
              <w:widowControl/>
              <w:jc w:val="left"/>
              <w:rPr>
                <w:rFonts w:ascii="宋体" w:hAnsi="宋体" w:cs="宋体"/>
                <w:kern w:val="0"/>
                <w:sz w:val="22"/>
                <w:szCs w:val="22"/>
              </w:rPr>
            </w:pPr>
            <w:r>
              <w:rPr>
                <w:rFonts w:hint="eastAsia" w:ascii="宋体" w:hAnsi="宋体" w:cs="宋体"/>
                <w:kern w:val="0"/>
                <w:sz w:val="22"/>
                <w:szCs w:val="22"/>
              </w:rPr>
              <w:t xml:space="preserve">TX/RX850nm/10G,LC,多模双纤双向,300m,0～70℃,SFP </w:t>
            </w:r>
          </w:p>
        </w:tc>
        <w:tc>
          <w:tcPr>
            <w:tcW w:w="344" w:type="pct"/>
            <w:tcBorders>
              <w:top w:val="nil"/>
              <w:left w:val="nil"/>
              <w:bottom w:val="single" w:color="auto" w:sz="4" w:space="0"/>
              <w:right w:val="single" w:color="auto" w:sz="4" w:space="0"/>
            </w:tcBorders>
            <w:shd w:val="clear" w:color="000000" w:fill="FFFFFF"/>
            <w:vAlign w:val="center"/>
          </w:tcPr>
          <w:p w14:paraId="3A383063">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252B01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6813952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47A25B7B">
            <w:pPr>
              <w:widowControl/>
              <w:jc w:val="left"/>
              <w:rPr>
                <w:rFonts w:ascii="宋体" w:hAnsi="宋体" w:cs="宋体"/>
                <w:kern w:val="0"/>
                <w:sz w:val="22"/>
                <w:szCs w:val="22"/>
              </w:rPr>
            </w:pPr>
            <w:r>
              <w:rPr>
                <w:rFonts w:hint="eastAsia" w:ascii="宋体" w:hAnsi="宋体" w:cs="宋体"/>
                <w:kern w:val="0"/>
                <w:sz w:val="22"/>
                <w:szCs w:val="22"/>
              </w:rPr>
              <w:t>　</w:t>
            </w:r>
          </w:p>
        </w:tc>
      </w:tr>
      <w:tr w14:paraId="297B3DA3">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7F0718B">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49" w:type="pct"/>
            <w:tcBorders>
              <w:top w:val="nil"/>
              <w:left w:val="nil"/>
              <w:bottom w:val="single" w:color="auto" w:sz="4" w:space="0"/>
              <w:right w:val="single" w:color="auto" w:sz="4" w:space="0"/>
            </w:tcBorders>
            <w:shd w:val="clear" w:color="000000" w:fill="FFFFFF"/>
            <w:vAlign w:val="center"/>
          </w:tcPr>
          <w:p w14:paraId="166F99A0">
            <w:pPr>
              <w:widowControl/>
              <w:jc w:val="left"/>
              <w:rPr>
                <w:rFonts w:ascii="宋体" w:hAnsi="宋体" w:cs="宋体"/>
                <w:kern w:val="0"/>
                <w:sz w:val="22"/>
                <w:szCs w:val="22"/>
              </w:rPr>
            </w:pPr>
            <w:r>
              <w:rPr>
                <w:rFonts w:hint="eastAsia" w:ascii="宋体" w:hAnsi="宋体" w:cs="宋体"/>
                <w:kern w:val="0"/>
                <w:sz w:val="22"/>
                <w:szCs w:val="22"/>
              </w:rPr>
              <w:t>核心交换机光模块</w:t>
            </w:r>
          </w:p>
        </w:tc>
        <w:tc>
          <w:tcPr>
            <w:tcW w:w="2219" w:type="pct"/>
            <w:tcBorders>
              <w:top w:val="nil"/>
              <w:left w:val="nil"/>
              <w:bottom w:val="single" w:color="auto" w:sz="4" w:space="0"/>
              <w:right w:val="single" w:color="auto" w:sz="4" w:space="0"/>
            </w:tcBorders>
            <w:shd w:val="clear" w:color="000000" w:fill="FFFFFF"/>
            <w:vAlign w:val="center"/>
          </w:tcPr>
          <w:p w14:paraId="1587E68E">
            <w:pPr>
              <w:widowControl/>
              <w:jc w:val="left"/>
              <w:rPr>
                <w:rFonts w:ascii="宋体" w:hAnsi="宋体" w:cs="宋体"/>
                <w:kern w:val="0"/>
                <w:sz w:val="22"/>
                <w:szCs w:val="22"/>
              </w:rPr>
            </w:pPr>
            <w:r>
              <w:rPr>
                <w:rFonts w:hint="eastAsia" w:ascii="宋体" w:hAnsi="宋体" w:cs="宋体"/>
                <w:kern w:val="0"/>
                <w:sz w:val="22"/>
                <w:szCs w:val="22"/>
              </w:rPr>
              <w:t>万兆模块1对，千兆模块2对</w:t>
            </w:r>
          </w:p>
        </w:tc>
        <w:tc>
          <w:tcPr>
            <w:tcW w:w="344" w:type="pct"/>
            <w:tcBorders>
              <w:top w:val="nil"/>
              <w:left w:val="nil"/>
              <w:bottom w:val="single" w:color="auto" w:sz="4" w:space="0"/>
              <w:right w:val="single" w:color="auto" w:sz="4" w:space="0"/>
            </w:tcBorders>
            <w:shd w:val="clear" w:color="000000" w:fill="FFFFFF"/>
            <w:vAlign w:val="center"/>
          </w:tcPr>
          <w:p w14:paraId="13955F60">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7D8825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批</w:t>
            </w:r>
          </w:p>
        </w:tc>
        <w:tc>
          <w:tcPr>
            <w:tcW w:w="355" w:type="pct"/>
            <w:tcBorders>
              <w:top w:val="nil"/>
              <w:left w:val="nil"/>
              <w:bottom w:val="single" w:color="auto" w:sz="4" w:space="0"/>
              <w:right w:val="single" w:color="auto" w:sz="4" w:space="0"/>
            </w:tcBorders>
            <w:shd w:val="clear" w:color="000000" w:fill="FFFFFF"/>
            <w:vAlign w:val="center"/>
          </w:tcPr>
          <w:p w14:paraId="593BB8A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3CCC91DD">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0F5D6E9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CB0E2D8">
            <w:pPr>
              <w:widowControl/>
              <w:jc w:val="center"/>
              <w:rPr>
                <w:rFonts w:ascii="宋体" w:hAnsi="宋体" w:cs="宋体"/>
                <w:b/>
                <w:bCs/>
                <w:kern w:val="0"/>
                <w:sz w:val="22"/>
                <w:szCs w:val="22"/>
              </w:rPr>
            </w:pPr>
            <w:r>
              <w:rPr>
                <w:rFonts w:hint="eastAsia" w:ascii="宋体" w:hAnsi="宋体" w:cs="宋体"/>
                <w:b/>
                <w:bCs/>
                <w:kern w:val="0"/>
                <w:sz w:val="22"/>
                <w:szCs w:val="22"/>
              </w:rPr>
              <w:t>77</w:t>
            </w:r>
          </w:p>
        </w:tc>
        <w:tc>
          <w:tcPr>
            <w:tcW w:w="849" w:type="pct"/>
            <w:tcBorders>
              <w:top w:val="nil"/>
              <w:left w:val="nil"/>
              <w:bottom w:val="single" w:color="auto" w:sz="4" w:space="0"/>
              <w:right w:val="single" w:color="auto" w:sz="4" w:space="0"/>
            </w:tcBorders>
            <w:shd w:val="clear" w:color="000000" w:fill="FFFFFF"/>
            <w:vAlign w:val="center"/>
          </w:tcPr>
          <w:p w14:paraId="77626244">
            <w:pPr>
              <w:widowControl/>
              <w:jc w:val="left"/>
              <w:rPr>
                <w:rFonts w:ascii="宋体" w:hAnsi="宋体" w:cs="宋体"/>
                <w:kern w:val="0"/>
                <w:sz w:val="22"/>
                <w:szCs w:val="22"/>
              </w:rPr>
            </w:pPr>
            <w:r>
              <w:rPr>
                <w:rFonts w:hint="eastAsia" w:ascii="宋体" w:hAnsi="宋体" w:cs="宋体"/>
                <w:kern w:val="0"/>
                <w:sz w:val="22"/>
                <w:szCs w:val="22"/>
              </w:rPr>
              <w:t>中心控制平台软件</w:t>
            </w:r>
          </w:p>
        </w:tc>
        <w:tc>
          <w:tcPr>
            <w:tcW w:w="2219" w:type="pct"/>
            <w:tcBorders>
              <w:top w:val="nil"/>
              <w:left w:val="nil"/>
              <w:bottom w:val="single" w:color="auto" w:sz="4" w:space="0"/>
              <w:right w:val="single" w:color="auto" w:sz="4" w:space="0"/>
            </w:tcBorders>
            <w:shd w:val="clear" w:color="000000" w:fill="FFFFFF"/>
            <w:vAlign w:val="center"/>
          </w:tcPr>
          <w:p w14:paraId="5D18B5CD">
            <w:pPr>
              <w:widowControl/>
              <w:jc w:val="left"/>
              <w:rPr>
                <w:rFonts w:ascii="宋体" w:hAnsi="宋体" w:cs="宋体"/>
                <w:kern w:val="0"/>
                <w:sz w:val="22"/>
                <w:szCs w:val="22"/>
              </w:rPr>
            </w:pPr>
            <w:r>
              <w:rPr>
                <w:rFonts w:hint="eastAsia" w:ascii="宋体" w:hAnsi="宋体" w:cs="宋体"/>
                <w:kern w:val="0"/>
                <w:sz w:val="22"/>
                <w:szCs w:val="22"/>
              </w:rPr>
              <w:t>集中监控应用管理平台，以视频图像应用为基础手段，综合视频监控、联网报警、智能分析、运维管理等多种安全防范应用系统，构建的多业务应用综合管理平台。开发对接人脸识别系统。</w:t>
            </w:r>
          </w:p>
        </w:tc>
        <w:tc>
          <w:tcPr>
            <w:tcW w:w="344" w:type="pct"/>
            <w:tcBorders>
              <w:top w:val="nil"/>
              <w:left w:val="nil"/>
              <w:bottom w:val="single" w:color="auto" w:sz="4" w:space="0"/>
              <w:right w:val="single" w:color="auto" w:sz="4" w:space="0"/>
            </w:tcBorders>
            <w:shd w:val="clear" w:color="000000" w:fill="FFFFFF"/>
            <w:vAlign w:val="center"/>
          </w:tcPr>
          <w:p w14:paraId="6C889896">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3404A9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7E6525C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2723921A">
            <w:pPr>
              <w:widowControl/>
              <w:jc w:val="left"/>
              <w:rPr>
                <w:rFonts w:ascii="宋体" w:hAnsi="宋体" w:cs="宋体"/>
                <w:kern w:val="0"/>
                <w:sz w:val="22"/>
                <w:szCs w:val="22"/>
              </w:rPr>
            </w:pPr>
            <w:r>
              <w:rPr>
                <w:rFonts w:hint="eastAsia" w:ascii="宋体" w:hAnsi="宋体" w:cs="宋体"/>
                <w:kern w:val="0"/>
                <w:sz w:val="22"/>
                <w:szCs w:val="22"/>
              </w:rPr>
              <w:t>　</w:t>
            </w:r>
          </w:p>
        </w:tc>
      </w:tr>
      <w:tr w14:paraId="2A5E73D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18099AA">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49" w:type="pct"/>
            <w:tcBorders>
              <w:top w:val="nil"/>
              <w:left w:val="nil"/>
              <w:bottom w:val="single" w:color="auto" w:sz="4" w:space="0"/>
              <w:right w:val="single" w:color="auto" w:sz="4" w:space="0"/>
            </w:tcBorders>
            <w:shd w:val="clear" w:color="000000" w:fill="FFFFFF"/>
            <w:vAlign w:val="center"/>
          </w:tcPr>
          <w:p w14:paraId="09C61D1F">
            <w:pPr>
              <w:widowControl/>
              <w:jc w:val="left"/>
              <w:rPr>
                <w:rFonts w:ascii="宋体" w:hAnsi="宋体" w:cs="宋体"/>
                <w:kern w:val="0"/>
                <w:sz w:val="22"/>
                <w:szCs w:val="22"/>
              </w:rPr>
            </w:pPr>
            <w:r>
              <w:rPr>
                <w:rFonts w:hint="eastAsia" w:ascii="宋体" w:hAnsi="宋体" w:cs="宋体"/>
                <w:kern w:val="0"/>
                <w:sz w:val="22"/>
                <w:szCs w:val="22"/>
              </w:rPr>
              <w:t>存储管理服务器</w:t>
            </w:r>
          </w:p>
        </w:tc>
        <w:tc>
          <w:tcPr>
            <w:tcW w:w="2219" w:type="pct"/>
            <w:tcBorders>
              <w:top w:val="nil"/>
              <w:left w:val="nil"/>
              <w:bottom w:val="single" w:color="auto" w:sz="4" w:space="0"/>
              <w:right w:val="single" w:color="auto" w:sz="4" w:space="0"/>
            </w:tcBorders>
            <w:shd w:val="clear" w:color="000000" w:fill="FFFFFF"/>
            <w:vAlign w:val="center"/>
          </w:tcPr>
          <w:p w14:paraId="4B364400">
            <w:pPr>
              <w:widowControl/>
              <w:jc w:val="left"/>
              <w:rPr>
                <w:rFonts w:ascii="宋体" w:hAnsi="宋体" w:cs="宋体"/>
                <w:kern w:val="0"/>
                <w:sz w:val="22"/>
                <w:szCs w:val="22"/>
              </w:rPr>
            </w:pPr>
            <w:r>
              <w:rPr>
                <w:rFonts w:hint="eastAsia" w:ascii="宋体" w:hAnsi="宋体" w:cs="宋体"/>
                <w:kern w:val="0"/>
                <w:sz w:val="22"/>
                <w:szCs w:val="22"/>
              </w:rPr>
              <w:t>E5-2620 V3(6核2.4GHz)×1/16GB DDR4/1TB SATA×2/热插拔/SAS3008/DVD/1GbE×4/冗电/导轨/2U</w:t>
            </w:r>
          </w:p>
        </w:tc>
        <w:tc>
          <w:tcPr>
            <w:tcW w:w="344" w:type="pct"/>
            <w:tcBorders>
              <w:top w:val="nil"/>
              <w:left w:val="nil"/>
              <w:bottom w:val="single" w:color="auto" w:sz="4" w:space="0"/>
              <w:right w:val="single" w:color="auto" w:sz="4" w:space="0"/>
            </w:tcBorders>
            <w:shd w:val="clear" w:color="000000" w:fill="FFFFFF"/>
            <w:vAlign w:val="center"/>
          </w:tcPr>
          <w:p w14:paraId="73E052A0">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618F8C3E">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45F1533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w:t>
            </w:r>
          </w:p>
        </w:tc>
        <w:tc>
          <w:tcPr>
            <w:tcW w:w="462" w:type="pct"/>
            <w:tcBorders>
              <w:top w:val="nil"/>
              <w:left w:val="nil"/>
              <w:bottom w:val="single" w:color="auto" w:sz="4" w:space="0"/>
              <w:right w:val="single" w:color="auto" w:sz="4" w:space="0"/>
            </w:tcBorders>
            <w:shd w:val="clear" w:color="000000" w:fill="FFFFFF"/>
            <w:vAlign w:val="center"/>
          </w:tcPr>
          <w:p w14:paraId="15642D16">
            <w:pPr>
              <w:widowControl/>
              <w:jc w:val="left"/>
              <w:rPr>
                <w:rFonts w:ascii="宋体" w:hAnsi="宋体" w:cs="宋体"/>
                <w:kern w:val="0"/>
                <w:sz w:val="22"/>
                <w:szCs w:val="22"/>
              </w:rPr>
            </w:pPr>
            <w:r>
              <w:rPr>
                <w:rFonts w:hint="eastAsia" w:ascii="宋体" w:hAnsi="宋体" w:cs="宋体"/>
                <w:kern w:val="0"/>
                <w:sz w:val="22"/>
                <w:szCs w:val="22"/>
              </w:rPr>
              <w:t>　</w:t>
            </w:r>
          </w:p>
        </w:tc>
      </w:tr>
      <w:tr w14:paraId="0FE478E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2F649A4">
            <w:pPr>
              <w:widowControl/>
              <w:jc w:val="center"/>
              <w:rPr>
                <w:rFonts w:ascii="宋体" w:hAnsi="宋体" w:cs="宋体"/>
                <w:b/>
                <w:bCs/>
                <w:kern w:val="0"/>
                <w:sz w:val="22"/>
                <w:szCs w:val="22"/>
              </w:rPr>
            </w:pPr>
            <w:r>
              <w:rPr>
                <w:rFonts w:hint="eastAsia" w:ascii="宋体" w:hAnsi="宋体" w:cs="宋体"/>
                <w:b/>
                <w:bCs/>
                <w:kern w:val="0"/>
                <w:sz w:val="22"/>
                <w:szCs w:val="22"/>
              </w:rPr>
              <w:t>79</w:t>
            </w:r>
          </w:p>
        </w:tc>
        <w:tc>
          <w:tcPr>
            <w:tcW w:w="849" w:type="pct"/>
            <w:tcBorders>
              <w:top w:val="nil"/>
              <w:left w:val="nil"/>
              <w:bottom w:val="single" w:color="auto" w:sz="4" w:space="0"/>
              <w:right w:val="single" w:color="auto" w:sz="4" w:space="0"/>
            </w:tcBorders>
            <w:shd w:val="clear" w:color="000000" w:fill="FFFFFF"/>
            <w:vAlign w:val="center"/>
          </w:tcPr>
          <w:p w14:paraId="2B51A988">
            <w:pPr>
              <w:widowControl/>
              <w:jc w:val="left"/>
              <w:rPr>
                <w:rFonts w:ascii="宋体" w:hAnsi="宋体" w:cs="宋体"/>
                <w:kern w:val="0"/>
                <w:sz w:val="22"/>
                <w:szCs w:val="22"/>
              </w:rPr>
            </w:pPr>
            <w:r>
              <w:rPr>
                <w:rFonts w:hint="eastAsia" w:ascii="宋体" w:hAnsi="宋体" w:cs="宋体"/>
                <w:kern w:val="0"/>
                <w:sz w:val="22"/>
                <w:szCs w:val="22"/>
              </w:rPr>
              <w:t>流媒体转发服务器</w:t>
            </w:r>
          </w:p>
        </w:tc>
        <w:tc>
          <w:tcPr>
            <w:tcW w:w="2219" w:type="pct"/>
            <w:tcBorders>
              <w:top w:val="nil"/>
              <w:left w:val="nil"/>
              <w:bottom w:val="single" w:color="auto" w:sz="4" w:space="0"/>
              <w:right w:val="single" w:color="auto" w:sz="4" w:space="0"/>
            </w:tcBorders>
            <w:shd w:val="clear" w:color="000000" w:fill="FFFFFF"/>
            <w:vAlign w:val="center"/>
          </w:tcPr>
          <w:p w14:paraId="25A74741">
            <w:pPr>
              <w:widowControl/>
              <w:jc w:val="left"/>
              <w:rPr>
                <w:rFonts w:ascii="宋体" w:hAnsi="宋体" w:cs="宋体"/>
                <w:kern w:val="0"/>
                <w:sz w:val="22"/>
                <w:szCs w:val="22"/>
              </w:rPr>
            </w:pPr>
            <w:r>
              <w:rPr>
                <w:rFonts w:hint="eastAsia" w:ascii="宋体" w:hAnsi="宋体" w:cs="宋体"/>
                <w:kern w:val="0"/>
                <w:sz w:val="22"/>
                <w:szCs w:val="22"/>
              </w:rPr>
              <w:t>E5-2609 V3(6核)×1/8GB DDR4/1TB SATA×2/热插拔/SAS3008/DVD/1GbE×4/冗电/导轨/2U  电源：高效能550W铂金1+1 冗余电源；</w:t>
            </w:r>
          </w:p>
        </w:tc>
        <w:tc>
          <w:tcPr>
            <w:tcW w:w="344" w:type="pct"/>
            <w:tcBorders>
              <w:top w:val="nil"/>
              <w:left w:val="nil"/>
              <w:bottom w:val="single" w:color="auto" w:sz="4" w:space="0"/>
              <w:right w:val="single" w:color="auto" w:sz="4" w:space="0"/>
            </w:tcBorders>
            <w:shd w:val="clear" w:color="000000" w:fill="FFFFFF"/>
            <w:vAlign w:val="center"/>
          </w:tcPr>
          <w:p w14:paraId="4C3048BD">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1575078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49A9BAAD">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6 </w:t>
            </w:r>
          </w:p>
        </w:tc>
        <w:tc>
          <w:tcPr>
            <w:tcW w:w="462" w:type="pct"/>
            <w:tcBorders>
              <w:top w:val="nil"/>
              <w:left w:val="nil"/>
              <w:bottom w:val="single" w:color="auto" w:sz="4" w:space="0"/>
              <w:right w:val="single" w:color="auto" w:sz="4" w:space="0"/>
            </w:tcBorders>
            <w:shd w:val="clear" w:color="000000" w:fill="FFFFFF"/>
            <w:vAlign w:val="center"/>
          </w:tcPr>
          <w:p w14:paraId="45B9A6C7">
            <w:pPr>
              <w:widowControl/>
              <w:jc w:val="left"/>
              <w:rPr>
                <w:rFonts w:ascii="宋体" w:hAnsi="宋体" w:cs="宋体"/>
                <w:kern w:val="0"/>
                <w:sz w:val="22"/>
                <w:szCs w:val="22"/>
              </w:rPr>
            </w:pPr>
            <w:r>
              <w:rPr>
                <w:rFonts w:hint="eastAsia" w:ascii="宋体" w:hAnsi="宋体" w:cs="宋体"/>
                <w:kern w:val="0"/>
                <w:sz w:val="22"/>
                <w:szCs w:val="22"/>
              </w:rPr>
              <w:t>　</w:t>
            </w:r>
          </w:p>
        </w:tc>
      </w:tr>
      <w:tr w14:paraId="1F22E6D9">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CC8E723">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49" w:type="pct"/>
            <w:tcBorders>
              <w:top w:val="nil"/>
              <w:left w:val="nil"/>
              <w:bottom w:val="single" w:color="auto" w:sz="4" w:space="0"/>
              <w:right w:val="single" w:color="auto" w:sz="4" w:space="0"/>
            </w:tcBorders>
            <w:shd w:val="clear" w:color="000000" w:fill="FFFFFF"/>
            <w:vAlign w:val="center"/>
          </w:tcPr>
          <w:p w14:paraId="73140755">
            <w:pPr>
              <w:widowControl/>
              <w:jc w:val="left"/>
              <w:rPr>
                <w:rFonts w:ascii="宋体" w:hAnsi="宋体" w:cs="宋体"/>
                <w:kern w:val="0"/>
                <w:sz w:val="22"/>
                <w:szCs w:val="22"/>
              </w:rPr>
            </w:pPr>
            <w:r>
              <w:rPr>
                <w:rFonts w:hint="eastAsia" w:ascii="宋体" w:hAnsi="宋体" w:cs="宋体"/>
                <w:kern w:val="0"/>
                <w:sz w:val="22"/>
                <w:szCs w:val="22"/>
              </w:rPr>
              <w:t>设备接入服务器</w:t>
            </w:r>
          </w:p>
        </w:tc>
        <w:tc>
          <w:tcPr>
            <w:tcW w:w="2219" w:type="pct"/>
            <w:tcBorders>
              <w:top w:val="nil"/>
              <w:left w:val="nil"/>
              <w:bottom w:val="single" w:color="auto" w:sz="4" w:space="0"/>
              <w:right w:val="single" w:color="auto" w:sz="4" w:space="0"/>
            </w:tcBorders>
            <w:shd w:val="clear" w:color="000000" w:fill="FFFFFF"/>
            <w:vAlign w:val="center"/>
          </w:tcPr>
          <w:p w14:paraId="146F433E">
            <w:pPr>
              <w:widowControl/>
              <w:jc w:val="left"/>
              <w:rPr>
                <w:rFonts w:ascii="宋体" w:hAnsi="宋体" w:cs="宋体"/>
                <w:kern w:val="0"/>
                <w:sz w:val="22"/>
                <w:szCs w:val="22"/>
              </w:rPr>
            </w:pPr>
            <w:r>
              <w:rPr>
                <w:rFonts w:hint="eastAsia" w:ascii="宋体" w:hAnsi="宋体" w:cs="宋体"/>
                <w:kern w:val="0"/>
                <w:sz w:val="22"/>
                <w:szCs w:val="22"/>
              </w:rPr>
              <w:t>E5-2620 V3(6核2.4GHz)×1/16GB DDR4/1TB SATA×2/热插拔/SAS3008/DVD/1GbE×4/冗电/导轨/2U</w:t>
            </w:r>
          </w:p>
        </w:tc>
        <w:tc>
          <w:tcPr>
            <w:tcW w:w="344" w:type="pct"/>
            <w:tcBorders>
              <w:top w:val="nil"/>
              <w:left w:val="nil"/>
              <w:bottom w:val="single" w:color="auto" w:sz="4" w:space="0"/>
              <w:right w:val="single" w:color="auto" w:sz="4" w:space="0"/>
            </w:tcBorders>
            <w:shd w:val="clear" w:color="000000" w:fill="FFFFFF"/>
            <w:vAlign w:val="center"/>
          </w:tcPr>
          <w:p w14:paraId="0E3A05D6">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7C435A4">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9C644B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70F1C635">
            <w:pPr>
              <w:widowControl/>
              <w:jc w:val="left"/>
              <w:rPr>
                <w:rFonts w:ascii="宋体" w:hAnsi="宋体" w:cs="宋体"/>
                <w:kern w:val="0"/>
                <w:sz w:val="22"/>
                <w:szCs w:val="22"/>
              </w:rPr>
            </w:pPr>
            <w:r>
              <w:rPr>
                <w:rFonts w:hint="eastAsia" w:ascii="宋体" w:hAnsi="宋体" w:cs="宋体"/>
                <w:kern w:val="0"/>
                <w:sz w:val="22"/>
                <w:szCs w:val="22"/>
              </w:rPr>
              <w:t>　</w:t>
            </w:r>
          </w:p>
        </w:tc>
      </w:tr>
      <w:tr w14:paraId="1BA814BE">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F3CCCB3">
            <w:pPr>
              <w:widowControl/>
              <w:jc w:val="center"/>
              <w:rPr>
                <w:rFonts w:ascii="宋体" w:hAnsi="宋体" w:cs="宋体"/>
                <w:b/>
                <w:bCs/>
                <w:kern w:val="0"/>
                <w:sz w:val="22"/>
                <w:szCs w:val="22"/>
              </w:rPr>
            </w:pPr>
            <w:r>
              <w:rPr>
                <w:rFonts w:hint="eastAsia" w:ascii="宋体" w:hAnsi="宋体" w:cs="宋体"/>
                <w:b/>
                <w:bCs/>
                <w:kern w:val="0"/>
                <w:sz w:val="22"/>
                <w:szCs w:val="22"/>
              </w:rPr>
              <w:t>81</w:t>
            </w:r>
          </w:p>
        </w:tc>
        <w:tc>
          <w:tcPr>
            <w:tcW w:w="849" w:type="pct"/>
            <w:tcBorders>
              <w:top w:val="nil"/>
              <w:left w:val="nil"/>
              <w:bottom w:val="single" w:color="auto" w:sz="4" w:space="0"/>
              <w:right w:val="single" w:color="auto" w:sz="4" w:space="0"/>
            </w:tcBorders>
            <w:shd w:val="clear" w:color="000000" w:fill="FFFFFF"/>
            <w:vAlign w:val="center"/>
          </w:tcPr>
          <w:p w14:paraId="1A73A404">
            <w:pPr>
              <w:widowControl/>
              <w:jc w:val="left"/>
              <w:rPr>
                <w:rFonts w:ascii="宋体" w:hAnsi="宋体" w:cs="宋体"/>
                <w:kern w:val="0"/>
                <w:sz w:val="22"/>
                <w:szCs w:val="22"/>
              </w:rPr>
            </w:pPr>
            <w:r>
              <w:rPr>
                <w:rFonts w:hint="eastAsia" w:ascii="宋体" w:hAnsi="宋体" w:cs="宋体"/>
                <w:kern w:val="0"/>
                <w:sz w:val="22"/>
                <w:szCs w:val="22"/>
              </w:rPr>
              <w:t>IPS</w:t>
            </w:r>
          </w:p>
        </w:tc>
        <w:tc>
          <w:tcPr>
            <w:tcW w:w="2219" w:type="pct"/>
            <w:tcBorders>
              <w:top w:val="nil"/>
              <w:left w:val="nil"/>
              <w:bottom w:val="single" w:color="auto" w:sz="4" w:space="0"/>
              <w:right w:val="single" w:color="auto" w:sz="4" w:space="0"/>
            </w:tcBorders>
            <w:shd w:val="clear" w:color="000000" w:fill="FFFFFF"/>
            <w:vAlign w:val="center"/>
          </w:tcPr>
          <w:p w14:paraId="2F09F4C4">
            <w:pPr>
              <w:widowControl/>
              <w:jc w:val="left"/>
              <w:rPr>
                <w:rFonts w:ascii="宋体" w:hAnsi="宋体" w:cs="宋体"/>
                <w:kern w:val="0"/>
                <w:sz w:val="22"/>
                <w:szCs w:val="22"/>
              </w:rPr>
            </w:pPr>
            <w:r>
              <w:rPr>
                <w:rFonts w:hint="eastAsia" w:ascii="宋体" w:hAnsi="宋体" w:cs="宋体"/>
                <w:kern w:val="0"/>
                <w:sz w:val="22"/>
                <w:szCs w:val="22"/>
              </w:rPr>
              <w:t>2U上架设备，1个RJ-45 Console口，2个10/100/1000 Base-T带外管理口，4个网络接口板扩展槽位，可选配专用接口板，2个USB口，双电源，含嵌入式软件）一台，IPS系列引擎软件一套，IPS数据中心软件一套。吞吐量20G,并发连接数400万。</w:t>
            </w:r>
          </w:p>
        </w:tc>
        <w:tc>
          <w:tcPr>
            <w:tcW w:w="344" w:type="pct"/>
            <w:tcBorders>
              <w:top w:val="nil"/>
              <w:left w:val="nil"/>
              <w:bottom w:val="single" w:color="auto" w:sz="4" w:space="0"/>
              <w:right w:val="single" w:color="auto" w:sz="4" w:space="0"/>
            </w:tcBorders>
            <w:shd w:val="clear" w:color="000000" w:fill="FFFFFF"/>
            <w:vAlign w:val="center"/>
          </w:tcPr>
          <w:p w14:paraId="769EF4A4">
            <w:pPr>
              <w:widowControl/>
              <w:jc w:val="center"/>
              <w:rPr>
                <w:rFonts w:ascii="宋体" w:hAnsi="宋体" w:cs="宋体"/>
                <w:kern w:val="0"/>
                <w:sz w:val="22"/>
                <w:szCs w:val="22"/>
              </w:rPr>
            </w:pPr>
            <w:r>
              <w:rPr>
                <w:rFonts w:hint="eastAsia" w:ascii="宋体" w:hAnsi="宋体" w:cs="宋体"/>
                <w:kern w:val="0"/>
                <w:sz w:val="22"/>
                <w:szCs w:val="22"/>
              </w:rPr>
              <w:t>启明星辰、 东软、 华为</w:t>
            </w:r>
          </w:p>
        </w:tc>
        <w:tc>
          <w:tcPr>
            <w:tcW w:w="330" w:type="pct"/>
            <w:tcBorders>
              <w:top w:val="nil"/>
              <w:left w:val="nil"/>
              <w:bottom w:val="single" w:color="auto" w:sz="4" w:space="0"/>
              <w:right w:val="single" w:color="auto" w:sz="4" w:space="0"/>
            </w:tcBorders>
            <w:shd w:val="clear" w:color="000000" w:fill="FFFFFF"/>
            <w:vAlign w:val="center"/>
          </w:tcPr>
          <w:p w14:paraId="2413723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4C24B44B">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1A2C994B">
            <w:pPr>
              <w:widowControl/>
              <w:jc w:val="left"/>
              <w:rPr>
                <w:rFonts w:ascii="宋体" w:hAnsi="宋体" w:cs="宋体"/>
                <w:kern w:val="0"/>
                <w:sz w:val="22"/>
                <w:szCs w:val="22"/>
              </w:rPr>
            </w:pPr>
            <w:r>
              <w:rPr>
                <w:rFonts w:hint="eastAsia" w:ascii="宋体" w:hAnsi="宋体" w:cs="宋体"/>
                <w:kern w:val="0"/>
                <w:sz w:val="22"/>
                <w:szCs w:val="22"/>
              </w:rPr>
              <w:t>　</w:t>
            </w:r>
          </w:p>
        </w:tc>
      </w:tr>
      <w:tr w14:paraId="588681D9">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AA67996">
            <w:pPr>
              <w:widowControl/>
              <w:jc w:val="center"/>
              <w:rPr>
                <w:rFonts w:ascii="宋体" w:hAnsi="宋体" w:cs="宋体"/>
                <w:b/>
                <w:bCs/>
                <w:kern w:val="0"/>
                <w:sz w:val="22"/>
                <w:szCs w:val="22"/>
              </w:rPr>
            </w:pPr>
            <w:r>
              <w:rPr>
                <w:rFonts w:hint="eastAsia" w:ascii="宋体" w:hAnsi="宋体" w:cs="宋体"/>
                <w:b/>
                <w:bCs/>
                <w:kern w:val="0"/>
                <w:sz w:val="22"/>
                <w:szCs w:val="22"/>
              </w:rPr>
              <w:t>82</w:t>
            </w:r>
          </w:p>
        </w:tc>
        <w:tc>
          <w:tcPr>
            <w:tcW w:w="849" w:type="pct"/>
            <w:tcBorders>
              <w:top w:val="nil"/>
              <w:left w:val="nil"/>
              <w:bottom w:val="single" w:color="auto" w:sz="4" w:space="0"/>
              <w:right w:val="single" w:color="auto" w:sz="4" w:space="0"/>
            </w:tcBorders>
            <w:shd w:val="clear" w:color="000000" w:fill="FFFFFF"/>
            <w:vAlign w:val="center"/>
          </w:tcPr>
          <w:p w14:paraId="0E8F2602">
            <w:pPr>
              <w:widowControl/>
              <w:jc w:val="left"/>
              <w:rPr>
                <w:rFonts w:ascii="宋体" w:hAnsi="宋体" w:cs="宋体"/>
                <w:kern w:val="0"/>
                <w:sz w:val="22"/>
                <w:szCs w:val="22"/>
              </w:rPr>
            </w:pPr>
            <w:r>
              <w:rPr>
                <w:rFonts w:hint="eastAsia" w:ascii="宋体" w:hAnsi="宋体" w:cs="宋体"/>
                <w:kern w:val="0"/>
                <w:sz w:val="22"/>
                <w:szCs w:val="22"/>
              </w:rPr>
              <w:t>服务器</w:t>
            </w:r>
          </w:p>
        </w:tc>
        <w:tc>
          <w:tcPr>
            <w:tcW w:w="2219" w:type="pct"/>
            <w:tcBorders>
              <w:top w:val="nil"/>
              <w:left w:val="nil"/>
              <w:bottom w:val="single" w:color="auto" w:sz="4" w:space="0"/>
              <w:right w:val="single" w:color="auto" w:sz="4" w:space="0"/>
            </w:tcBorders>
            <w:shd w:val="clear" w:color="000000" w:fill="FFFFFF"/>
            <w:vAlign w:val="center"/>
          </w:tcPr>
          <w:p w14:paraId="4E42F3A3">
            <w:pPr>
              <w:widowControl/>
              <w:jc w:val="left"/>
              <w:rPr>
                <w:rFonts w:ascii="宋体" w:hAnsi="宋体" w:cs="宋体"/>
                <w:kern w:val="0"/>
                <w:sz w:val="22"/>
                <w:szCs w:val="22"/>
              </w:rPr>
            </w:pPr>
            <w:r>
              <w:rPr>
                <w:rFonts w:hint="eastAsia" w:ascii="宋体" w:hAnsi="宋体" w:cs="宋体"/>
                <w:kern w:val="0"/>
                <w:sz w:val="22"/>
                <w:szCs w:val="22"/>
              </w:rPr>
              <w:t xml:space="preserve">E7-4809*2   16G*8   2.5寸10000转300G SAS*2   8Gb双端口HBA卡*1，2+1电源，3008卡+KEY </w:t>
            </w:r>
          </w:p>
        </w:tc>
        <w:tc>
          <w:tcPr>
            <w:tcW w:w="344" w:type="pct"/>
            <w:tcBorders>
              <w:top w:val="nil"/>
              <w:left w:val="nil"/>
              <w:bottom w:val="single" w:color="auto" w:sz="4" w:space="0"/>
              <w:right w:val="single" w:color="auto" w:sz="4" w:space="0"/>
            </w:tcBorders>
            <w:shd w:val="clear" w:color="000000" w:fill="FFFFFF"/>
            <w:vAlign w:val="center"/>
          </w:tcPr>
          <w:p w14:paraId="7176FD7D">
            <w:pPr>
              <w:widowControl/>
              <w:jc w:val="center"/>
              <w:rPr>
                <w:rFonts w:ascii="宋体" w:hAnsi="宋体" w:cs="宋体"/>
                <w:kern w:val="0"/>
                <w:sz w:val="22"/>
                <w:szCs w:val="22"/>
              </w:rPr>
            </w:pPr>
            <w:r>
              <w:rPr>
                <w:rFonts w:hint="eastAsia" w:ascii="宋体" w:hAnsi="宋体" w:cs="宋体"/>
                <w:kern w:val="0"/>
                <w:sz w:val="22"/>
                <w:szCs w:val="22"/>
              </w:rPr>
              <w:t>浪潮</w:t>
            </w:r>
          </w:p>
        </w:tc>
        <w:tc>
          <w:tcPr>
            <w:tcW w:w="330" w:type="pct"/>
            <w:tcBorders>
              <w:top w:val="nil"/>
              <w:left w:val="nil"/>
              <w:bottom w:val="single" w:color="auto" w:sz="4" w:space="0"/>
              <w:right w:val="single" w:color="auto" w:sz="4" w:space="0"/>
            </w:tcBorders>
            <w:shd w:val="clear" w:color="000000" w:fill="FFFFFF"/>
            <w:vAlign w:val="center"/>
          </w:tcPr>
          <w:p w14:paraId="0B982FC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7C37981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vAlign w:val="center"/>
          </w:tcPr>
          <w:p w14:paraId="05C037C2">
            <w:pPr>
              <w:widowControl/>
              <w:jc w:val="left"/>
              <w:rPr>
                <w:rFonts w:ascii="宋体" w:hAnsi="宋体" w:cs="宋体"/>
                <w:kern w:val="0"/>
                <w:sz w:val="22"/>
                <w:szCs w:val="22"/>
              </w:rPr>
            </w:pPr>
            <w:r>
              <w:rPr>
                <w:rFonts w:hint="eastAsia" w:ascii="宋体" w:hAnsi="宋体" w:cs="宋体"/>
                <w:kern w:val="0"/>
                <w:sz w:val="22"/>
                <w:szCs w:val="22"/>
              </w:rPr>
              <w:t>　</w:t>
            </w:r>
          </w:p>
        </w:tc>
      </w:tr>
      <w:tr w14:paraId="78060040">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6988A1F">
            <w:pPr>
              <w:widowControl/>
              <w:jc w:val="center"/>
              <w:rPr>
                <w:rFonts w:ascii="宋体" w:hAnsi="宋体" w:cs="宋体"/>
                <w:b/>
                <w:bCs/>
                <w:kern w:val="0"/>
                <w:sz w:val="22"/>
                <w:szCs w:val="22"/>
              </w:rPr>
            </w:pPr>
            <w:r>
              <w:rPr>
                <w:rFonts w:hint="eastAsia" w:ascii="宋体" w:hAnsi="宋体" w:cs="宋体"/>
                <w:b/>
                <w:bCs/>
                <w:kern w:val="0"/>
                <w:sz w:val="22"/>
                <w:szCs w:val="22"/>
              </w:rPr>
              <w:t>83</w:t>
            </w:r>
          </w:p>
        </w:tc>
        <w:tc>
          <w:tcPr>
            <w:tcW w:w="849" w:type="pct"/>
            <w:tcBorders>
              <w:top w:val="nil"/>
              <w:left w:val="nil"/>
              <w:bottom w:val="single" w:color="auto" w:sz="4" w:space="0"/>
              <w:right w:val="single" w:color="auto" w:sz="4" w:space="0"/>
            </w:tcBorders>
            <w:shd w:val="clear" w:color="000000" w:fill="FFFFFF"/>
            <w:vAlign w:val="center"/>
          </w:tcPr>
          <w:p w14:paraId="7996C4B5">
            <w:pPr>
              <w:widowControl/>
              <w:jc w:val="left"/>
              <w:rPr>
                <w:rFonts w:ascii="宋体" w:hAnsi="宋体" w:cs="宋体"/>
                <w:kern w:val="0"/>
                <w:sz w:val="22"/>
                <w:szCs w:val="22"/>
              </w:rPr>
            </w:pPr>
            <w:r>
              <w:rPr>
                <w:rFonts w:hint="eastAsia" w:ascii="宋体" w:hAnsi="宋体" w:cs="宋体"/>
                <w:kern w:val="0"/>
                <w:sz w:val="22"/>
                <w:szCs w:val="22"/>
              </w:rPr>
              <w:t>存储服务器</w:t>
            </w:r>
          </w:p>
        </w:tc>
        <w:tc>
          <w:tcPr>
            <w:tcW w:w="2219" w:type="pct"/>
            <w:tcBorders>
              <w:top w:val="nil"/>
              <w:left w:val="nil"/>
              <w:bottom w:val="single" w:color="auto" w:sz="4" w:space="0"/>
              <w:right w:val="single" w:color="auto" w:sz="4" w:space="0"/>
            </w:tcBorders>
            <w:shd w:val="clear" w:color="000000" w:fill="FFFFFF"/>
            <w:vAlign w:val="center"/>
          </w:tcPr>
          <w:p w14:paraId="1BA69F13">
            <w:pPr>
              <w:widowControl/>
              <w:jc w:val="left"/>
              <w:rPr>
                <w:rFonts w:ascii="宋体" w:hAnsi="宋体" w:cs="宋体"/>
                <w:kern w:val="0"/>
                <w:sz w:val="22"/>
                <w:szCs w:val="22"/>
              </w:rPr>
            </w:pPr>
            <w:r>
              <w:rPr>
                <w:rFonts w:hint="eastAsia" w:ascii="宋体" w:hAnsi="宋体" w:cs="宋体"/>
                <w:kern w:val="0"/>
                <w:sz w:val="22"/>
                <w:szCs w:val="22"/>
              </w:rPr>
              <w:t>标配2个控制器，标配超级电容+Flash，标配多路径、快照、卷复制、自精简功能；</w:t>
            </w:r>
            <w:r>
              <w:rPr>
                <w:rFonts w:hint="eastAsia" w:ascii="宋体" w:hAnsi="宋体" w:cs="宋体"/>
                <w:kern w:val="0"/>
                <w:sz w:val="22"/>
                <w:szCs w:val="22"/>
              </w:rPr>
              <w:br w:type="textWrapping"/>
            </w:r>
            <w:r>
              <w:rPr>
                <w:rFonts w:hint="eastAsia" w:ascii="宋体" w:hAnsi="宋体" w:cs="宋体"/>
                <w:kern w:val="0"/>
                <w:sz w:val="22"/>
                <w:szCs w:val="22"/>
              </w:rPr>
              <w:t>（双控）标配4个1Gb iSCSI主机接口，可扩展FC、万兆主机接口；</w:t>
            </w:r>
            <w:r>
              <w:rPr>
                <w:rFonts w:hint="eastAsia" w:ascii="宋体" w:hAnsi="宋体" w:cs="宋体"/>
                <w:kern w:val="0"/>
                <w:sz w:val="22"/>
                <w:szCs w:val="22"/>
              </w:rPr>
              <w:br w:type="textWrapping"/>
            </w:r>
            <w:r>
              <w:rPr>
                <w:rFonts w:hint="eastAsia" w:ascii="宋体" w:hAnsi="宋体" w:cs="宋体"/>
                <w:kern w:val="0"/>
                <w:sz w:val="22"/>
                <w:szCs w:val="22"/>
              </w:rPr>
              <w:t>（双控）标配32GB缓存；1.2TB，10000转，SAS盘，2.5寸*6</w:t>
            </w:r>
          </w:p>
        </w:tc>
        <w:tc>
          <w:tcPr>
            <w:tcW w:w="344" w:type="pct"/>
            <w:tcBorders>
              <w:top w:val="nil"/>
              <w:left w:val="nil"/>
              <w:bottom w:val="single" w:color="auto" w:sz="4" w:space="0"/>
              <w:right w:val="single" w:color="auto" w:sz="4" w:space="0"/>
            </w:tcBorders>
            <w:shd w:val="clear" w:color="000000" w:fill="FFFFFF"/>
            <w:vAlign w:val="center"/>
          </w:tcPr>
          <w:p w14:paraId="57E774A5">
            <w:pPr>
              <w:widowControl/>
              <w:jc w:val="center"/>
              <w:rPr>
                <w:rFonts w:ascii="宋体" w:hAnsi="宋体" w:cs="宋体"/>
                <w:kern w:val="0"/>
                <w:sz w:val="22"/>
                <w:szCs w:val="22"/>
              </w:rPr>
            </w:pPr>
            <w:r>
              <w:rPr>
                <w:rFonts w:hint="eastAsia" w:ascii="宋体" w:hAnsi="宋体" w:cs="宋体"/>
                <w:kern w:val="0"/>
                <w:sz w:val="22"/>
                <w:szCs w:val="22"/>
              </w:rPr>
              <w:t>浪潮</w:t>
            </w:r>
          </w:p>
        </w:tc>
        <w:tc>
          <w:tcPr>
            <w:tcW w:w="330" w:type="pct"/>
            <w:tcBorders>
              <w:top w:val="nil"/>
              <w:left w:val="nil"/>
              <w:bottom w:val="single" w:color="auto" w:sz="4" w:space="0"/>
              <w:right w:val="single" w:color="auto" w:sz="4" w:space="0"/>
            </w:tcBorders>
            <w:shd w:val="clear" w:color="000000" w:fill="FFFFFF"/>
            <w:vAlign w:val="center"/>
          </w:tcPr>
          <w:p w14:paraId="19E123E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46F8361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vAlign w:val="center"/>
          </w:tcPr>
          <w:p w14:paraId="21058E6B">
            <w:pPr>
              <w:widowControl/>
              <w:jc w:val="left"/>
              <w:rPr>
                <w:rFonts w:ascii="宋体" w:hAnsi="宋体" w:cs="宋体"/>
                <w:kern w:val="0"/>
                <w:sz w:val="22"/>
                <w:szCs w:val="22"/>
              </w:rPr>
            </w:pPr>
            <w:r>
              <w:rPr>
                <w:rFonts w:hint="eastAsia" w:ascii="宋体" w:hAnsi="宋体" w:cs="宋体"/>
                <w:kern w:val="0"/>
                <w:sz w:val="22"/>
                <w:szCs w:val="22"/>
              </w:rPr>
              <w:t>　</w:t>
            </w:r>
          </w:p>
        </w:tc>
      </w:tr>
      <w:tr w14:paraId="7BD0EEBE">
        <w:tblPrEx>
          <w:tblCellMar>
            <w:top w:w="0" w:type="dxa"/>
            <w:left w:w="108" w:type="dxa"/>
            <w:bottom w:w="0" w:type="dxa"/>
            <w:right w:w="108" w:type="dxa"/>
          </w:tblCellMar>
        </w:tblPrEx>
        <w:trPr>
          <w:trHeight w:val="570" w:hRule="atLeast"/>
        </w:trPr>
        <w:tc>
          <w:tcPr>
            <w:tcW w:w="4538"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48D58B27">
            <w:pPr>
              <w:widowControl/>
              <w:jc w:val="left"/>
              <w:rPr>
                <w:rFonts w:ascii="宋体" w:hAnsi="宋体" w:cs="宋体"/>
                <w:b/>
                <w:bCs/>
                <w:kern w:val="0"/>
                <w:sz w:val="22"/>
                <w:szCs w:val="22"/>
              </w:rPr>
            </w:pPr>
            <w:r>
              <w:rPr>
                <w:rFonts w:hint="eastAsia" w:ascii="宋体" w:hAnsi="宋体" w:cs="宋体"/>
                <w:b/>
                <w:bCs/>
                <w:kern w:val="0"/>
                <w:sz w:val="22"/>
                <w:szCs w:val="22"/>
              </w:rPr>
              <w:t>视频会议系统分会场</w:t>
            </w:r>
          </w:p>
        </w:tc>
        <w:tc>
          <w:tcPr>
            <w:tcW w:w="462" w:type="pct"/>
            <w:tcBorders>
              <w:top w:val="nil"/>
              <w:left w:val="nil"/>
              <w:bottom w:val="single" w:color="auto" w:sz="4" w:space="0"/>
              <w:right w:val="single" w:color="auto" w:sz="4" w:space="0"/>
            </w:tcBorders>
            <w:shd w:val="clear" w:color="000000" w:fill="FFFFFF"/>
            <w:vAlign w:val="center"/>
          </w:tcPr>
          <w:p w14:paraId="365AF857">
            <w:pPr>
              <w:widowControl/>
              <w:jc w:val="left"/>
              <w:rPr>
                <w:rFonts w:ascii="宋体" w:hAnsi="宋体" w:cs="宋体"/>
                <w:kern w:val="0"/>
                <w:sz w:val="22"/>
                <w:szCs w:val="22"/>
              </w:rPr>
            </w:pPr>
            <w:r>
              <w:rPr>
                <w:rFonts w:hint="eastAsia" w:ascii="宋体" w:hAnsi="宋体" w:cs="宋体"/>
                <w:kern w:val="0"/>
                <w:sz w:val="22"/>
                <w:szCs w:val="22"/>
              </w:rPr>
              <w:t>　</w:t>
            </w:r>
          </w:p>
        </w:tc>
      </w:tr>
      <w:tr w14:paraId="19C29FF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40CEEBC">
            <w:pPr>
              <w:widowControl/>
              <w:jc w:val="center"/>
              <w:rPr>
                <w:rFonts w:ascii="宋体" w:hAnsi="宋体" w:cs="宋体"/>
                <w:b/>
                <w:bCs/>
                <w:kern w:val="0"/>
                <w:sz w:val="22"/>
                <w:szCs w:val="22"/>
              </w:rPr>
            </w:pPr>
            <w:r>
              <w:rPr>
                <w:rFonts w:hint="eastAsia" w:ascii="宋体" w:hAnsi="宋体" w:cs="宋体"/>
                <w:b/>
                <w:bCs/>
                <w:kern w:val="0"/>
                <w:sz w:val="22"/>
                <w:szCs w:val="22"/>
              </w:rPr>
              <w:t>84</w:t>
            </w:r>
          </w:p>
        </w:tc>
        <w:tc>
          <w:tcPr>
            <w:tcW w:w="849" w:type="pct"/>
            <w:tcBorders>
              <w:top w:val="nil"/>
              <w:left w:val="nil"/>
              <w:bottom w:val="single" w:color="auto" w:sz="4" w:space="0"/>
              <w:right w:val="single" w:color="auto" w:sz="4" w:space="0"/>
            </w:tcBorders>
            <w:shd w:val="clear" w:color="000000" w:fill="FFFFFF"/>
            <w:vAlign w:val="center"/>
          </w:tcPr>
          <w:p w14:paraId="433AA26B">
            <w:pPr>
              <w:widowControl/>
              <w:jc w:val="left"/>
              <w:rPr>
                <w:rFonts w:ascii="宋体" w:hAnsi="宋体" w:cs="宋体"/>
                <w:kern w:val="0"/>
                <w:sz w:val="22"/>
                <w:szCs w:val="22"/>
              </w:rPr>
            </w:pPr>
            <w:r>
              <w:rPr>
                <w:rFonts w:hint="eastAsia" w:ascii="宋体" w:hAnsi="宋体" w:cs="宋体"/>
                <w:kern w:val="0"/>
                <w:sz w:val="22"/>
                <w:szCs w:val="22"/>
              </w:rPr>
              <w:t>投影仪</w:t>
            </w:r>
          </w:p>
        </w:tc>
        <w:tc>
          <w:tcPr>
            <w:tcW w:w="2219" w:type="pct"/>
            <w:tcBorders>
              <w:top w:val="nil"/>
              <w:left w:val="nil"/>
              <w:bottom w:val="single" w:color="auto" w:sz="4" w:space="0"/>
              <w:right w:val="single" w:color="auto" w:sz="4" w:space="0"/>
            </w:tcBorders>
            <w:shd w:val="clear" w:color="000000" w:fill="FFFFFF"/>
            <w:vAlign w:val="center"/>
          </w:tcPr>
          <w:p w14:paraId="79C0AD7B">
            <w:pPr>
              <w:widowControl/>
              <w:jc w:val="left"/>
              <w:rPr>
                <w:rFonts w:ascii="宋体" w:hAnsi="宋体" w:cs="宋体"/>
                <w:kern w:val="0"/>
                <w:sz w:val="22"/>
                <w:szCs w:val="22"/>
              </w:rPr>
            </w:pPr>
            <w:r>
              <w:rPr>
                <w:rFonts w:hint="eastAsia" w:ascii="宋体" w:hAnsi="宋体" w:cs="宋体"/>
                <w:kern w:val="0"/>
                <w:sz w:val="22"/>
                <w:szCs w:val="22"/>
              </w:rPr>
              <w:t>亮度≥3800流明；分辨率≥1024*768;对比度≥10000:1 ；接口要求：HDMI</w:t>
            </w:r>
          </w:p>
        </w:tc>
        <w:tc>
          <w:tcPr>
            <w:tcW w:w="344" w:type="pct"/>
            <w:tcBorders>
              <w:top w:val="nil"/>
              <w:left w:val="nil"/>
              <w:bottom w:val="single" w:color="auto" w:sz="4" w:space="0"/>
              <w:right w:val="single" w:color="auto" w:sz="4" w:space="0"/>
            </w:tcBorders>
            <w:shd w:val="clear" w:color="000000" w:fill="FFFFFF"/>
            <w:vAlign w:val="center"/>
          </w:tcPr>
          <w:p w14:paraId="02D92B0E">
            <w:pPr>
              <w:widowControl/>
              <w:jc w:val="center"/>
              <w:rPr>
                <w:rFonts w:ascii="宋体" w:hAnsi="宋体" w:cs="宋体"/>
                <w:kern w:val="0"/>
                <w:sz w:val="22"/>
                <w:szCs w:val="22"/>
              </w:rPr>
            </w:pPr>
            <w:r>
              <w:rPr>
                <w:rFonts w:hint="eastAsia" w:ascii="宋体" w:hAnsi="宋体" w:cs="宋体"/>
                <w:kern w:val="0"/>
                <w:sz w:val="22"/>
                <w:szCs w:val="22"/>
              </w:rPr>
              <w:t>3M  ASK  ACTO</w:t>
            </w:r>
          </w:p>
        </w:tc>
        <w:tc>
          <w:tcPr>
            <w:tcW w:w="330" w:type="pct"/>
            <w:tcBorders>
              <w:top w:val="nil"/>
              <w:left w:val="nil"/>
              <w:bottom w:val="single" w:color="auto" w:sz="4" w:space="0"/>
              <w:right w:val="single" w:color="auto" w:sz="4" w:space="0"/>
            </w:tcBorders>
            <w:shd w:val="clear" w:color="000000" w:fill="FFFFFF"/>
            <w:vAlign w:val="center"/>
          </w:tcPr>
          <w:p w14:paraId="1A424C7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3934D7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386B023C">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362BE08F">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702B10C">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49" w:type="pct"/>
            <w:tcBorders>
              <w:top w:val="nil"/>
              <w:left w:val="nil"/>
              <w:bottom w:val="single" w:color="auto" w:sz="4" w:space="0"/>
              <w:right w:val="single" w:color="auto" w:sz="4" w:space="0"/>
            </w:tcBorders>
            <w:shd w:val="clear" w:color="000000" w:fill="FFFFFF"/>
            <w:vAlign w:val="center"/>
          </w:tcPr>
          <w:p w14:paraId="0A8AE6E8">
            <w:pPr>
              <w:widowControl/>
              <w:jc w:val="left"/>
              <w:rPr>
                <w:rFonts w:ascii="宋体" w:hAnsi="宋体" w:cs="宋体"/>
                <w:kern w:val="0"/>
                <w:sz w:val="22"/>
                <w:szCs w:val="22"/>
              </w:rPr>
            </w:pPr>
            <w:r>
              <w:rPr>
                <w:rFonts w:hint="eastAsia" w:ascii="宋体" w:hAnsi="宋体" w:cs="宋体"/>
                <w:kern w:val="0"/>
                <w:sz w:val="22"/>
                <w:szCs w:val="22"/>
              </w:rPr>
              <w:t>吊架</w:t>
            </w:r>
          </w:p>
        </w:tc>
        <w:tc>
          <w:tcPr>
            <w:tcW w:w="2219" w:type="pct"/>
            <w:tcBorders>
              <w:top w:val="nil"/>
              <w:left w:val="nil"/>
              <w:bottom w:val="single" w:color="auto" w:sz="4" w:space="0"/>
              <w:right w:val="single" w:color="auto" w:sz="4" w:space="0"/>
            </w:tcBorders>
            <w:shd w:val="clear" w:color="000000" w:fill="FFFFFF"/>
            <w:vAlign w:val="center"/>
          </w:tcPr>
          <w:p w14:paraId="23BA6B62">
            <w:pPr>
              <w:widowControl/>
              <w:jc w:val="left"/>
              <w:rPr>
                <w:rFonts w:ascii="宋体" w:hAnsi="宋体" w:cs="宋体"/>
                <w:kern w:val="0"/>
                <w:sz w:val="22"/>
                <w:szCs w:val="22"/>
              </w:rPr>
            </w:pPr>
            <w:r>
              <w:rPr>
                <w:rFonts w:hint="eastAsia" w:ascii="宋体" w:hAnsi="宋体" w:cs="宋体"/>
                <w:kern w:val="0"/>
                <w:sz w:val="22"/>
                <w:szCs w:val="22"/>
              </w:rPr>
              <w:t>3米可调节吊架</w:t>
            </w:r>
          </w:p>
        </w:tc>
        <w:tc>
          <w:tcPr>
            <w:tcW w:w="344" w:type="pct"/>
            <w:tcBorders>
              <w:top w:val="nil"/>
              <w:left w:val="nil"/>
              <w:bottom w:val="single" w:color="auto" w:sz="4" w:space="0"/>
              <w:right w:val="single" w:color="auto" w:sz="4" w:space="0"/>
            </w:tcBorders>
            <w:shd w:val="clear" w:color="000000" w:fill="FFFFFF"/>
            <w:vAlign w:val="center"/>
          </w:tcPr>
          <w:p w14:paraId="2D283304">
            <w:pPr>
              <w:widowControl/>
              <w:jc w:val="center"/>
              <w:rPr>
                <w:rFonts w:ascii="宋体" w:hAnsi="宋体" w:cs="宋体"/>
                <w:kern w:val="0"/>
                <w:sz w:val="22"/>
                <w:szCs w:val="22"/>
              </w:rPr>
            </w:pPr>
            <w:r>
              <w:rPr>
                <w:rFonts w:hint="eastAsia" w:ascii="宋体" w:hAnsi="宋体" w:cs="宋体"/>
                <w:kern w:val="0"/>
                <w:sz w:val="22"/>
                <w:szCs w:val="22"/>
              </w:rPr>
              <w:t>国产</w:t>
            </w:r>
          </w:p>
        </w:tc>
        <w:tc>
          <w:tcPr>
            <w:tcW w:w="330" w:type="pct"/>
            <w:tcBorders>
              <w:top w:val="nil"/>
              <w:left w:val="nil"/>
              <w:bottom w:val="single" w:color="auto" w:sz="4" w:space="0"/>
              <w:right w:val="single" w:color="auto" w:sz="4" w:space="0"/>
            </w:tcBorders>
            <w:shd w:val="clear" w:color="000000" w:fill="FFFFFF"/>
            <w:vAlign w:val="center"/>
          </w:tcPr>
          <w:p w14:paraId="72A7B09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565020C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4CC40985">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23598B2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2A59259">
            <w:pPr>
              <w:widowControl/>
              <w:jc w:val="center"/>
              <w:rPr>
                <w:rFonts w:ascii="宋体" w:hAnsi="宋体" w:cs="宋体"/>
                <w:b/>
                <w:bCs/>
                <w:kern w:val="0"/>
                <w:sz w:val="22"/>
                <w:szCs w:val="22"/>
              </w:rPr>
            </w:pPr>
            <w:r>
              <w:rPr>
                <w:rFonts w:hint="eastAsia" w:ascii="宋体" w:hAnsi="宋体" w:cs="宋体"/>
                <w:b/>
                <w:bCs/>
                <w:kern w:val="0"/>
                <w:sz w:val="22"/>
                <w:szCs w:val="22"/>
              </w:rPr>
              <w:t>86</w:t>
            </w:r>
          </w:p>
        </w:tc>
        <w:tc>
          <w:tcPr>
            <w:tcW w:w="849" w:type="pct"/>
            <w:tcBorders>
              <w:top w:val="nil"/>
              <w:left w:val="nil"/>
              <w:bottom w:val="single" w:color="auto" w:sz="4" w:space="0"/>
              <w:right w:val="single" w:color="auto" w:sz="4" w:space="0"/>
            </w:tcBorders>
            <w:shd w:val="clear" w:color="000000" w:fill="FFFFFF"/>
            <w:vAlign w:val="center"/>
          </w:tcPr>
          <w:p w14:paraId="112C1A08">
            <w:pPr>
              <w:widowControl/>
              <w:jc w:val="left"/>
              <w:rPr>
                <w:rFonts w:ascii="宋体" w:hAnsi="宋体" w:cs="宋体"/>
                <w:kern w:val="0"/>
                <w:sz w:val="22"/>
                <w:szCs w:val="22"/>
              </w:rPr>
            </w:pPr>
            <w:r>
              <w:rPr>
                <w:rFonts w:hint="eastAsia" w:ascii="宋体" w:hAnsi="宋体" w:cs="宋体"/>
                <w:kern w:val="0"/>
                <w:sz w:val="22"/>
                <w:szCs w:val="22"/>
              </w:rPr>
              <w:t>投影幕</w:t>
            </w:r>
          </w:p>
        </w:tc>
        <w:tc>
          <w:tcPr>
            <w:tcW w:w="2219" w:type="pct"/>
            <w:tcBorders>
              <w:top w:val="nil"/>
              <w:left w:val="nil"/>
              <w:bottom w:val="single" w:color="auto" w:sz="4" w:space="0"/>
              <w:right w:val="single" w:color="auto" w:sz="4" w:space="0"/>
            </w:tcBorders>
            <w:shd w:val="clear" w:color="000000" w:fill="FFFFFF"/>
            <w:vAlign w:val="center"/>
          </w:tcPr>
          <w:p w14:paraId="2BC4C864">
            <w:pPr>
              <w:widowControl/>
              <w:jc w:val="left"/>
              <w:rPr>
                <w:rFonts w:ascii="宋体" w:hAnsi="宋体" w:cs="宋体"/>
                <w:kern w:val="0"/>
                <w:sz w:val="22"/>
                <w:szCs w:val="22"/>
              </w:rPr>
            </w:pPr>
            <w:r>
              <w:rPr>
                <w:rFonts w:hint="eastAsia" w:ascii="宋体" w:hAnsi="宋体" w:cs="宋体"/>
                <w:kern w:val="0"/>
                <w:sz w:val="22"/>
                <w:szCs w:val="22"/>
              </w:rPr>
              <w:t>100寸</w:t>
            </w:r>
          </w:p>
        </w:tc>
        <w:tc>
          <w:tcPr>
            <w:tcW w:w="344" w:type="pct"/>
            <w:tcBorders>
              <w:top w:val="nil"/>
              <w:left w:val="nil"/>
              <w:bottom w:val="single" w:color="auto" w:sz="4" w:space="0"/>
              <w:right w:val="single" w:color="auto" w:sz="4" w:space="0"/>
            </w:tcBorders>
            <w:shd w:val="clear" w:color="000000" w:fill="FFFFFF"/>
            <w:vAlign w:val="center"/>
          </w:tcPr>
          <w:p w14:paraId="06779CA8">
            <w:pPr>
              <w:widowControl/>
              <w:jc w:val="center"/>
              <w:rPr>
                <w:rFonts w:ascii="宋体" w:hAnsi="宋体" w:cs="宋体"/>
                <w:kern w:val="0"/>
                <w:sz w:val="22"/>
                <w:szCs w:val="22"/>
              </w:rPr>
            </w:pPr>
            <w:r>
              <w:rPr>
                <w:rFonts w:hint="eastAsia" w:ascii="宋体" w:hAnsi="宋体" w:cs="宋体"/>
                <w:kern w:val="0"/>
                <w:sz w:val="22"/>
                <w:szCs w:val="22"/>
              </w:rPr>
              <w:t>红叶</w:t>
            </w:r>
          </w:p>
        </w:tc>
        <w:tc>
          <w:tcPr>
            <w:tcW w:w="330" w:type="pct"/>
            <w:tcBorders>
              <w:top w:val="nil"/>
              <w:left w:val="nil"/>
              <w:bottom w:val="single" w:color="auto" w:sz="4" w:space="0"/>
              <w:right w:val="single" w:color="auto" w:sz="4" w:space="0"/>
            </w:tcBorders>
            <w:shd w:val="clear" w:color="000000" w:fill="FFFFFF"/>
            <w:vAlign w:val="center"/>
          </w:tcPr>
          <w:p w14:paraId="0EA4807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块</w:t>
            </w:r>
          </w:p>
        </w:tc>
        <w:tc>
          <w:tcPr>
            <w:tcW w:w="355" w:type="pct"/>
            <w:tcBorders>
              <w:top w:val="nil"/>
              <w:left w:val="nil"/>
              <w:bottom w:val="single" w:color="auto" w:sz="4" w:space="0"/>
              <w:right w:val="single" w:color="auto" w:sz="4" w:space="0"/>
            </w:tcBorders>
            <w:shd w:val="clear" w:color="000000" w:fill="FFFFFF"/>
            <w:vAlign w:val="center"/>
          </w:tcPr>
          <w:p w14:paraId="766D192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1AC6C597">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5301E60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DAC086E">
            <w:pPr>
              <w:widowControl/>
              <w:jc w:val="center"/>
              <w:rPr>
                <w:rFonts w:ascii="宋体" w:hAnsi="宋体" w:cs="宋体"/>
                <w:b/>
                <w:bCs/>
                <w:kern w:val="0"/>
                <w:sz w:val="22"/>
                <w:szCs w:val="22"/>
              </w:rPr>
            </w:pPr>
            <w:r>
              <w:rPr>
                <w:rFonts w:hint="eastAsia" w:ascii="宋体" w:hAnsi="宋体" w:cs="宋体"/>
                <w:b/>
                <w:bCs/>
                <w:kern w:val="0"/>
                <w:sz w:val="22"/>
                <w:szCs w:val="22"/>
              </w:rPr>
              <w:t>87</w:t>
            </w:r>
          </w:p>
        </w:tc>
        <w:tc>
          <w:tcPr>
            <w:tcW w:w="849" w:type="pct"/>
            <w:tcBorders>
              <w:top w:val="nil"/>
              <w:left w:val="nil"/>
              <w:bottom w:val="single" w:color="auto" w:sz="4" w:space="0"/>
              <w:right w:val="single" w:color="auto" w:sz="4" w:space="0"/>
            </w:tcBorders>
            <w:shd w:val="clear" w:color="000000" w:fill="FFFFFF"/>
            <w:vAlign w:val="center"/>
          </w:tcPr>
          <w:p w14:paraId="50135728">
            <w:pPr>
              <w:widowControl/>
              <w:jc w:val="left"/>
              <w:rPr>
                <w:rFonts w:ascii="宋体" w:hAnsi="宋体" w:cs="宋体"/>
                <w:kern w:val="0"/>
                <w:sz w:val="22"/>
                <w:szCs w:val="22"/>
              </w:rPr>
            </w:pPr>
            <w:r>
              <w:rPr>
                <w:rFonts w:hint="eastAsia" w:ascii="宋体" w:hAnsi="宋体" w:cs="宋体"/>
                <w:kern w:val="0"/>
                <w:sz w:val="22"/>
                <w:szCs w:val="22"/>
              </w:rPr>
              <w:t>显示屏</w:t>
            </w:r>
          </w:p>
        </w:tc>
        <w:tc>
          <w:tcPr>
            <w:tcW w:w="2219" w:type="pct"/>
            <w:tcBorders>
              <w:top w:val="nil"/>
              <w:left w:val="nil"/>
              <w:bottom w:val="single" w:color="auto" w:sz="4" w:space="0"/>
              <w:right w:val="single" w:color="auto" w:sz="4" w:space="0"/>
            </w:tcBorders>
            <w:shd w:val="clear" w:color="000000" w:fill="FFFFFF"/>
            <w:vAlign w:val="center"/>
          </w:tcPr>
          <w:p w14:paraId="767EB5CB">
            <w:pPr>
              <w:widowControl/>
              <w:jc w:val="left"/>
              <w:rPr>
                <w:rFonts w:ascii="宋体" w:hAnsi="宋体" w:cs="宋体"/>
                <w:kern w:val="0"/>
                <w:sz w:val="22"/>
                <w:szCs w:val="22"/>
              </w:rPr>
            </w:pPr>
            <w:r>
              <w:rPr>
                <w:rFonts w:hint="eastAsia" w:ascii="宋体" w:hAnsi="宋体" w:cs="宋体"/>
                <w:kern w:val="0"/>
                <w:sz w:val="22"/>
                <w:szCs w:val="22"/>
              </w:rPr>
              <w:t>屏幕尺寸 55英寸 全高清（1920x1080）600-1000流明 16:9</w:t>
            </w:r>
          </w:p>
        </w:tc>
        <w:tc>
          <w:tcPr>
            <w:tcW w:w="344" w:type="pct"/>
            <w:tcBorders>
              <w:top w:val="nil"/>
              <w:left w:val="nil"/>
              <w:bottom w:val="single" w:color="auto" w:sz="4" w:space="0"/>
              <w:right w:val="single" w:color="auto" w:sz="4" w:space="0"/>
            </w:tcBorders>
            <w:shd w:val="clear" w:color="000000" w:fill="FFFFFF"/>
            <w:vAlign w:val="center"/>
          </w:tcPr>
          <w:p w14:paraId="1C47037D">
            <w:pPr>
              <w:widowControl/>
              <w:jc w:val="center"/>
              <w:rPr>
                <w:rFonts w:ascii="宋体" w:hAnsi="宋体" w:cs="宋体"/>
                <w:kern w:val="0"/>
                <w:sz w:val="22"/>
                <w:szCs w:val="22"/>
              </w:rPr>
            </w:pPr>
            <w:r>
              <w:rPr>
                <w:rFonts w:hint="eastAsia" w:ascii="宋体" w:hAnsi="宋体" w:cs="宋体"/>
                <w:kern w:val="0"/>
                <w:sz w:val="22"/>
                <w:szCs w:val="22"/>
              </w:rPr>
              <w:t>海信</w:t>
            </w:r>
          </w:p>
        </w:tc>
        <w:tc>
          <w:tcPr>
            <w:tcW w:w="330" w:type="pct"/>
            <w:tcBorders>
              <w:top w:val="nil"/>
              <w:left w:val="nil"/>
              <w:bottom w:val="single" w:color="auto" w:sz="4" w:space="0"/>
              <w:right w:val="single" w:color="auto" w:sz="4" w:space="0"/>
            </w:tcBorders>
            <w:shd w:val="clear" w:color="000000" w:fill="FFFFFF"/>
            <w:vAlign w:val="center"/>
          </w:tcPr>
          <w:p w14:paraId="7785732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B7202C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709825C1">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066FB47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DAADF1E">
            <w:pPr>
              <w:widowControl/>
              <w:jc w:val="center"/>
              <w:rPr>
                <w:rFonts w:ascii="宋体" w:hAnsi="宋体" w:cs="宋体"/>
                <w:b/>
                <w:bCs/>
                <w:kern w:val="0"/>
                <w:sz w:val="22"/>
                <w:szCs w:val="22"/>
              </w:rPr>
            </w:pPr>
            <w:r>
              <w:rPr>
                <w:rFonts w:hint="eastAsia" w:ascii="宋体" w:hAnsi="宋体" w:cs="宋体"/>
                <w:b/>
                <w:bCs/>
                <w:kern w:val="0"/>
                <w:sz w:val="22"/>
                <w:szCs w:val="22"/>
              </w:rPr>
              <w:t>88</w:t>
            </w:r>
          </w:p>
        </w:tc>
        <w:tc>
          <w:tcPr>
            <w:tcW w:w="849" w:type="pct"/>
            <w:tcBorders>
              <w:top w:val="nil"/>
              <w:left w:val="nil"/>
              <w:bottom w:val="single" w:color="auto" w:sz="4" w:space="0"/>
              <w:right w:val="single" w:color="auto" w:sz="4" w:space="0"/>
            </w:tcBorders>
            <w:shd w:val="clear" w:color="000000" w:fill="FFFFFF"/>
            <w:vAlign w:val="center"/>
          </w:tcPr>
          <w:p w14:paraId="215D001A">
            <w:pPr>
              <w:widowControl/>
              <w:jc w:val="left"/>
              <w:rPr>
                <w:rFonts w:ascii="宋体" w:hAnsi="宋体" w:cs="宋体"/>
                <w:kern w:val="0"/>
                <w:sz w:val="22"/>
                <w:szCs w:val="22"/>
              </w:rPr>
            </w:pPr>
            <w:r>
              <w:rPr>
                <w:rFonts w:hint="eastAsia" w:ascii="宋体" w:hAnsi="宋体" w:cs="宋体"/>
                <w:kern w:val="0"/>
                <w:sz w:val="22"/>
                <w:szCs w:val="22"/>
              </w:rPr>
              <w:t>高清终端</w:t>
            </w:r>
          </w:p>
        </w:tc>
        <w:tc>
          <w:tcPr>
            <w:tcW w:w="2219" w:type="pct"/>
            <w:tcBorders>
              <w:top w:val="nil"/>
              <w:left w:val="nil"/>
              <w:bottom w:val="single" w:color="auto" w:sz="4" w:space="0"/>
              <w:right w:val="single" w:color="auto" w:sz="4" w:space="0"/>
            </w:tcBorders>
            <w:shd w:val="clear" w:color="000000" w:fill="FFFFFF"/>
            <w:vAlign w:val="center"/>
          </w:tcPr>
          <w:p w14:paraId="21879A8A">
            <w:pPr>
              <w:widowControl/>
              <w:jc w:val="left"/>
              <w:rPr>
                <w:rFonts w:ascii="宋体" w:hAnsi="宋体" w:cs="宋体"/>
                <w:kern w:val="0"/>
                <w:sz w:val="22"/>
                <w:szCs w:val="22"/>
              </w:rPr>
            </w:pPr>
            <w:r>
              <w:rPr>
                <w:rFonts w:hint="eastAsia" w:ascii="宋体" w:hAnsi="宋体" w:cs="宋体"/>
                <w:kern w:val="0"/>
                <w:sz w:val="22"/>
                <w:szCs w:val="22"/>
              </w:rPr>
              <w:t>(EE IV 12xCam)含双显</w:t>
            </w:r>
          </w:p>
        </w:tc>
        <w:tc>
          <w:tcPr>
            <w:tcW w:w="344" w:type="pct"/>
            <w:tcBorders>
              <w:top w:val="nil"/>
              <w:left w:val="nil"/>
              <w:bottom w:val="single" w:color="auto" w:sz="4" w:space="0"/>
              <w:right w:val="single" w:color="auto" w:sz="4" w:space="0"/>
            </w:tcBorders>
            <w:shd w:val="clear" w:color="000000" w:fill="FFFFFF"/>
            <w:vAlign w:val="center"/>
          </w:tcPr>
          <w:p w14:paraId="23AE63A8">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4E9ADB3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9807FA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6C2DE9C1">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05B68AF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6452FA4">
            <w:pPr>
              <w:widowControl/>
              <w:jc w:val="center"/>
              <w:rPr>
                <w:rFonts w:ascii="宋体" w:hAnsi="宋体" w:cs="宋体"/>
                <w:b/>
                <w:bCs/>
                <w:kern w:val="0"/>
                <w:sz w:val="22"/>
                <w:szCs w:val="22"/>
              </w:rPr>
            </w:pPr>
            <w:r>
              <w:rPr>
                <w:rFonts w:hint="eastAsia" w:ascii="宋体" w:hAnsi="宋体" w:cs="宋体"/>
                <w:b/>
                <w:bCs/>
                <w:kern w:val="0"/>
                <w:sz w:val="22"/>
                <w:szCs w:val="22"/>
              </w:rPr>
              <w:t>89</w:t>
            </w:r>
          </w:p>
        </w:tc>
        <w:tc>
          <w:tcPr>
            <w:tcW w:w="849" w:type="pct"/>
            <w:tcBorders>
              <w:top w:val="nil"/>
              <w:left w:val="nil"/>
              <w:bottom w:val="single" w:color="auto" w:sz="4" w:space="0"/>
              <w:right w:val="single" w:color="auto" w:sz="4" w:space="0"/>
            </w:tcBorders>
            <w:shd w:val="clear" w:color="000000" w:fill="FFFFFF"/>
            <w:vAlign w:val="center"/>
          </w:tcPr>
          <w:p w14:paraId="35278C9F">
            <w:pPr>
              <w:widowControl/>
              <w:jc w:val="left"/>
              <w:rPr>
                <w:rFonts w:ascii="宋体" w:hAnsi="宋体" w:cs="宋体"/>
                <w:kern w:val="0"/>
                <w:sz w:val="22"/>
                <w:szCs w:val="22"/>
              </w:rPr>
            </w:pPr>
            <w:r>
              <w:rPr>
                <w:rFonts w:hint="eastAsia" w:ascii="宋体" w:hAnsi="宋体" w:cs="宋体"/>
                <w:kern w:val="0"/>
                <w:sz w:val="22"/>
                <w:szCs w:val="22"/>
              </w:rPr>
              <w:t>延长器</w:t>
            </w:r>
          </w:p>
        </w:tc>
        <w:tc>
          <w:tcPr>
            <w:tcW w:w="2219" w:type="pct"/>
            <w:tcBorders>
              <w:top w:val="nil"/>
              <w:left w:val="nil"/>
              <w:bottom w:val="single" w:color="auto" w:sz="4" w:space="0"/>
              <w:right w:val="single" w:color="auto" w:sz="4" w:space="0"/>
            </w:tcBorders>
            <w:shd w:val="clear" w:color="000000" w:fill="FFFFFF"/>
            <w:vAlign w:val="center"/>
          </w:tcPr>
          <w:p w14:paraId="56F24C1D">
            <w:pPr>
              <w:widowControl/>
              <w:jc w:val="left"/>
              <w:rPr>
                <w:rFonts w:ascii="宋体" w:hAnsi="宋体" w:cs="宋体"/>
                <w:kern w:val="0"/>
                <w:sz w:val="22"/>
                <w:szCs w:val="22"/>
              </w:rPr>
            </w:pPr>
            <w:r>
              <w:rPr>
                <w:rFonts w:hint="eastAsia" w:ascii="宋体" w:hAnsi="宋体" w:cs="宋体"/>
                <w:kern w:val="0"/>
                <w:sz w:val="22"/>
                <w:szCs w:val="22"/>
              </w:rPr>
              <w:t>麦克风延长器</w:t>
            </w:r>
          </w:p>
        </w:tc>
        <w:tc>
          <w:tcPr>
            <w:tcW w:w="344" w:type="pct"/>
            <w:tcBorders>
              <w:top w:val="nil"/>
              <w:left w:val="nil"/>
              <w:bottom w:val="single" w:color="auto" w:sz="4" w:space="0"/>
              <w:right w:val="single" w:color="auto" w:sz="4" w:space="0"/>
            </w:tcBorders>
            <w:shd w:val="clear" w:color="000000" w:fill="FFFFFF"/>
            <w:vAlign w:val="center"/>
          </w:tcPr>
          <w:p w14:paraId="54252086">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3E4A247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0867DAC2">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2530FF3A">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076956D3">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930A026">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49" w:type="pct"/>
            <w:tcBorders>
              <w:top w:val="nil"/>
              <w:left w:val="nil"/>
              <w:bottom w:val="single" w:color="auto" w:sz="4" w:space="0"/>
              <w:right w:val="single" w:color="auto" w:sz="4" w:space="0"/>
            </w:tcBorders>
            <w:shd w:val="clear" w:color="000000" w:fill="FFFFFF"/>
            <w:vAlign w:val="center"/>
          </w:tcPr>
          <w:p w14:paraId="12EDD97E">
            <w:pPr>
              <w:widowControl/>
              <w:jc w:val="left"/>
              <w:rPr>
                <w:rFonts w:ascii="宋体" w:hAnsi="宋体" w:cs="宋体"/>
                <w:kern w:val="0"/>
                <w:sz w:val="22"/>
                <w:szCs w:val="22"/>
              </w:rPr>
            </w:pPr>
            <w:r>
              <w:rPr>
                <w:rFonts w:hint="eastAsia" w:ascii="宋体" w:hAnsi="宋体" w:cs="宋体"/>
                <w:kern w:val="0"/>
                <w:sz w:val="22"/>
                <w:szCs w:val="22"/>
              </w:rPr>
              <w:t>固定安装改造</w:t>
            </w:r>
          </w:p>
        </w:tc>
        <w:tc>
          <w:tcPr>
            <w:tcW w:w="2219" w:type="pct"/>
            <w:tcBorders>
              <w:top w:val="nil"/>
              <w:left w:val="nil"/>
              <w:bottom w:val="single" w:color="auto" w:sz="4" w:space="0"/>
              <w:right w:val="single" w:color="auto" w:sz="4" w:space="0"/>
            </w:tcBorders>
            <w:shd w:val="clear" w:color="000000" w:fill="FFFFFF"/>
            <w:vAlign w:val="center"/>
          </w:tcPr>
          <w:p w14:paraId="16122C43">
            <w:pPr>
              <w:widowControl/>
              <w:jc w:val="left"/>
              <w:rPr>
                <w:rFonts w:ascii="宋体" w:hAnsi="宋体" w:cs="宋体"/>
                <w:kern w:val="0"/>
                <w:sz w:val="22"/>
                <w:szCs w:val="22"/>
              </w:rPr>
            </w:pPr>
            <w:r>
              <w:rPr>
                <w:rFonts w:hint="eastAsia" w:ascii="宋体" w:hAnsi="宋体" w:cs="宋体"/>
                <w:kern w:val="0"/>
                <w:sz w:val="22"/>
                <w:szCs w:val="22"/>
              </w:rPr>
              <w:t>含支架及配电箱等</w:t>
            </w:r>
          </w:p>
        </w:tc>
        <w:tc>
          <w:tcPr>
            <w:tcW w:w="344" w:type="pct"/>
            <w:tcBorders>
              <w:top w:val="nil"/>
              <w:left w:val="nil"/>
              <w:bottom w:val="single" w:color="auto" w:sz="4" w:space="0"/>
              <w:right w:val="single" w:color="auto" w:sz="4" w:space="0"/>
            </w:tcBorders>
            <w:shd w:val="clear" w:color="000000" w:fill="FFFFFF"/>
            <w:vAlign w:val="center"/>
          </w:tcPr>
          <w:p w14:paraId="428CFD64">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793982E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30E761B3">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2EDEC366">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4AFACF6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32922AB">
            <w:pPr>
              <w:widowControl/>
              <w:jc w:val="center"/>
              <w:rPr>
                <w:rFonts w:ascii="宋体" w:hAnsi="宋体" w:cs="宋体"/>
                <w:b/>
                <w:bCs/>
                <w:kern w:val="0"/>
                <w:sz w:val="22"/>
                <w:szCs w:val="22"/>
              </w:rPr>
            </w:pPr>
            <w:r>
              <w:rPr>
                <w:rFonts w:hint="eastAsia" w:ascii="宋体" w:hAnsi="宋体" w:cs="宋体"/>
                <w:b/>
                <w:bCs/>
                <w:kern w:val="0"/>
                <w:sz w:val="22"/>
                <w:szCs w:val="22"/>
              </w:rPr>
              <w:t>91</w:t>
            </w:r>
          </w:p>
        </w:tc>
        <w:tc>
          <w:tcPr>
            <w:tcW w:w="849" w:type="pct"/>
            <w:tcBorders>
              <w:top w:val="nil"/>
              <w:left w:val="nil"/>
              <w:bottom w:val="single" w:color="auto" w:sz="4" w:space="0"/>
              <w:right w:val="single" w:color="auto" w:sz="4" w:space="0"/>
            </w:tcBorders>
            <w:shd w:val="clear" w:color="000000" w:fill="FFFFFF"/>
            <w:vAlign w:val="center"/>
          </w:tcPr>
          <w:p w14:paraId="7673FE1D">
            <w:pPr>
              <w:widowControl/>
              <w:jc w:val="left"/>
              <w:rPr>
                <w:rFonts w:ascii="宋体" w:hAnsi="宋体" w:cs="宋体"/>
                <w:kern w:val="0"/>
                <w:sz w:val="22"/>
                <w:szCs w:val="22"/>
              </w:rPr>
            </w:pPr>
            <w:r>
              <w:rPr>
                <w:rFonts w:hint="eastAsia" w:ascii="宋体" w:hAnsi="宋体" w:cs="宋体"/>
                <w:kern w:val="0"/>
                <w:sz w:val="22"/>
                <w:szCs w:val="22"/>
              </w:rPr>
              <w:t>麦克风</w:t>
            </w:r>
          </w:p>
        </w:tc>
        <w:tc>
          <w:tcPr>
            <w:tcW w:w="2219" w:type="pct"/>
            <w:tcBorders>
              <w:top w:val="nil"/>
              <w:left w:val="nil"/>
              <w:bottom w:val="single" w:color="auto" w:sz="4" w:space="0"/>
              <w:right w:val="single" w:color="auto" w:sz="4" w:space="0"/>
            </w:tcBorders>
            <w:shd w:val="clear" w:color="000000" w:fill="FFFFFF"/>
            <w:vAlign w:val="center"/>
          </w:tcPr>
          <w:p w14:paraId="191EA3F8">
            <w:pPr>
              <w:widowControl/>
              <w:jc w:val="left"/>
              <w:rPr>
                <w:rFonts w:ascii="宋体" w:hAnsi="宋体" w:cs="宋体"/>
                <w:kern w:val="0"/>
                <w:sz w:val="22"/>
                <w:szCs w:val="22"/>
              </w:rPr>
            </w:pPr>
            <w:r>
              <w:rPr>
                <w:rFonts w:hint="eastAsia" w:ascii="宋体" w:hAnsi="宋体" w:cs="宋体"/>
                <w:kern w:val="0"/>
                <w:sz w:val="22"/>
                <w:szCs w:val="22"/>
              </w:rPr>
              <w:t>全向麦克风 拾音半径 5M</w:t>
            </w:r>
          </w:p>
        </w:tc>
        <w:tc>
          <w:tcPr>
            <w:tcW w:w="344" w:type="pct"/>
            <w:tcBorders>
              <w:top w:val="nil"/>
              <w:left w:val="nil"/>
              <w:bottom w:val="single" w:color="auto" w:sz="4" w:space="0"/>
              <w:right w:val="single" w:color="auto" w:sz="4" w:space="0"/>
            </w:tcBorders>
            <w:shd w:val="clear" w:color="000000" w:fill="FFFFFF"/>
            <w:vAlign w:val="center"/>
          </w:tcPr>
          <w:p w14:paraId="18E503C7">
            <w:pPr>
              <w:widowControl/>
              <w:jc w:val="center"/>
              <w:rPr>
                <w:rFonts w:ascii="宋体" w:hAnsi="宋体" w:cs="宋体"/>
                <w:kern w:val="0"/>
                <w:sz w:val="22"/>
                <w:szCs w:val="22"/>
              </w:rPr>
            </w:pPr>
            <w:r>
              <w:rPr>
                <w:rFonts w:hint="eastAsia" w:ascii="宋体" w:hAnsi="宋体" w:cs="宋体"/>
                <w:kern w:val="0"/>
                <w:sz w:val="22"/>
                <w:szCs w:val="22"/>
              </w:rPr>
              <w:t>polycom</w:t>
            </w:r>
          </w:p>
        </w:tc>
        <w:tc>
          <w:tcPr>
            <w:tcW w:w="330" w:type="pct"/>
            <w:tcBorders>
              <w:top w:val="nil"/>
              <w:left w:val="nil"/>
              <w:bottom w:val="single" w:color="auto" w:sz="4" w:space="0"/>
              <w:right w:val="single" w:color="auto" w:sz="4" w:space="0"/>
            </w:tcBorders>
            <w:shd w:val="clear" w:color="000000" w:fill="FFFFFF"/>
            <w:vAlign w:val="center"/>
          </w:tcPr>
          <w:p w14:paraId="56670FA9">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13E3BD4">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47DF241D">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0812A04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ED2880D">
            <w:pPr>
              <w:widowControl/>
              <w:jc w:val="center"/>
              <w:rPr>
                <w:rFonts w:ascii="宋体" w:hAnsi="宋体" w:cs="宋体"/>
                <w:b/>
                <w:bCs/>
                <w:kern w:val="0"/>
                <w:sz w:val="22"/>
                <w:szCs w:val="22"/>
              </w:rPr>
            </w:pPr>
            <w:r>
              <w:rPr>
                <w:rFonts w:hint="eastAsia" w:ascii="宋体" w:hAnsi="宋体" w:cs="宋体"/>
                <w:b/>
                <w:bCs/>
                <w:kern w:val="0"/>
                <w:sz w:val="22"/>
                <w:szCs w:val="22"/>
              </w:rPr>
              <w:t>92</w:t>
            </w:r>
          </w:p>
        </w:tc>
        <w:tc>
          <w:tcPr>
            <w:tcW w:w="849" w:type="pct"/>
            <w:tcBorders>
              <w:top w:val="nil"/>
              <w:left w:val="nil"/>
              <w:bottom w:val="single" w:color="auto" w:sz="4" w:space="0"/>
              <w:right w:val="single" w:color="auto" w:sz="4" w:space="0"/>
            </w:tcBorders>
            <w:shd w:val="clear" w:color="000000" w:fill="FFFFFF"/>
            <w:vAlign w:val="center"/>
          </w:tcPr>
          <w:p w14:paraId="60B29B87">
            <w:pPr>
              <w:widowControl/>
              <w:jc w:val="left"/>
              <w:rPr>
                <w:rFonts w:ascii="宋体" w:hAnsi="宋体" w:cs="宋体"/>
                <w:kern w:val="0"/>
                <w:sz w:val="22"/>
                <w:szCs w:val="22"/>
              </w:rPr>
            </w:pPr>
            <w:r>
              <w:rPr>
                <w:rFonts w:hint="eastAsia" w:ascii="宋体" w:hAnsi="宋体" w:cs="宋体"/>
                <w:kern w:val="0"/>
                <w:sz w:val="22"/>
                <w:szCs w:val="22"/>
              </w:rPr>
              <w:t>多媒体音箱</w:t>
            </w:r>
          </w:p>
        </w:tc>
        <w:tc>
          <w:tcPr>
            <w:tcW w:w="2219" w:type="pct"/>
            <w:tcBorders>
              <w:top w:val="nil"/>
              <w:left w:val="nil"/>
              <w:bottom w:val="single" w:color="auto" w:sz="4" w:space="0"/>
              <w:right w:val="single" w:color="auto" w:sz="4" w:space="0"/>
            </w:tcBorders>
            <w:shd w:val="clear" w:color="000000" w:fill="FFFFFF"/>
            <w:vAlign w:val="center"/>
          </w:tcPr>
          <w:p w14:paraId="1ED24A1C">
            <w:pPr>
              <w:widowControl/>
              <w:jc w:val="left"/>
              <w:rPr>
                <w:rFonts w:ascii="宋体" w:hAnsi="宋体" w:cs="宋体"/>
                <w:kern w:val="0"/>
                <w:sz w:val="22"/>
                <w:szCs w:val="22"/>
              </w:rPr>
            </w:pPr>
            <w:r>
              <w:rPr>
                <w:rFonts w:hint="eastAsia" w:ascii="宋体" w:hAnsi="宋体" w:cs="宋体"/>
                <w:kern w:val="0"/>
                <w:sz w:val="22"/>
                <w:szCs w:val="22"/>
              </w:rPr>
              <w:t>2.0声道 多媒体有源音箱 黑色</w:t>
            </w:r>
          </w:p>
        </w:tc>
        <w:tc>
          <w:tcPr>
            <w:tcW w:w="344" w:type="pct"/>
            <w:tcBorders>
              <w:top w:val="nil"/>
              <w:left w:val="nil"/>
              <w:bottom w:val="single" w:color="auto" w:sz="4" w:space="0"/>
              <w:right w:val="single" w:color="auto" w:sz="4" w:space="0"/>
            </w:tcBorders>
            <w:shd w:val="clear" w:color="000000" w:fill="FFFFFF"/>
            <w:vAlign w:val="center"/>
          </w:tcPr>
          <w:p w14:paraId="25366A7E">
            <w:pPr>
              <w:widowControl/>
              <w:jc w:val="center"/>
              <w:rPr>
                <w:rFonts w:ascii="宋体" w:hAnsi="宋体" w:cs="宋体"/>
                <w:kern w:val="0"/>
                <w:sz w:val="22"/>
                <w:szCs w:val="22"/>
              </w:rPr>
            </w:pPr>
            <w:r>
              <w:rPr>
                <w:rFonts w:hint="eastAsia" w:ascii="宋体" w:hAnsi="宋体" w:cs="宋体"/>
                <w:kern w:val="0"/>
                <w:sz w:val="22"/>
                <w:szCs w:val="22"/>
              </w:rPr>
              <w:t>漫步者</w:t>
            </w:r>
          </w:p>
        </w:tc>
        <w:tc>
          <w:tcPr>
            <w:tcW w:w="330" w:type="pct"/>
            <w:tcBorders>
              <w:top w:val="nil"/>
              <w:left w:val="nil"/>
              <w:bottom w:val="single" w:color="auto" w:sz="4" w:space="0"/>
              <w:right w:val="single" w:color="auto" w:sz="4" w:space="0"/>
            </w:tcBorders>
            <w:shd w:val="clear" w:color="000000" w:fill="FFFFFF"/>
            <w:vAlign w:val="center"/>
          </w:tcPr>
          <w:p w14:paraId="3EEC02CA">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17D4281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3 </w:t>
            </w:r>
          </w:p>
        </w:tc>
        <w:tc>
          <w:tcPr>
            <w:tcW w:w="462" w:type="pct"/>
            <w:tcBorders>
              <w:top w:val="nil"/>
              <w:left w:val="nil"/>
              <w:bottom w:val="single" w:color="auto" w:sz="4" w:space="0"/>
              <w:right w:val="single" w:color="auto" w:sz="4" w:space="0"/>
            </w:tcBorders>
            <w:shd w:val="clear" w:color="000000" w:fill="FFFFFF"/>
            <w:vAlign w:val="center"/>
          </w:tcPr>
          <w:p w14:paraId="08634637">
            <w:pPr>
              <w:widowControl/>
              <w:jc w:val="left"/>
              <w:rPr>
                <w:rFonts w:ascii="宋体" w:hAnsi="宋体" w:cs="宋体"/>
                <w:kern w:val="0"/>
                <w:sz w:val="22"/>
                <w:szCs w:val="22"/>
              </w:rPr>
            </w:pPr>
            <w:r>
              <w:rPr>
                <w:rFonts w:hint="eastAsia" w:ascii="宋体" w:hAnsi="宋体" w:cs="宋体"/>
                <w:kern w:val="0"/>
                <w:sz w:val="22"/>
                <w:szCs w:val="22"/>
              </w:rPr>
              <w:t>　</w:t>
            </w:r>
          </w:p>
        </w:tc>
      </w:tr>
      <w:tr w14:paraId="1FA689E5">
        <w:tblPrEx>
          <w:tblCellMar>
            <w:top w:w="0" w:type="dxa"/>
            <w:left w:w="108" w:type="dxa"/>
            <w:bottom w:w="0" w:type="dxa"/>
            <w:right w:w="108" w:type="dxa"/>
          </w:tblCellMar>
        </w:tblPrEx>
        <w:trPr>
          <w:trHeight w:val="570" w:hRule="atLeast"/>
        </w:trPr>
        <w:tc>
          <w:tcPr>
            <w:tcW w:w="4538" w:type="pct"/>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71551FFD">
            <w:pPr>
              <w:widowControl/>
              <w:jc w:val="left"/>
              <w:rPr>
                <w:rFonts w:ascii="宋体" w:hAnsi="宋体" w:cs="宋体"/>
                <w:b/>
                <w:bCs/>
                <w:kern w:val="0"/>
                <w:sz w:val="22"/>
                <w:szCs w:val="22"/>
              </w:rPr>
            </w:pPr>
            <w:r>
              <w:rPr>
                <w:rFonts w:hint="eastAsia" w:ascii="宋体" w:hAnsi="宋体" w:cs="宋体"/>
                <w:b/>
                <w:bCs/>
                <w:kern w:val="0"/>
                <w:sz w:val="22"/>
                <w:szCs w:val="22"/>
              </w:rPr>
              <w:t>分局视频监管系统</w:t>
            </w:r>
          </w:p>
        </w:tc>
        <w:tc>
          <w:tcPr>
            <w:tcW w:w="462" w:type="pct"/>
            <w:tcBorders>
              <w:top w:val="nil"/>
              <w:left w:val="nil"/>
              <w:bottom w:val="single" w:color="auto" w:sz="4" w:space="0"/>
              <w:right w:val="single" w:color="auto" w:sz="4" w:space="0"/>
            </w:tcBorders>
            <w:shd w:val="clear" w:color="000000" w:fill="FFFFFF"/>
            <w:vAlign w:val="center"/>
          </w:tcPr>
          <w:p w14:paraId="4C47BA3E">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50AF5EF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E3E774D">
            <w:pPr>
              <w:widowControl/>
              <w:jc w:val="center"/>
              <w:rPr>
                <w:rFonts w:ascii="宋体" w:hAnsi="宋体" w:cs="宋体"/>
                <w:b/>
                <w:bCs/>
                <w:kern w:val="0"/>
                <w:sz w:val="22"/>
                <w:szCs w:val="22"/>
              </w:rPr>
            </w:pPr>
            <w:r>
              <w:rPr>
                <w:rFonts w:hint="eastAsia" w:ascii="宋体" w:hAnsi="宋体" w:cs="宋体"/>
                <w:b/>
                <w:bCs/>
                <w:kern w:val="0"/>
                <w:sz w:val="22"/>
                <w:szCs w:val="22"/>
              </w:rPr>
              <w:t>93</w:t>
            </w:r>
          </w:p>
        </w:tc>
        <w:tc>
          <w:tcPr>
            <w:tcW w:w="849" w:type="pct"/>
            <w:tcBorders>
              <w:top w:val="nil"/>
              <w:left w:val="nil"/>
              <w:bottom w:val="single" w:color="auto" w:sz="4" w:space="0"/>
              <w:right w:val="single" w:color="auto" w:sz="4" w:space="0"/>
            </w:tcBorders>
            <w:shd w:val="clear" w:color="000000" w:fill="FFFFFF"/>
            <w:vAlign w:val="center"/>
          </w:tcPr>
          <w:p w14:paraId="70297D75">
            <w:pPr>
              <w:widowControl/>
              <w:jc w:val="left"/>
              <w:rPr>
                <w:rFonts w:ascii="宋体" w:hAnsi="宋体" w:cs="宋体"/>
                <w:kern w:val="0"/>
                <w:sz w:val="22"/>
                <w:szCs w:val="22"/>
              </w:rPr>
            </w:pPr>
            <w:r>
              <w:rPr>
                <w:rFonts w:hint="eastAsia" w:ascii="宋体" w:hAnsi="宋体" w:cs="宋体"/>
                <w:kern w:val="0"/>
                <w:sz w:val="22"/>
                <w:szCs w:val="22"/>
              </w:rPr>
              <w:t>视频专用电脑</w:t>
            </w:r>
          </w:p>
        </w:tc>
        <w:tc>
          <w:tcPr>
            <w:tcW w:w="2219" w:type="pct"/>
            <w:tcBorders>
              <w:top w:val="nil"/>
              <w:left w:val="nil"/>
              <w:bottom w:val="single" w:color="auto" w:sz="4" w:space="0"/>
              <w:right w:val="single" w:color="auto" w:sz="4" w:space="0"/>
            </w:tcBorders>
            <w:shd w:val="clear" w:color="000000" w:fill="FFFFFF"/>
            <w:vAlign w:val="center"/>
          </w:tcPr>
          <w:p w14:paraId="1B1C5D5D">
            <w:pPr>
              <w:widowControl/>
              <w:jc w:val="left"/>
              <w:rPr>
                <w:rFonts w:ascii="宋体" w:hAnsi="宋体" w:cs="宋体"/>
                <w:kern w:val="0"/>
                <w:sz w:val="22"/>
                <w:szCs w:val="22"/>
              </w:rPr>
            </w:pPr>
            <w:r>
              <w:rPr>
                <w:rFonts w:hint="eastAsia" w:ascii="宋体" w:hAnsi="宋体" w:cs="宋体"/>
                <w:kern w:val="0"/>
                <w:sz w:val="22"/>
                <w:szCs w:val="22"/>
              </w:rPr>
              <w:t>I7/16G/2T/DVD/23寸显示器</w:t>
            </w:r>
          </w:p>
        </w:tc>
        <w:tc>
          <w:tcPr>
            <w:tcW w:w="344" w:type="pct"/>
            <w:tcBorders>
              <w:top w:val="nil"/>
              <w:left w:val="nil"/>
              <w:bottom w:val="single" w:color="auto" w:sz="4" w:space="0"/>
              <w:right w:val="single" w:color="auto" w:sz="4" w:space="0"/>
            </w:tcBorders>
            <w:shd w:val="clear" w:color="000000" w:fill="FFFFFF"/>
            <w:vAlign w:val="center"/>
          </w:tcPr>
          <w:p w14:paraId="1DBAF81E">
            <w:pPr>
              <w:widowControl/>
              <w:jc w:val="center"/>
              <w:rPr>
                <w:rFonts w:ascii="宋体" w:hAnsi="宋体" w:cs="宋体"/>
                <w:kern w:val="0"/>
                <w:sz w:val="22"/>
                <w:szCs w:val="22"/>
              </w:rPr>
            </w:pPr>
            <w:r>
              <w:rPr>
                <w:rFonts w:hint="eastAsia" w:ascii="宋体" w:hAnsi="宋体" w:cs="宋体"/>
                <w:kern w:val="0"/>
                <w:sz w:val="22"/>
                <w:szCs w:val="22"/>
              </w:rPr>
              <w:t>联想</w:t>
            </w:r>
          </w:p>
        </w:tc>
        <w:tc>
          <w:tcPr>
            <w:tcW w:w="330" w:type="pct"/>
            <w:tcBorders>
              <w:top w:val="nil"/>
              <w:left w:val="nil"/>
              <w:bottom w:val="single" w:color="auto" w:sz="4" w:space="0"/>
              <w:right w:val="single" w:color="auto" w:sz="4" w:space="0"/>
            </w:tcBorders>
            <w:shd w:val="clear" w:color="000000" w:fill="FFFFFF"/>
            <w:vAlign w:val="center"/>
          </w:tcPr>
          <w:p w14:paraId="7DE43E98">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6262B3F5">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14 </w:t>
            </w:r>
          </w:p>
        </w:tc>
        <w:tc>
          <w:tcPr>
            <w:tcW w:w="462" w:type="pct"/>
            <w:tcBorders>
              <w:top w:val="nil"/>
              <w:left w:val="nil"/>
              <w:bottom w:val="single" w:color="auto" w:sz="4" w:space="0"/>
              <w:right w:val="single" w:color="auto" w:sz="4" w:space="0"/>
            </w:tcBorders>
            <w:shd w:val="clear" w:color="000000" w:fill="FFFFFF"/>
            <w:vAlign w:val="center"/>
          </w:tcPr>
          <w:p w14:paraId="44A317E0">
            <w:pPr>
              <w:widowControl/>
              <w:jc w:val="left"/>
              <w:rPr>
                <w:rFonts w:ascii="宋体" w:hAnsi="宋体" w:cs="宋体"/>
                <w:kern w:val="0"/>
                <w:sz w:val="22"/>
                <w:szCs w:val="22"/>
              </w:rPr>
            </w:pPr>
            <w:r>
              <w:rPr>
                <w:rFonts w:hint="eastAsia" w:ascii="宋体" w:hAnsi="宋体" w:cs="宋体"/>
                <w:kern w:val="0"/>
                <w:sz w:val="22"/>
                <w:szCs w:val="22"/>
              </w:rPr>
              <w:t>　</w:t>
            </w:r>
          </w:p>
        </w:tc>
      </w:tr>
      <w:tr w14:paraId="73AEA33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E38AE24">
            <w:pPr>
              <w:widowControl/>
              <w:jc w:val="center"/>
              <w:rPr>
                <w:rFonts w:ascii="宋体" w:hAnsi="宋体" w:cs="宋体"/>
                <w:b/>
                <w:bCs/>
                <w:kern w:val="0"/>
                <w:sz w:val="22"/>
                <w:szCs w:val="22"/>
              </w:rPr>
            </w:pPr>
            <w:r>
              <w:rPr>
                <w:rFonts w:hint="eastAsia" w:ascii="宋体" w:hAnsi="宋体" w:cs="宋体"/>
                <w:b/>
                <w:bCs/>
                <w:kern w:val="0"/>
                <w:sz w:val="22"/>
                <w:szCs w:val="22"/>
              </w:rPr>
              <w:t>94</w:t>
            </w:r>
          </w:p>
        </w:tc>
        <w:tc>
          <w:tcPr>
            <w:tcW w:w="849" w:type="pct"/>
            <w:tcBorders>
              <w:top w:val="nil"/>
              <w:left w:val="nil"/>
              <w:bottom w:val="single" w:color="auto" w:sz="4" w:space="0"/>
              <w:right w:val="single" w:color="auto" w:sz="4" w:space="0"/>
            </w:tcBorders>
            <w:shd w:val="clear" w:color="000000" w:fill="FFFFFF"/>
            <w:vAlign w:val="center"/>
          </w:tcPr>
          <w:p w14:paraId="2981BB9E">
            <w:pPr>
              <w:widowControl/>
              <w:jc w:val="left"/>
              <w:rPr>
                <w:rFonts w:ascii="宋体" w:hAnsi="宋体" w:cs="宋体"/>
                <w:kern w:val="0"/>
                <w:sz w:val="22"/>
                <w:szCs w:val="22"/>
              </w:rPr>
            </w:pPr>
            <w:r>
              <w:rPr>
                <w:rFonts w:hint="eastAsia" w:ascii="宋体" w:hAnsi="宋体" w:cs="宋体"/>
                <w:kern w:val="0"/>
                <w:sz w:val="22"/>
                <w:szCs w:val="22"/>
              </w:rPr>
              <w:t>视频专用交换机</w:t>
            </w:r>
          </w:p>
        </w:tc>
        <w:tc>
          <w:tcPr>
            <w:tcW w:w="2219" w:type="pct"/>
            <w:tcBorders>
              <w:top w:val="nil"/>
              <w:left w:val="nil"/>
              <w:bottom w:val="single" w:color="auto" w:sz="4" w:space="0"/>
              <w:right w:val="single" w:color="auto" w:sz="4" w:space="0"/>
            </w:tcBorders>
            <w:shd w:val="clear" w:color="000000" w:fill="FFFFFF"/>
            <w:vAlign w:val="center"/>
          </w:tcPr>
          <w:p w14:paraId="162927DB">
            <w:pPr>
              <w:widowControl/>
              <w:jc w:val="left"/>
              <w:rPr>
                <w:rFonts w:ascii="宋体" w:hAnsi="宋体" w:cs="宋体"/>
                <w:kern w:val="0"/>
                <w:sz w:val="22"/>
                <w:szCs w:val="22"/>
              </w:rPr>
            </w:pPr>
            <w:r>
              <w:rPr>
                <w:rFonts w:hint="eastAsia" w:ascii="宋体" w:hAnsi="宋体" w:cs="宋体"/>
                <w:kern w:val="0"/>
                <w:sz w:val="22"/>
                <w:szCs w:val="22"/>
              </w:rPr>
              <w:t>24端口千兆电+4端口复用千兆光+4端口万兆光，以太网交换机（1个Console口，24个千兆电口，4个复用千兆/百兆自适应SFP光口，4个万兆/千兆自适应SFP+光口；标配电源AC220V，风扇散热，1U高度，标准19英寸机架式安装）</w:t>
            </w:r>
          </w:p>
        </w:tc>
        <w:tc>
          <w:tcPr>
            <w:tcW w:w="344" w:type="pct"/>
            <w:tcBorders>
              <w:top w:val="nil"/>
              <w:left w:val="nil"/>
              <w:bottom w:val="single" w:color="auto" w:sz="4" w:space="0"/>
              <w:right w:val="single" w:color="auto" w:sz="4" w:space="0"/>
            </w:tcBorders>
            <w:shd w:val="clear" w:color="000000" w:fill="FFFFFF"/>
            <w:vAlign w:val="center"/>
          </w:tcPr>
          <w:p w14:paraId="5055F08C">
            <w:pPr>
              <w:widowControl/>
              <w:jc w:val="center"/>
              <w:rPr>
                <w:rFonts w:ascii="宋体" w:hAnsi="宋体" w:cs="宋体"/>
                <w:kern w:val="0"/>
                <w:sz w:val="22"/>
                <w:szCs w:val="22"/>
              </w:rPr>
            </w:pPr>
            <w:r>
              <w:rPr>
                <w:rFonts w:hint="eastAsia" w:ascii="宋体" w:hAnsi="宋体" w:cs="宋体"/>
                <w:kern w:val="0"/>
                <w:sz w:val="22"/>
                <w:szCs w:val="22"/>
              </w:rPr>
              <w:t>博达</w:t>
            </w:r>
          </w:p>
        </w:tc>
        <w:tc>
          <w:tcPr>
            <w:tcW w:w="330" w:type="pct"/>
            <w:tcBorders>
              <w:top w:val="nil"/>
              <w:left w:val="nil"/>
              <w:bottom w:val="single" w:color="auto" w:sz="4" w:space="0"/>
              <w:right w:val="single" w:color="auto" w:sz="4" w:space="0"/>
            </w:tcBorders>
            <w:shd w:val="clear" w:color="000000" w:fill="FFFFFF"/>
            <w:vAlign w:val="center"/>
          </w:tcPr>
          <w:p w14:paraId="27150986">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9F21421">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14 </w:t>
            </w:r>
          </w:p>
        </w:tc>
        <w:tc>
          <w:tcPr>
            <w:tcW w:w="462" w:type="pct"/>
            <w:tcBorders>
              <w:top w:val="nil"/>
              <w:left w:val="nil"/>
              <w:bottom w:val="single" w:color="auto" w:sz="4" w:space="0"/>
              <w:right w:val="single" w:color="auto" w:sz="4" w:space="0"/>
            </w:tcBorders>
            <w:shd w:val="clear" w:color="000000" w:fill="FFFFFF"/>
            <w:vAlign w:val="center"/>
          </w:tcPr>
          <w:p w14:paraId="73BBC14B">
            <w:pPr>
              <w:widowControl/>
              <w:jc w:val="left"/>
              <w:rPr>
                <w:rFonts w:ascii="宋体" w:hAnsi="宋体" w:cs="宋体"/>
                <w:kern w:val="0"/>
                <w:sz w:val="22"/>
                <w:szCs w:val="22"/>
              </w:rPr>
            </w:pPr>
            <w:r>
              <w:rPr>
                <w:rFonts w:hint="eastAsia" w:ascii="宋体" w:hAnsi="宋体" w:cs="宋体"/>
                <w:kern w:val="0"/>
                <w:sz w:val="22"/>
                <w:szCs w:val="22"/>
              </w:rPr>
              <w:t>　</w:t>
            </w:r>
          </w:p>
        </w:tc>
      </w:tr>
      <w:tr w14:paraId="3C2D4FF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975B50F">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49" w:type="pct"/>
            <w:tcBorders>
              <w:top w:val="nil"/>
              <w:left w:val="nil"/>
              <w:bottom w:val="single" w:color="auto" w:sz="4" w:space="0"/>
              <w:right w:val="single" w:color="auto" w:sz="4" w:space="0"/>
            </w:tcBorders>
            <w:shd w:val="clear" w:color="000000" w:fill="FFFFFF"/>
            <w:vAlign w:val="center"/>
          </w:tcPr>
          <w:p w14:paraId="4017CBA0">
            <w:pPr>
              <w:widowControl/>
              <w:jc w:val="left"/>
              <w:rPr>
                <w:rFonts w:ascii="宋体" w:hAnsi="宋体" w:cs="宋体"/>
                <w:kern w:val="0"/>
                <w:sz w:val="22"/>
                <w:szCs w:val="22"/>
              </w:rPr>
            </w:pPr>
            <w:r>
              <w:rPr>
                <w:rFonts w:hint="eastAsia" w:ascii="宋体" w:hAnsi="宋体" w:cs="宋体"/>
                <w:kern w:val="0"/>
                <w:sz w:val="22"/>
                <w:szCs w:val="22"/>
              </w:rPr>
              <w:t>软件系统</w:t>
            </w:r>
          </w:p>
        </w:tc>
        <w:tc>
          <w:tcPr>
            <w:tcW w:w="2219" w:type="pct"/>
            <w:tcBorders>
              <w:top w:val="nil"/>
              <w:left w:val="nil"/>
              <w:bottom w:val="single" w:color="auto" w:sz="4" w:space="0"/>
              <w:right w:val="single" w:color="auto" w:sz="4" w:space="0"/>
            </w:tcBorders>
            <w:shd w:val="clear" w:color="000000" w:fill="FFFFFF"/>
            <w:vAlign w:val="center"/>
          </w:tcPr>
          <w:p w14:paraId="51C5EEAB">
            <w:pPr>
              <w:widowControl/>
              <w:jc w:val="left"/>
              <w:rPr>
                <w:rFonts w:ascii="宋体" w:hAnsi="宋体" w:cs="宋体"/>
                <w:kern w:val="0"/>
                <w:sz w:val="22"/>
                <w:szCs w:val="22"/>
              </w:rPr>
            </w:pPr>
            <w:r>
              <w:rPr>
                <w:rFonts w:hint="eastAsia" w:ascii="宋体" w:hAnsi="宋体" w:cs="宋体"/>
                <w:kern w:val="0"/>
                <w:sz w:val="22"/>
                <w:szCs w:val="22"/>
              </w:rPr>
              <w:t>集中监控应用管理平台，以视频图像应用为基础手段，综合视频监控、联网报警、智能分析、运维管理等多种安全防范应用系统，构建的多业务应用综合管理平台。</w:t>
            </w:r>
          </w:p>
        </w:tc>
        <w:tc>
          <w:tcPr>
            <w:tcW w:w="344" w:type="pct"/>
            <w:tcBorders>
              <w:top w:val="nil"/>
              <w:left w:val="nil"/>
              <w:bottom w:val="single" w:color="auto" w:sz="4" w:space="0"/>
              <w:right w:val="single" w:color="auto" w:sz="4" w:space="0"/>
            </w:tcBorders>
            <w:shd w:val="clear" w:color="000000" w:fill="FFFFFF"/>
            <w:vAlign w:val="center"/>
          </w:tcPr>
          <w:p w14:paraId="1F77A62F">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673F93D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点</w:t>
            </w:r>
          </w:p>
        </w:tc>
        <w:tc>
          <w:tcPr>
            <w:tcW w:w="355" w:type="pct"/>
            <w:tcBorders>
              <w:top w:val="nil"/>
              <w:left w:val="nil"/>
              <w:bottom w:val="single" w:color="auto" w:sz="4" w:space="0"/>
              <w:right w:val="single" w:color="auto" w:sz="4" w:space="0"/>
            </w:tcBorders>
            <w:shd w:val="clear" w:color="000000" w:fill="FFFFFF"/>
            <w:vAlign w:val="center"/>
          </w:tcPr>
          <w:p w14:paraId="39FB3080">
            <w:pPr>
              <w:widowControl/>
              <w:jc w:val="center"/>
              <w:rPr>
                <w:rFonts w:ascii="微软雅黑" w:hAnsi="微软雅黑" w:eastAsia="微软雅黑" w:cs="宋体"/>
                <w:kern w:val="0"/>
                <w:sz w:val="22"/>
                <w:szCs w:val="22"/>
              </w:rPr>
            </w:pPr>
            <w:r>
              <w:rPr>
                <w:rFonts w:hint="eastAsia" w:ascii="微软雅黑" w:hAnsi="微软雅黑" w:eastAsia="微软雅黑" w:cs="宋体"/>
                <w:kern w:val="0"/>
                <w:sz w:val="22"/>
                <w:szCs w:val="22"/>
              </w:rPr>
              <w:t xml:space="preserve">14 </w:t>
            </w:r>
          </w:p>
        </w:tc>
        <w:tc>
          <w:tcPr>
            <w:tcW w:w="462" w:type="pct"/>
            <w:tcBorders>
              <w:top w:val="nil"/>
              <w:left w:val="nil"/>
              <w:bottom w:val="single" w:color="auto" w:sz="4" w:space="0"/>
              <w:right w:val="single" w:color="auto" w:sz="4" w:space="0"/>
            </w:tcBorders>
            <w:shd w:val="clear" w:color="000000" w:fill="FFFFFF"/>
            <w:vAlign w:val="center"/>
          </w:tcPr>
          <w:p w14:paraId="564E2820">
            <w:pPr>
              <w:widowControl/>
              <w:jc w:val="left"/>
              <w:rPr>
                <w:rFonts w:ascii="宋体" w:hAnsi="宋体" w:cs="宋体"/>
                <w:kern w:val="0"/>
                <w:sz w:val="22"/>
                <w:szCs w:val="22"/>
              </w:rPr>
            </w:pPr>
            <w:r>
              <w:rPr>
                <w:rFonts w:hint="eastAsia" w:ascii="宋体" w:hAnsi="宋体" w:cs="宋体"/>
                <w:kern w:val="0"/>
                <w:sz w:val="22"/>
                <w:szCs w:val="22"/>
              </w:rPr>
              <w:t>　</w:t>
            </w:r>
          </w:p>
        </w:tc>
      </w:tr>
      <w:tr w14:paraId="089F9818">
        <w:tblPrEx>
          <w:tblCellMar>
            <w:top w:w="0" w:type="dxa"/>
            <w:left w:w="108" w:type="dxa"/>
            <w:bottom w:w="0" w:type="dxa"/>
            <w:right w:w="108" w:type="dxa"/>
          </w:tblCellMar>
        </w:tblPrEx>
        <w:trPr>
          <w:trHeight w:val="570" w:hRule="atLeast"/>
        </w:trPr>
        <w:tc>
          <w:tcPr>
            <w:tcW w:w="129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0A9A627">
            <w:pPr>
              <w:widowControl/>
              <w:jc w:val="left"/>
              <w:rPr>
                <w:rFonts w:ascii="宋体" w:hAnsi="宋体" w:cs="宋体"/>
                <w:b/>
                <w:bCs/>
                <w:kern w:val="0"/>
                <w:sz w:val="22"/>
                <w:szCs w:val="22"/>
              </w:rPr>
            </w:pPr>
            <w:r>
              <w:rPr>
                <w:rFonts w:hint="eastAsia" w:ascii="宋体" w:hAnsi="宋体" w:cs="宋体"/>
                <w:b/>
                <w:bCs/>
                <w:kern w:val="0"/>
                <w:sz w:val="22"/>
                <w:szCs w:val="22"/>
              </w:rPr>
              <w:t>云存储中心端系统</w:t>
            </w:r>
          </w:p>
        </w:tc>
        <w:tc>
          <w:tcPr>
            <w:tcW w:w="2219" w:type="pct"/>
            <w:tcBorders>
              <w:top w:val="nil"/>
              <w:left w:val="nil"/>
              <w:bottom w:val="single" w:color="auto" w:sz="4" w:space="0"/>
              <w:right w:val="single" w:color="auto" w:sz="4" w:space="0"/>
            </w:tcBorders>
            <w:shd w:val="clear" w:color="000000" w:fill="FFFFFF"/>
          </w:tcPr>
          <w:p w14:paraId="12A36D0D">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344" w:type="pct"/>
            <w:tcBorders>
              <w:top w:val="nil"/>
              <w:left w:val="nil"/>
              <w:bottom w:val="single" w:color="auto" w:sz="4" w:space="0"/>
              <w:right w:val="single" w:color="auto" w:sz="4" w:space="0"/>
            </w:tcBorders>
            <w:shd w:val="clear" w:color="000000" w:fill="FFFFFF"/>
            <w:vAlign w:val="center"/>
          </w:tcPr>
          <w:p w14:paraId="636B0BDC">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134130DF">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355" w:type="pct"/>
            <w:tcBorders>
              <w:top w:val="nil"/>
              <w:left w:val="nil"/>
              <w:bottom w:val="single" w:color="auto" w:sz="4" w:space="0"/>
              <w:right w:val="single" w:color="auto" w:sz="4" w:space="0"/>
            </w:tcBorders>
            <w:shd w:val="clear" w:color="000000" w:fill="FFFFFF"/>
            <w:vAlign w:val="center"/>
          </w:tcPr>
          <w:p w14:paraId="7AEF4E07">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462" w:type="pct"/>
            <w:tcBorders>
              <w:top w:val="nil"/>
              <w:left w:val="nil"/>
              <w:bottom w:val="single" w:color="auto" w:sz="4" w:space="0"/>
              <w:right w:val="single" w:color="auto" w:sz="4" w:space="0"/>
            </w:tcBorders>
            <w:shd w:val="clear" w:color="000000" w:fill="FFFFFF"/>
            <w:noWrap/>
            <w:vAlign w:val="center"/>
          </w:tcPr>
          <w:p w14:paraId="51F55342">
            <w:pPr>
              <w:widowControl/>
              <w:jc w:val="left"/>
              <w:rPr>
                <w:rFonts w:ascii="宋体" w:hAnsi="宋体" w:cs="宋体"/>
                <w:kern w:val="0"/>
                <w:sz w:val="22"/>
                <w:szCs w:val="22"/>
              </w:rPr>
            </w:pPr>
            <w:r>
              <w:rPr>
                <w:rFonts w:hint="eastAsia" w:ascii="宋体" w:hAnsi="宋体" w:cs="宋体"/>
                <w:kern w:val="0"/>
                <w:sz w:val="22"/>
                <w:szCs w:val="22"/>
              </w:rPr>
              <w:t>　</w:t>
            </w:r>
          </w:p>
        </w:tc>
      </w:tr>
      <w:tr w14:paraId="10070437">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AD9BC07">
            <w:pPr>
              <w:widowControl/>
              <w:jc w:val="center"/>
              <w:rPr>
                <w:rFonts w:ascii="宋体" w:hAnsi="宋体" w:cs="宋体"/>
                <w:kern w:val="0"/>
                <w:sz w:val="22"/>
                <w:szCs w:val="22"/>
              </w:rPr>
            </w:pPr>
            <w:r>
              <w:rPr>
                <w:rFonts w:hint="eastAsia" w:ascii="宋体" w:hAnsi="宋体" w:cs="宋体"/>
                <w:kern w:val="0"/>
                <w:sz w:val="22"/>
                <w:szCs w:val="22"/>
              </w:rPr>
              <w:t>96</w:t>
            </w:r>
          </w:p>
        </w:tc>
        <w:tc>
          <w:tcPr>
            <w:tcW w:w="849" w:type="pct"/>
            <w:tcBorders>
              <w:top w:val="nil"/>
              <w:left w:val="nil"/>
              <w:bottom w:val="single" w:color="auto" w:sz="4" w:space="0"/>
              <w:right w:val="single" w:color="auto" w:sz="4" w:space="0"/>
            </w:tcBorders>
            <w:shd w:val="clear" w:color="000000" w:fill="FFFFFF"/>
            <w:vAlign w:val="center"/>
          </w:tcPr>
          <w:p w14:paraId="77E84FD3">
            <w:pPr>
              <w:widowControl/>
              <w:jc w:val="left"/>
              <w:rPr>
                <w:rFonts w:ascii="宋体" w:hAnsi="宋体" w:cs="宋体"/>
                <w:kern w:val="0"/>
                <w:sz w:val="22"/>
                <w:szCs w:val="22"/>
              </w:rPr>
            </w:pPr>
            <w:r>
              <w:rPr>
                <w:rFonts w:hint="eastAsia" w:ascii="宋体" w:hAnsi="宋体" w:cs="宋体"/>
                <w:kern w:val="0"/>
                <w:sz w:val="22"/>
                <w:szCs w:val="22"/>
              </w:rPr>
              <w:t>视频云存储存储服务器</w:t>
            </w:r>
          </w:p>
        </w:tc>
        <w:tc>
          <w:tcPr>
            <w:tcW w:w="2219" w:type="pct"/>
            <w:tcBorders>
              <w:top w:val="nil"/>
              <w:left w:val="nil"/>
              <w:bottom w:val="single" w:color="auto" w:sz="4" w:space="0"/>
              <w:right w:val="single" w:color="auto" w:sz="4" w:space="0"/>
            </w:tcBorders>
            <w:shd w:val="clear" w:color="000000" w:fill="FFFFFF"/>
          </w:tcPr>
          <w:p w14:paraId="0129E87C">
            <w:pPr>
              <w:widowControl/>
              <w:jc w:val="left"/>
              <w:rPr>
                <w:rFonts w:ascii="宋体" w:hAnsi="宋体" w:cs="宋体"/>
                <w:kern w:val="0"/>
                <w:sz w:val="22"/>
                <w:szCs w:val="22"/>
              </w:rPr>
            </w:pPr>
            <w:r>
              <w:rPr>
                <w:rFonts w:hint="eastAsia" w:ascii="宋体" w:hAnsi="宋体" w:cs="宋体"/>
                <w:kern w:val="0"/>
                <w:sz w:val="22"/>
                <w:szCs w:val="22"/>
              </w:rPr>
              <w:t>单设备应配置≥64位多核处理器，≥4GB内存，内存支持扩展到≥64GB，需配置冗余金牌电源，支持双系统（其中电源仅以照片证明即可）</w:t>
            </w:r>
            <w:r>
              <w:rPr>
                <w:rFonts w:hint="eastAsia" w:ascii="宋体" w:hAnsi="宋体" w:cs="宋体"/>
                <w:kern w:val="0"/>
                <w:sz w:val="22"/>
                <w:szCs w:val="22"/>
              </w:rPr>
              <w:br w:type="textWrapping"/>
            </w:r>
            <w:r>
              <w:rPr>
                <w:rFonts w:hint="eastAsia" w:ascii="宋体" w:hAnsi="宋体" w:cs="宋体"/>
                <w:kern w:val="0"/>
                <w:sz w:val="22"/>
                <w:szCs w:val="22"/>
              </w:rPr>
              <w:t>单设备应标配≥2个千兆网口，可增扩≥4个万兆口或≥8个光纤接口或增配≥4个HDMI接口或≥2个SAS3.0接口，可扩展2个SSD固态硬盘</w:t>
            </w:r>
            <w:r>
              <w:rPr>
                <w:rFonts w:hint="eastAsia" w:ascii="宋体" w:hAnsi="宋体" w:cs="宋体"/>
                <w:kern w:val="0"/>
                <w:sz w:val="22"/>
                <w:szCs w:val="22"/>
              </w:rPr>
              <w:br w:type="textWrapping"/>
            </w:r>
            <w:r>
              <w:rPr>
                <w:rFonts w:hint="eastAsia" w:ascii="宋体" w:hAnsi="宋体" w:cs="宋体"/>
                <w:kern w:val="0"/>
                <w:sz w:val="22"/>
                <w:szCs w:val="22"/>
              </w:rPr>
              <w:t>应支持FCSAN、IPSAN、NAS存储功能</w:t>
            </w:r>
            <w:r>
              <w:rPr>
                <w:rFonts w:hint="eastAsia" w:ascii="宋体" w:hAnsi="宋体" w:cs="宋体"/>
                <w:kern w:val="0"/>
                <w:sz w:val="22"/>
                <w:szCs w:val="22"/>
              </w:rPr>
              <w:br w:type="textWrapping"/>
            </w:r>
            <w:r>
              <w:rPr>
                <w:rFonts w:hint="eastAsia" w:ascii="宋体" w:hAnsi="宋体" w:cs="宋体"/>
                <w:kern w:val="0"/>
                <w:sz w:val="22"/>
                <w:szCs w:val="22"/>
              </w:rPr>
              <w:t>可接入2T/3T/4T/6T/8T/10TSATA磁盘，支持磁盘交错启动和漫游，并支持在线热插拔；接入硬盘≥48块，支持SATA和SAS混插，并支持≥12级扩展柜级联扩展；</w:t>
            </w:r>
          </w:p>
        </w:tc>
        <w:tc>
          <w:tcPr>
            <w:tcW w:w="344" w:type="pct"/>
            <w:tcBorders>
              <w:top w:val="nil"/>
              <w:left w:val="nil"/>
              <w:bottom w:val="single" w:color="auto" w:sz="4" w:space="0"/>
              <w:right w:val="single" w:color="auto" w:sz="4" w:space="0"/>
            </w:tcBorders>
            <w:shd w:val="clear" w:color="000000" w:fill="FFFFFF"/>
            <w:vAlign w:val="center"/>
          </w:tcPr>
          <w:p w14:paraId="29CCD39E">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008C663">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A827DD8">
            <w:pPr>
              <w:widowControl/>
              <w:jc w:val="center"/>
              <w:rPr>
                <w:rFonts w:ascii="宋体" w:hAnsi="宋体" w:cs="宋体"/>
                <w:kern w:val="0"/>
                <w:sz w:val="22"/>
                <w:szCs w:val="22"/>
              </w:rPr>
            </w:pPr>
            <w:r>
              <w:rPr>
                <w:rFonts w:hint="eastAsia" w:ascii="宋体" w:hAnsi="宋体" w:cs="宋体"/>
                <w:kern w:val="0"/>
                <w:sz w:val="22"/>
                <w:szCs w:val="22"/>
              </w:rPr>
              <w:t xml:space="preserve">8 </w:t>
            </w:r>
          </w:p>
        </w:tc>
        <w:tc>
          <w:tcPr>
            <w:tcW w:w="462" w:type="pct"/>
            <w:tcBorders>
              <w:top w:val="nil"/>
              <w:left w:val="nil"/>
              <w:bottom w:val="single" w:color="auto" w:sz="4" w:space="0"/>
              <w:right w:val="single" w:color="auto" w:sz="4" w:space="0"/>
            </w:tcBorders>
            <w:shd w:val="clear" w:color="000000" w:fill="FFFFFF"/>
            <w:noWrap/>
            <w:vAlign w:val="center"/>
          </w:tcPr>
          <w:p w14:paraId="2EAA4AF4">
            <w:pPr>
              <w:widowControl/>
              <w:jc w:val="left"/>
              <w:rPr>
                <w:rFonts w:ascii="宋体" w:hAnsi="宋体" w:cs="宋体"/>
                <w:kern w:val="0"/>
                <w:sz w:val="22"/>
                <w:szCs w:val="22"/>
              </w:rPr>
            </w:pPr>
            <w:r>
              <w:rPr>
                <w:rFonts w:hint="eastAsia" w:ascii="宋体" w:hAnsi="宋体" w:cs="宋体"/>
                <w:kern w:val="0"/>
                <w:sz w:val="22"/>
                <w:szCs w:val="22"/>
              </w:rPr>
              <w:t>　</w:t>
            </w:r>
          </w:p>
        </w:tc>
      </w:tr>
      <w:tr w14:paraId="3015047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9269640">
            <w:pPr>
              <w:widowControl/>
              <w:jc w:val="center"/>
              <w:rPr>
                <w:rFonts w:ascii="宋体" w:hAnsi="宋体" w:cs="宋体"/>
                <w:kern w:val="0"/>
                <w:sz w:val="22"/>
                <w:szCs w:val="22"/>
              </w:rPr>
            </w:pPr>
            <w:r>
              <w:rPr>
                <w:rFonts w:hint="eastAsia" w:ascii="宋体" w:hAnsi="宋体" w:cs="宋体"/>
                <w:kern w:val="0"/>
                <w:sz w:val="22"/>
                <w:szCs w:val="22"/>
              </w:rPr>
              <w:t>97</w:t>
            </w:r>
          </w:p>
        </w:tc>
        <w:tc>
          <w:tcPr>
            <w:tcW w:w="849" w:type="pct"/>
            <w:tcBorders>
              <w:top w:val="nil"/>
              <w:left w:val="nil"/>
              <w:bottom w:val="single" w:color="auto" w:sz="4" w:space="0"/>
              <w:right w:val="single" w:color="auto" w:sz="4" w:space="0"/>
            </w:tcBorders>
            <w:shd w:val="clear" w:color="000000" w:fill="FFFFFF"/>
            <w:vAlign w:val="center"/>
          </w:tcPr>
          <w:p w14:paraId="05DC4F6D">
            <w:pPr>
              <w:widowControl/>
              <w:jc w:val="left"/>
              <w:rPr>
                <w:rFonts w:ascii="宋体" w:hAnsi="宋体" w:cs="宋体"/>
                <w:kern w:val="0"/>
                <w:sz w:val="22"/>
                <w:szCs w:val="22"/>
              </w:rPr>
            </w:pPr>
            <w:r>
              <w:rPr>
                <w:rFonts w:hint="eastAsia" w:ascii="宋体" w:hAnsi="宋体" w:cs="宋体"/>
                <w:kern w:val="0"/>
                <w:sz w:val="22"/>
                <w:szCs w:val="22"/>
              </w:rPr>
              <w:t>云存储系统软件</w:t>
            </w:r>
          </w:p>
        </w:tc>
        <w:tc>
          <w:tcPr>
            <w:tcW w:w="2219" w:type="pct"/>
            <w:tcBorders>
              <w:top w:val="nil"/>
              <w:left w:val="nil"/>
              <w:bottom w:val="single" w:color="auto" w:sz="4" w:space="0"/>
              <w:right w:val="single" w:color="auto" w:sz="4" w:space="0"/>
            </w:tcBorders>
            <w:shd w:val="clear" w:color="000000" w:fill="FFFFFF"/>
          </w:tcPr>
          <w:p w14:paraId="0D0FDFB5">
            <w:pPr>
              <w:widowControl/>
              <w:jc w:val="left"/>
              <w:rPr>
                <w:rFonts w:ascii="宋体" w:hAnsi="宋体" w:cs="宋体"/>
                <w:kern w:val="0"/>
                <w:sz w:val="22"/>
                <w:szCs w:val="22"/>
              </w:rPr>
            </w:pPr>
            <w:r>
              <w:rPr>
                <w:rFonts w:hint="eastAsia" w:ascii="宋体" w:hAnsi="宋体" w:cs="宋体"/>
                <w:kern w:val="0"/>
                <w:sz w:val="22"/>
                <w:szCs w:val="22"/>
              </w:rPr>
              <w:t>集成容量虚拟化管理功能、集群化管理功能；负责视频录像资源分配、计划管理、索引管理，负载均衡调度；提供数据查询、回放、下载、锁定等功能。支持录像计划从前端取流直存到虚拟化容量空间，提供视频、图片的统一存储。</w:t>
            </w:r>
          </w:p>
        </w:tc>
        <w:tc>
          <w:tcPr>
            <w:tcW w:w="344" w:type="pct"/>
            <w:tcBorders>
              <w:top w:val="nil"/>
              <w:left w:val="nil"/>
              <w:bottom w:val="single" w:color="auto" w:sz="4" w:space="0"/>
              <w:right w:val="single" w:color="auto" w:sz="4" w:space="0"/>
            </w:tcBorders>
            <w:shd w:val="clear" w:color="000000" w:fill="FFFFFF"/>
            <w:vAlign w:val="center"/>
          </w:tcPr>
          <w:p w14:paraId="31E46960">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026E2948">
            <w:pPr>
              <w:widowControl/>
              <w:jc w:val="center"/>
              <w:rPr>
                <w:rFonts w:ascii="宋体" w:hAnsi="宋体" w:cs="宋体"/>
                <w:kern w:val="0"/>
                <w:sz w:val="22"/>
                <w:szCs w:val="22"/>
              </w:rPr>
            </w:pPr>
            <w:r>
              <w:rPr>
                <w:rFonts w:hint="eastAsia" w:ascii="宋体" w:hAnsi="宋体"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5AFF5B02">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3BC5A7C9">
            <w:pPr>
              <w:widowControl/>
              <w:jc w:val="left"/>
              <w:rPr>
                <w:rFonts w:ascii="宋体" w:hAnsi="宋体" w:cs="宋体"/>
                <w:kern w:val="0"/>
                <w:sz w:val="22"/>
                <w:szCs w:val="22"/>
              </w:rPr>
            </w:pPr>
            <w:r>
              <w:rPr>
                <w:rFonts w:hint="eastAsia" w:ascii="宋体" w:hAnsi="宋体" w:cs="宋体"/>
                <w:kern w:val="0"/>
                <w:sz w:val="22"/>
                <w:szCs w:val="22"/>
              </w:rPr>
              <w:t>　</w:t>
            </w:r>
          </w:p>
        </w:tc>
      </w:tr>
      <w:tr w14:paraId="560D2B11">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6682699">
            <w:pPr>
              <w:widowControl/>
              <w:jc w:val="center"/>
              <w:rPr>
                <w:rFonts w:ascii="宋体" w:hAnsi="宋体" w:cs="宋体"/>
                <w:kern w:val="0"/>
                <w:sz w:val="22"/>
                <w:szCs w:val="22"/>
              </w:rPr>
            </w:pPr>
            <w:r>
              <w:rPr>
                <w:rFonts w:hint="eastAsia" w:ascii="宋体" w:hAnsi="宋体" w:cs="宋体"/>
                <w:kern w:val="0"/>
                <w:sz w:val="22"/>
                <w:szCs w:val="22"/>
              </w:rPr>
              <w:t>98</w:t>
            </w:r>
          </w:p>
        </w:tc>
        <w:tc>
          <w:tcPr>
            <w:tcW w:w="849" w:type="pct"/>
            <w:tcBorders>
              <w:top w:val="nil"/>
              <w:left w:val="nil"/>
              <w:bottom w:val="single" w:color="auto" w:sz="4" w:space="0"/>
              <w:right w:val="single" w:color="auto" w:sz="4" w:space="0"/>
            </w:tcBorders>
            <w:shd w:val="clear" w:color="000000" w:fill="FFFFFF"/>
            <w:vAlign w:val="center"/>
          </w:tcPr>
          <w:p w14:paraId="18FAA666">
            <w:pPr>
              <w:widowControl/>
              <w:jc w:val="left"/>
              <w:rPr>
                <w:rFonts w:ascii="宋体" w:hAnsi="宋体" w:cs="宋体"/>
                <w:kern w:val="0"/>
                <w:sz w:val="22"/>
                <w:szCs w:val="22"/>
              </w:rPr>
            </w:pPr>
            <w:r>
              <w:rPr>
                <w:rFonts w:hint="eastAsia" w:ascii="宋体" w:hAnsi="宋体" w:cs="宋体"/>
                <w:kern w:val="0"/>
                <w:sz w:val="22"/>
                <w:szCs w:val="22"/>
              </w:rPr>
              <w:t>云存储运维软件</w:t>
            </w:r>
          </w:p>
        </w:tc>
        <w:tc>
          <w:tcPr>
            <w:tcW w:w="2219" w:type="pct"/>
            <w:tcBorders>
              <w:top w:val="nil"/>
              <w:left w:val="nil"/>
              <w:bottom w:val="single" w:color="auto" w:sz="4" w:space="0"/>
              <w:right w:val="single" w:color="auto" w:sz="4" w:space="0"/>
            </w:tcBorders>
            <w:shd w:val="clear" w:color="000000" w:fill="FFFFFF"/>
          </w:tcPr>
          <w:p w14:paraId="4476E4BC">
            <w:pPr>
              <w:widowControl/>
              <w:jc w:val="left"/>
              <w:rPr>
                <w:rFonts w:ascii="宋体" w:hAnsi="宋体" w:cs="宋体"/>
                <w:kern w:val="0"/>
                <w:sz w:val="22"/>
                <w:szCs w:val="22"/>
              </w:rPr>
            </w:pPr>
            <w:r>
              <w:rPr>
                <w:rFonts w:hint="eastAsia" w:ascii="宋体" w:hAnsi="宋体" w:cs="宋体"/>
                <w:kern w:val="0"/>
                <w:sz w:val="22"/>
                <w:szCs w:val="22"/>
              </w:rPr>
              <w:t>集成视频云存储的运维系统，可进行软件、硬件、系统的运维。</w:t>
            </w:r>
          </w:p>
        </w:tc>
        <w:tc>
          <w:tcPr>
            <w:tcW w:w="344" w:type="pct"/>
            <w:tcBorders>
              <w:top w:val="nil"/>
              <w:left w:val="nil"/>
              <w:bottom w:val="single" w:color="auto" w:sz="4" w:space="0"/>
              <w:right w:val="single" w:color="auto" w:sz="4" w:space="0"/>
            </w:tcBorders>
            <w:shd w:val="clear" w:color="000000" w:fill="FFFFFF"/>
            <w:vAlign w:val="center"/>
          </w:tcPr>
          <w:p w14:paraId="77680C23">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78D66D9">
            <w:pPr>
              <w:widowControl/>
              <w:jc w:val="center"/>
              <w:rPr>
                <w:rFonts w:ascii="宋体" w:hAnsi="宋体" w:cs="宋体"/>
                <w:kern w:val="0"/>
                <w:sz w:val="22"/>
                <w:szCs w:val="22"/>
              </w:rPr>
            </w:pPr>
            <w:r>
              <w:rPr>
                <w:rFonts w:hint="eastAsia" w:ascii="宋体" w:hAnsi="宋体"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56973C65">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5D4874CA">
            <w:pPr>
              <w:widowControl/>
              <w:jc w:val="left"/>
              <w:rPr>
                <w:rFonts w:ascii="宋体" w:hAnsi="宋体" w:cs="宋体"/>
                <w:kern w:val="0"/>
                <w:sz w:val="22"/>
                <w:szCs w:val="22"/>
              </w:rPr>
            </w:pPr>
            <w:r>
              <w:rPr>
                <w:rFonts w:hint="eastAsia" w:ascii="宋体" w:hAnsi="宋体" w:cs="宋体"/>
                <w:kern w:val="0"/>
                <w:sz w:val="22"/>
                <w:szCs w:val="22"/>
              </w:rPr>
              <w:t>　</w:t>
            </w:r>
          </w:p>
        </w:tc>
      </w:tr>
      <w:tr w14:paraId="689AF97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F2CCEAA">
            <w:pPr>
              <w:widowControl/>
              <w:jc w:val="center"/>
              <w:rPr>
                <w:rFonts w:ascii="宋体" w:hAnsi="宋体" w:cs="宋体"/>
                <w:kern w:val="0"/>
                <w:sz w:val="22"/>
                <w:szCs w:val="22"/>
              </w:rPr>
            </w:pPr>
            <w:r>
              <w:rPr>
                <w:rFonts w:hint="eastAsia" w:ascii="宋体" w:hAnsi="宋体" w:cs="宋体"/>
                <w:kern w:val="0"/>
                <w:sz w:val="22"/>
                <w:szCs w:val="22"/>
              </w:rPr>
              <w:t>99</w:t>
            </w:r>
          </w:p>
        </w:tc>
        <w:tc>
          <w:tcPr>
            <w:tcW w:w="849" w:type="pct"/>
            <w:tcBorders>
              <w:top w:val="nil"/>
              <w:left w:val="nil"/>
              <w:bottom w:val="single" w:color="auto" w:sz="4" w:space="0"/>
              <w:right w:val="single" w:color="auto" w:sz="4" w:space="0"/>
            </w:tcBorders>
            <w:shd w:val="clear" w:color="000000" w:fill="FFFFFF"/>
            <w:vAlign w:val="center"/>
          </w:tcPr>
          <w:p w14:paraId="329EC26C">
            <w:pPr>
              <w:widowControl/>
              <w:jc w:val="left"/>
              <w:rPr>
                <w:rFonts w:ascii="宋体" w:hAnsi="宋体" w:cs="宋体"/>
                <w:kern w:val="0"/>
                <w:sz w:val="22"/>
                <w:szCs w:val="22"/>
              </w:rPr>
            </w:pPr>
            <w:r>
              <w:rPr>
                <w:rFonts w:hint="eastAsia" w:ascii="宋体" w:hAnsi="宋体" w:cs="宋体"/>
                <w:kern w:val="0"/>
                <w:sz w:val="22"/>
                <w:szCs w:val="22"/>
              </w:rPr>
              <w:t>流媒体转发服务器</w:t>
            </w:r>
          </w:p>
        </w:tc>
        <w:tc>
          <w:tcPr>
            <w:tcW w:w="2219" w:type="pct"/>
            <w:tcBorders>
              <w:top w:val="nil"/>
              <w:left w:val="nil"/>
              <w:bottom w:val="single" w:color="auto" w:sz="4" w:space="0"/>
              <w:right w:val="single" w:color="auto" w:sz="4" w:space="0"/>
            </w:tcBorders>
            <w:shd w:val="clear" w:color="000000" w:fill="FFFFFF"/>
          </w:tcPr>
          <w:p w14:paraId="40BC56F5">
            <w:pPr>
              <w:widowControl/>
              <w:jc w:val="left"/>
              <w:rPr>
                <w:rFonts w:ascii="宋体" w:hAnsi="宋体" w:cs="宋体"/>
                <w:kern w:val="0"/>
                <w:sz w:val="22"/>
                <w:szCs w:val="22"/>
              </w:rPr>
            </w:pPr>
            <w:r>
              <w:rPr>
                <w:rFonts w:hint="eastAsia" w:ascii="宋体" w:hAnsi="宋体" w:cs="宋体"/>
                <w:kern w:val="0"/>
                <w:sz w:val="22"/>
                <w:szCs w:val="22"/>
              </w:rPr>
              <w:t>流媒体服务器产品，集成VTDU、VTM于一体(不支持VAG), 支持海康/GB/ONVIF/PSIA标准协议的 视频接入和转发（性能：800路*2Mbps的接入和800路*2Mbps转发）。配置：1个64位多核处理器，8GB，可扩展至32GB。</w:t>
            </w:r>
          </w:p>
        </w:tc>
        <w:tc>
          <w:tcPr>
            <w:tcW w:w="344" w:type="pct"/>
            <w:tcBorders>
              <w:top w:val="nil"/>
              <w:left w:val="nil"/>
              <w:bottom w:val="single" w:color="auto" w:sz="4" w:space="0"/>
              <w:right w:val="single" w:color="auto" w:sz="4" w:space="0"/>
            </w:tcBorders>
            <w:shd w:val="clear" w:color="000000" w:fill="FFFFFF"/>
            <w:vAlign w:val="center"/>
          </w:tcPr>
          <w:p w14:paraId="09EFE122">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3F12CE20">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686F4AB">
            <w:pPr>
              <w:widowControl/>
              <w:jc w:val="center"/>
              <w:rPr>
                <w:rFonts w:ascii="宋体" w:hAnsi="宋体" w:cs="宋体"/>
                <w:kern w:val="0"/>
                <w:sz w:val="22"/>
                <w:szCs w:val="22"/>
              </w:rPr>
            </w:pPr>
            <w:r>
              <w:rPr>
                <w:rFonts w:hint="eastAsia" w:ascii="宋体" w:hAnsi="宋体" w:cs="宋体"/>
                <w:kern w:val="0"/>
                <w:sz w:val="22"/>
                <w:szCs w:val="22"/>
              </w:rPr>
              <w:t xml:space="preserve">4 </w:t>
            </w:r>
          </w:p>
        </w:tc>
        <w:tc>
          <w:tcPr>
            <w:tcW w:w="462" w:type="pct"/>
            <w:tcBorders>
              <w:top w:val="nil"/>
              <w:left w:val="nil"/>
              <w:bottom w:val="single" w:color="auto" w:sz="4" w:space="0"/>
              <w:right w:val="single" w:color="auto" w:sz="4" w:space="0"/>
            </w:tcBorders>
            <w:shd w:val="clear" w:color="000000" w:fill="FFFFFF"/>
            <w:noWrap/>
            <w:vAlign w:val="center"/>
          </w:tcPr>
          <w:p w14:paraId="07DF6D60">
            <w:pPr>
              <w:widowControl/>
              <w:jc w:val="left"/>
              <w:rPr>
                <w:rFonts w:ascii="宋体" w:hAnsi="宋体" w:cs="宋体"/>
                <w:kern w:val="0"/>
                <w:sz w:val="22"/>
                <w:szCs w:val="22"/>
              </w:rPr>
            </w:pPr>
            <w:r>
              <w:rPr>
                <w:rFonts w:hint="eastAsia" w:ascii="宋体" w:hAnsi="宋体" w:cs="宋体"/>
                <w:kern w:val="0"/>
                <w:sz w:val="22"/>
                <w:szCs w:val="22"/>
              </w:rPr>
              <w:t>　</w:t>
            </w:r>
          </w:p>
        </w:tc>
      </w:tr>
      <w:tr w14:paraId="735EBF3F">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921646D">
            <w:pPr>
              <w:widowControl/>
              <w:jc w:val="center"/>
              <w:rPr>
                <w:rFonts w:ascii="宋体" w:hAnsi="宋体" w:cs="宋体"/>
                <w:kern w:val="0"/>
                <w:sz w:val="22"/>
                <w:szCs w:val="22"/>
              </w:rPr>
            </w:pPr>
            <w:r>
              <w:rPr>
                <w:rFonts w:hint="eastAsia" w:ascii="宋体" w:hAnsi="宋体" w:cs="宋体"/>
                <w:kern w:val="0"/>
                <w:sz w:val="22"/>
                <w:szCs w:val="22"/>
              </w:rPr>
              <w:t>100</w:t>
            </w:r>
          </w:p>
        </w:tc>
        <w:tc>
          <w:tcPr>
            <w:tcW w:w="849" w:type="pct"/>
            <w:tcBorders>
              <w:top w:val="nil"/>
              <w:left w:val="nil"/>
              <w:bottom w:val="single" w:color="auto" w:sz="4" w:space="0"/>
              <w:right w:val="single" w:color="auto" w:sz="4" w:space="0"/>
            </w:tcBorders>
            <w:shd w:val="clear" w:color="000000" w:fill="FFFFFF"/>
            <w:vAlign w:val="center"/>
          </w:tcPr>
          <w:p w14:paraId="3346412D">
            <w:pPr>
              <w:widowControl/>
              <w:jc w:val="left"/>
              <w:rPr>
                <w:rFonts w:ascii="宋体" w:hAnsi="宋体" w:cs="宋体"/>
                <w:kern w:val="0"/>
                <w:sz w:val="22"/>
                <w:szCs w:val="22"/>
              </w:rPr>
            </w:pPr>
            <w:r>
              <w:rPr>
                <w:rFonts w:hint="eastAsia" w:ascii="宋体" w:hAnsi="宋体" w:cs="宋体"/>
                <w:kern w:val="0"/>
                <w:sz w:val="22"/>
                <w:szCs w:val="22"/>
              </w:rPr>
              <w:t>接入服务器</w:t>
            </w:r>
          </w:p>
        </w:tc>
        <w:tc>
          <w:tcPr>
            <w:tcW w:w="2219" w:type="pct"/>
            <w:tcBorders>
              <w:top w:val="nil"/>
              <w:left w:val="nil"/>
              <w:bottom w:val="single" w:color="auto" w:sz="4" w:space="0"/>
              <w:right w:val="single" w:color="auto" w:sz="4" w:space="0"/>
            </w:tcBorders>
            <w:shd w:val="clear" w:color="000000" w:fill="FFFFFF"/>
          </w:tcPr>
          <w:p w14:paraId="76AAFF93">
            <w:pPr>
              <w:widowControl/>
              <w:jc w:val="left"/>
              <w:rPr>
                <w:rFonts w:ascii="宋体" w:hAnsi="宋体" w:cs="宋体"/>
                <w:kern w:val="0"/>
                <w:sz w:val="22"/>
                <w:szCs w:val="22"/>
              </w:rPr>
            </w:pPr>
            <w:r>
              <w:rPr>
                <w:rFonts w:hint="eastAsia" w:ascii="宋体" w:hAnsi="宋体" w:cs="宋体"/>
                <w:kern w:val="0"/>
                <w:sz w:val="22"/>
                <w:szCs w:val="22"/>
              </w:rPr>
              <w:t>4114(10核2.2GHz)×1/32G DDR4/1TB 7.2K  SATA×2/SAS_HBA/1GbE×2/Win Svr 2016 简中标版/550W(1+1)/2U/16DIMM</w:t>
            </w:r>
          </w:p>
        </w:tc>
        <w:tc>
          <w:tcPr>
            <w:tcW w:w="344" w:type="pct"/>
            <w:tcBorders>
              <w:top w:val="nil"/>
              <w:left w:val="nil"/>
              <w:bottom w:val="single" w:color="auto" w:sz="4" w:space="0"/>
              <w:right w:val="single" w:color="auto" w:sz="4" w:space="0"/>
            </w:tcBorders>
            <w:shd w:val="clear" w:color="000000" w:fill="FFFFFF"/>
            <w:vAlign w:val="center"/>
          </w:tcPr>
          <w:p w14:paraId="17149249">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0711382">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4F569454">
            <w:pPr>
              <w:widowControl/>
              <w:jc w:val="center"/>
              <w:rPr>
                <w:rFonts w:ascii="宋体" w:hAnsi="宋体" w:cs="宋体"/>
                <w:kern w:val="0"/>
                <w:sz w:val="22"/>
                <w:szCs w:val="22"/>
              </w:rPr>
            </w:pPr>
            <w:r>
              <w:rPr>
                <w:rFonts w:hint="eastAsia" w:ascii="宋体" w:hAnsi="宋体"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noWrap/>
            <w:vAlign w:val="center"/>
          </w:tcPr>
          <w:p w14:paraId="0A3885A4">
            <w:pPr>
              <w:widowControl/>
              <w:jc w:val="left"/>
              <w:rPr>
                <w:rFonts w:ascii="宋体" w:hAnsi="宋体" w:cs="宋体"/>
                <w:kern w:val="0"/>
                <w:sz w:val="22"/>
                <w:szCs w:val="22"/>
              </w:rPr>
            </w:pPr>
            <w:r>
              <w:rPr>
                <w:rFonts w:hint="eastAsia" w:ascii="宋体" w:hAnsi="宋体" w:cs="宋体"/>
                <w:kern w:val="0"/>
                <w:sz w:val="22"/>
                <w:szCs w:val="22"/>
              </w:rPr>
              <w:t>　</w:t>
            </w:r>
          </w:p>
        </w:tc>
      </w:tr>
      <w:tr w14:paraId="448529B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BFCA875">
            <w:pPr>
              <w:widowControl/>
              <w:jc w:val="center"/>
              <w:rPr>
                <w:rFonts w:ascii="宋体" w:hAnsi="宋体" w:cs="宋体"/>
                <w:kern w:val="0"/>
                <w:sz w:val="22"/>
                <w:szCs w:val="22"/>
              </w:rPr>
            </w:pPr>
            <w:r>
              <w:rPr>
                <w:rFonts w:hint="eastAsia" w:ascii="宋体" w:hAnsi="宋体" w:cs="宋体"/>
                <w:kern w:val="0"/>
                <w:sz w:val="22"/>
                <w:szCs w:val="22"/>
              </w:rPr>
              <w:t>101</w:t>
            </w:r>
          </w:p>
        </w:tc>
        <w:tc>
          <w:tcPr>
            <w:tcW w:w="849" w:type="pct"/>
            <w:tcBorders>
              <w:top w:val="nil"/>
              <w:left w:val="nil"/>
              <w:bottom w:val="single" w:color="auto" w:sz="4" w:space="0"/>
              <w:right w:val="single" w:color="auto" w:sz="4" w:space="0"/>
            </w:tcBorders>
            <w:shd w:val="clear" w:color="000000" w:fill="FFFFFF"/>
            <w:vAlign w:val="center"/>
          </w:tcPr>
          <w:p w14:paraId="2BB1EF31">
            <w:pPr>
              <w:widowControl/>
              <w:jc w:val="left"/>
              <w:rPr>
                <w:rFonts w:ascii="宋体" w:hAnsi="宋体" w:cs="宋体"/>
                <w:kern w:val="0"/>
                <w:sz w:val="22"/>
                <w:szCs w:val="22"/>
              </w:rPr>
            </w:pPr>
            <w:r>
              <w:rPr>
                <w:rFonts w:hint="eastAsia" w:ascii="宋体" w:hAnsi="宋体" w:cs="宋体"/>
                <w:kern w:val="0"/>
                <w:sz w:val="22"/>
                <w:szCs w:val="22"/>
              </w:rPr>
              <w:t>存储管理服务器</w:t>
            </w:r>
          </w:p>
        </w:tc>
        <w:tc>
          <w:tcPr>
            <w:tcW w:w="2219" w:type="pct"/>
            <w:tcBorders>
              <w:top w:val="nil"/>
              <w:left w:val="nil"/>
              <w:bottom w:val="single" w:color="auto" w:sz="4" w:space="0"/>
              <w:right w:val="single" w:color="auto" w:sz="4" w:space="0"/>
            </w:tcBorders>
            <w:shd w:val="clear" w:color="000000" w:fill="FFFFFF"/>
          </w:tcPr>
          <w:p w14:paraId="6E5A224B">
            <w:pPr>
              <w:widowControl/>
              <w:jc w:val="left"/>
              <w:rPr>
                <w:rFonts w:ascii="宋体" w:hAnsi="宋体" w:cs="宋体"/>
                <w:kern w:val="0"/>
                <w:sz w:val="22"/>
                <w:szCs w:val="22"/>
              </w:rPr>
            </w:pPr>
            <w:r>
              <w:rPr>
                <w:rFonts w:hint="eastAsia" w:ascii="宋体" w:hAnsi="宋体" w:cs="宋体"/>
                <w:kern w:val="0"/>
                <w:sz w:val="22"/>
                <w:szCs w:val="22"/>
              </w:rPr>
              <w:t>4114(10核2.2GHz)×1/32G DDR4/1TB 7.2K  SATA×2/SAS_HBA/1GbE×2/Win Svr 2016 简中标版/550W(1+1)/2U/16DIMM</w:t>
            </w:r>
          </w:p>
        </w:tc>
        <w:tc>
          <w:tcPr>
            <w:tcW w:w="344" w:type="pct"/>
            <w:tcBorders>
              <w:top w:val="nil"/>
              <w:left w:val="nil"/>
              <w:bottom w:val="single" w:color="auto" w:sz="4" w:space="0"/>
              <w:right w:val="single" w:color="auto" w:sz="4" w:space="0"/>
            </w:tcBorders>
            <w:shd w:val="clear" w:color="000000" w:fill="FFFFFF"/>
            <w:vAlign w:val="center"/>
          </w:tcPr>
          <w:p w14:paraId="4AF9AF81">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5152D5F">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2C46F8ED">
            <w:pPr>
              <w:widowControl/>
              <w:jc w:val="center"/>
              <w:rPr>
                <w:rFonts w:ascii="宋体" w:hAnsi="宋体" w:cs="宋体"/>
                <w:kern w:val="0"/>
                <w:sz w:val="22"/>
                <w:szCs w:val="22"/>
              </w:rPr>
            </w:pPr>
            <w:r>
              <w:rPr>
                <w:rFonts w:hint="eastAsia" w:ascii="宋体" w:hAnsi="宋体" w:cs="宋体"/>
                <w:kern w:val="0"/>
                <w:sz w:val="22"/>
                <w:szCs w:val="22"/>
              </w:rPr>
              <w:t xml:space="preserve">2 </w:t>
            </w:r>
          </w:p>
        </w:tc>
        <w:tc>
          <w:tcPr>
            <w:tcW w:w="462" w:type="pct"/>
            <w:tcBorders>
              <w:top w:val="nil"/>
              <w:left w:val="nil"/>
              <w:bottom w:val="single" w:color="auto" w:sz="4" w:space="0"/>
              <w:right w:val="single" w:color="auto" w:sz="4" w:space="0"/>
            </w:tcBorders>
            <w:shd w:val="clear" w:color="000000" w:fill="FFFFFF"/>
            <w:noWrap/>
            <w:vAlign w:val="center"/>
          </w:tcPr>
          <w:p w14:paraId="6D2DD45B">
            <w:pPr>
              <w:widowControl/>
              <w:jc w:val="left"/>
              <w:rPr>
                <w:rFonts w:ascii="宋体" w:hAnsi="宋体" w:cs="宋体"/>
                <w:kern w:val="0"/>
                <w:sz w:val="22"/>
                <w:szCs w:val="22"/>
              </w:rPr>
            </w:pPr>
            <w:r>
              <w:rPr>
                <w:rFonts w:hint="eastAsia" w:ascii="宋体" w:hAnsi="宋体" w:cs="宋体"/>
                <w:kern w:val="0"/>
                <w:sz w:val="22"/>
                <w:szCs w:val="22"/>
              </w:rPr>
              <w:t>　</w:t>
            </w:r>
          </w:p>
        </w:tc>
      </w:tr>
      <w:tr w14:paraId="01F7C23E">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34AE326">
            <w:pPr>
              <w:widowControl/>
              <w:jc w:val="center"/>
              <w:rPr>
                <w:rFonts w:ascii="宋体" w:hAnsi="宋体" w:cs="宋体"/>
                <w:kern w:val="0"/>
                <w:sz w:val="22"/>
                <w:szCs w:val="22"/>
              </w:rPr>
            </w:pPr>
            <w:r>
              <w:rPr>
                <w:rFonts w:hint="eastAsia" w:ascii="宋体" w:hAnsi="宋体" w:cs="宋体"/>
                <w:kern w:val="0"/>
                <w:sz w:val="22"/>
                <w:szCs w:val="22"/>
              </w:rPr>
              <w:t>102</w:t>
            </w:r>
          </w:p>
        </w:tc>
        <w:tc>
          <w:tcPr>
            <w:tcW w:w="849" w:type="pct"/>
            <w:tcBorders>
              <w:top w:val="nil"/>
              <w:left w:val="nil"/>
              <w:bottom w:val="single" w:color="auto" w:sz="4" w:space="0"/>
              <w:right w:val="single" w:color="auto" w:sz="4" w:space="0"/>
            </w:tcBorders>
            <w:shd w:val="clear" w:color="000000" w:fill="FFFFFF"/>
            <w:vAlign w:val="center"/>
          </w:tcPr>
          <w:p w14:paraId="7C298C11">
            <w:pPr>
              <w:widowControl/>
              <w:jc w:val="left"/>
              <w:rPr>
                <w:rFonts w:ascii="宋体" w:hAnsi="宋体" w:cs="宋体"/>
                <w:kern w:val="0"/>
                <w:sz w:val="22"/>
                <w:szCs w:val="22"/>
              </w:rPr>
            </w:pPr>
            <w:r>
              <w:rPr>
                <w:rFonts w:hint="eastAsia" w:ascii="宋体" w:hAnsi="宋体" w:cs="宋体"/>
                <w:kern w:val="0"/>
                <w:sz w:val="22"/>
                <w:szCs w:val="22"/>
              </w:rPr>
              <w:t>平台可视化管理模块</w:t>
            </w:r>
          </w:p>
        </w:tc>
        <w:tc>
          <w:tcPr>
            <w:tcW w:w="2219" w:type="pct"/>
            <w:tcBorders>
              <w:top w:val="nil"/>
              <w:left w:val="nil"/>
              <w:bottom w:val="single" w:color="auto" w:sz="4" w:space="0"/>
              <w:right w:val="single" w:color="auto" w:sz="4" w:space="0"/>
            </w:tcBorders>
            <w:shd w:val="clear" w:color="000000" w:fill="FFFFFF"/>
          </w:tcPr>
          <w:p w14:paraId="48677B6A">
            <w:pPr>
              <w:widowControl/>
              <w:jc w:val="left"/>
              <w:rPr>
                <w:rFonts w:ascii="宋体" w:hAnsi="宋体" w:cs="宋体"/>
                <w:kern w:val="0"/>
                <w:sz w:val="22"/>
                <w:szCs w:val="22"/>
              </w:rPr>
            </w:pPr>
            <w:r>
              <w:rPr>
                <w:rFonts w:hint="eastAsia" w:ascii="宋体" w:hAnsi="宋体" w:cs="宋体"/>
                <w:kern w:val="0"/>
                <w:sz w:val="22"/>
                <w:szCs w:val="22"/>
              </w:rPr>
              <w:t>平台可视化管理模块</w:t>
            </w:r>
          </w:p>
        </w:tc>
        <w:tc>
          <w:tcPr>
            <w:tcW w:w="344" w:type="pct"/>
            <w:tcBorders>
              <w:top w:val="nil"/>
              <w:left w:val="nil"/>
              <w:bottom w:val="single" w:color="auto" w:sz="4" w:space="0"/>
              <w:right w:val="single" w:color="auto" w:sz="4" w:space="0"/>
            </w:tcBorders>
            <w:shd w:val="clear" w:color="000000" w:fill="FFFFFF"/>
            <w:vAlign w:val="center"/>
          </w:tcPr>
          <w:p w14:paraId="4F31C468">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7FF5CC49">
            <w:pPr>
              <w:widowControl/>
              <w:jc w:val="center"/>
              <w:rPr>
                <w:rFonts w:ascii="宋体" w:hAnsi="宋体" w:cs="宋体"/>
                <w:kern w:val="0"/>
                <w:sz w:val="22"/>
                <w:szCs w:val="22"/>
              </w:rPr>
            </w:pPr>
            <w:r>
              <w:rPr>
                <w:rFonts w:hint="eastAsia" w:ascii="宋体" w:hAnsi="宋体"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25346DB9">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109A6140">
            <w:pPr>
              <w:widowControl/>
              <w:jc w:val="left"/>
              <w:rPr>
                <w:rFonts w:ascii="宋体" w:hAnsi="宋体" w:cs="宋体"/>
                <w:kern w:val="0"/>
                <w:sz w:val="22"/>
                <w:szCs w:val="22"/>
              </w:rPr>
            </w:pPr>
            <w:r>
              <w:rPr>
                <w:rFonts w:hint="eastAsia" w:ascii="宋体" w:hAnsi="宋体" w:cs="宋体"/>
                <w:kern w:val="0"/>
                <w:sz w:val="22"/>
                <w:szCs w:val="22"/>
              </w:rPr>
              <w:t>　</w:t>
            </w:r>
          </w:p>
        </w:tc>
      </w:tr>
      <w:tr w14:paraId="0C481928">
        <w:tblPrEx>
          <w:tblCellMar>
            <w:top w:w="0" w:type="dxa"/>
            <w:left w:w="108" w:type="dxa"/>
            <w:bottom w:w="0" w:type="dxa"/>
            <w:right w:w="108" w:type="dxa"/>
          </w:tblCellMar>
        </w:tblPrEx>
        <w:trPr>
          <w:trHeight w:val="570" w:hRule="atLeast"/>
        </w:trPr>
        <w:tc>
          <w:tcPr>
            <w:tcW w:w="129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43795CB">
            <w:pPr>
              <w:widowControl/>
              <w:jc w:val="left"/>
              <w:rPr>
                <w:rFonts w:ascii="宋体" w:hAnsi="宋体" w:cs="宋体"/>
                <w:b/>
                <w:bCs/>
                <w:kern w:val="0"/>
                <w:sz w:val="22"/>
                <w:szCs w:val="22"/>
              </w:rPr>
            </w:pPr>
            <w:r>
              <w:rPr>
                <w:rFonts w:hint="eastAsia" w:ascii="宋体" w:hAnsi="宋体" w:cs="宋体"/>
                <w:b/>
                <w:bCs/>
                <w:kern w:val="0"/>
                <w:sz w:val="22"/>
                <w:szCs w:val="22"/>
              </w:rPr>
              <w:t>前端接入系统</w:t>
            </w:r>
          </w:p>
        </w:tc>
        <w:tc>
          <w:tcPr>
            <w:tcW w:w="2219" w:type="pct"/>
            <w:tcBorders>
              <w:top w:val="nil"/>
              <w:left w:val="nil"/>
              <w:bottom w:val="single" w:color="auto" w:sz="4" w:space="0"/>
              <w:right w:val="single" w:color="auto" w:sz="4" w:space="0"/>
            </w:tcBorders>
            <w:shd w:val="clear" w:color="000000" w:fill="FFFFFF"/>
          </w:tcPr>
          <w:p w14:paraId="37F3249B">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344" w:type="pct"/>
            <w:tcBorders>
              <w:top w:val="nil"/>
              <w:left w:val="nil"/>
              <w:bottom w:val="single" w:color="auto" w:sz="4" w:space="0"/>
              <w:right w:val="single" w:color="auto" w:sz="4" w:space="0"/>
            </w:tcBorders>
            <w:shd w:val="clear" w:color="000000" w:fill="FFFFFF"/>
            <w:vAlign w:val="center"/>
          </w:tcPr>
          <w:p w14:paraId="56290F35">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2FFB2850">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355" w:type="pct"/>
            <w:tcBorders>
              <w:top w:val="nil"/>
              <w:left w:val="nil"/>
              <w:bottom w:val="single" w:color="auto" w:sz="4" w:space="0"/>
              <w:right w:val="single" w:color="auto" w:sz="4" w:space="0"/>
            </w:tcBorders>
            <w:shd w:val="clear" w:color="000000" w:fill="FFFFFF"/>
            <w:vAlign w:val="center"/>
          </w:tcPr>
          <w:p w14:paraId="69ACAE74">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462" w:type="pct"/>
            <w:tcBorders>
              <w:top w:val="nil"/>
              <w:left w:val="nil"/>
              <w:bottom w:val="single" w:color="auto" w:sz="4" w:space="0"/>
              <w:right w:val="single" w:color="auto" w:sz="4" w:space="0"/>
            </w:tcBorders>
            <w:shd w:val="clear" w:color="000000" w:fill="FFFFFF"/>
            <w:noWrap/>
            <w:vAlign w:val="center"/>
          </w:tcPr>
          <w:p w14:paraId="182C33B8">
            <w:pPr>
              <w:widowControl/>
              <w:jc w:val="left"/>
              <w:rPr>
                <w:rFonts w:ascii="宋体" w:hAnsi="宋体" w:cs="宋体"/>
                <w:kern w:val="0"/>
                <w:sz w:val="22"/>
                <w:szCs w:val="22"/>
              </w:rPr>
            </w:pPr>
            <w:r>
              <w:rPr>
                <w:rFonts w:hint="eastAsia" w:ascii="宋体" w:hAnsi="宋体" w:cs="宋体"/>
                <w:kern w:val="0"/>
                <w:sz w:val="22"/>
                <w:szCs w:val="22"/>
              </w:rPr>
              <w:t>　</w:t>
            </w:r>
          </w:p>
        </w:tc>
      </w:tr>
      <w:tr w14:paraId="5D502D0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D08B7F4">
            <w:pPr>
              <w:widowControl/>
              <w:jc w:val="center"/>
              <w:rPr>
                <w:rFonts w:ascii="宋体" w:hAnsi="宋体" w:cs="宋体"/>
                <w:kern w:val="0"/>
                <w:sz w:val="22"/>
                <w:szCs w:val="22"/>
              </w:rPr>
            </w:pPr>
            <w:r>
              <w:rPr>
                <w:rFonts w:hint="eastAsia" w:ascii="宋体" w:hAnsi="宋体" w:cs="宋体"/>
                <w:kern w:val="0"/>
                <w:sz w:val="22"/>
                <w:szCs w:val="22"/>
              </w:rPr>
              <w:t>103</w:t>
            </w:r>
          </w:p>
        </w:tc>
        <w:tc>
          <w:tcPr>
            <w:tcW w:w="849" w:type="pct"/>
            <w:tcBorders>
              <w:top w:val="nil"/>
              <w:left w:val="nil"/>
              <w:bottom w:val="single" w:color="auto" w:sz="4" w:space="0"/>
              <w:right w:val="single" w:color="auto" w:sz="4" w:space="0"/>
            </w:tcBorders>
            <w:shd w:val="clear" w:color="000000" w:fill="FFFFFF"/>
            <w:vAlign w:val="center"/>
          </w:tcPr>
          <w:p w14:paraId="1527D088">
            <w:pPr>
              <w:widowControl/>
              <w:jc w:val="left"/>
              <w:rPr>
                <w:rFonts w:ascii="宋体" w:hAnsi="宋体" w:cs="宋体"/>
                <w:kern w:val="0"/>
                <w:sz w:val="22"/>
                <w:szCs w:val="22"/>
              </w:rPr>
            </w:pPr>
            <w:r>
              <w:rPr>
                <w:rFonts w:hint="eastAsia" w:ascii="宋体" w:hAnsi="宋体" w:cs="宋体"/>
                <w:kern w:val="0"/>
                <w:sz w:val="22"/>
                <w:szCs w:val="22"/>
              </w:rPr>
              <w:t>视频接入盒</w:t>
            </w:r>
          </w:p>
        </w:tc>
        <w:tc>
          <w:tcPr>
            <w:tcW w:w="2219" w:type="pct"/>
            <w:tcBorders>
              <w:top w:val="nil"/>
              <w:left w:val="nil"/>
              <w:bottom w:val="single" w:color="auto" w:sz="4" w:space="0"/>
              <w:right w:val="single" w:color="auto" w:sz="4" w:space="0"/>
            </w:tcBorders>
            <w:shd w:val="clear" w:color="000000" w:fill="FFFFFF"/>
          </w:tcPr>
          <w:p w14:paraId="2F28560F">
            <w:pPr>
              <w:widowControl/>
              <w:jc w:val="left"/>
              <w:rPr>
                <w:rFonts w:ascii="宋体" w:hAnsi="宋体" w:cs="宋体"/>
                <w:kern w:val="0"/>
                <w:sz w:val="22"/>
                <w:szCs w:val="22"/>
              </w:rPr>
            </w:pPr>
            <w:r>
              <w:rPr>
                <w:rFonts w:hint="eastAsia" w:ascii="宋体" w:hAnsi="宋体" w:cs="宋体"/>
                <w:kern w:val="0"/>
                <w:sz w:val="22"/>
                <w:szCs w:val="22"/>
              </w:rPr>
              <w:t>定制</w:t>
            </w:r>
          </w:p>
        </w:tc>
        <w:tc>
          <w:tcPr>
            <w:tcW w:w="344" w:type="pct"/>
            <w:tcBorders>
              <w:top w:val="nil"/>
              <w:left w:val="nil"/>
              <w:bottom w:val="single" w:color="auto" w:sz="4" w:space="0"/>
              <w:right w:val="single" w:color="auto" w:sz="4" w:space="0"/>
            </w:tcBorders>
            <w:shd w:val="clear" w:color="000000" w:fill="FFFFFF"/>
            <w:vAlign w:val="center"/>
          </w:tcPr>
          <w:p w14:paraId="3E6F5CB3">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3C099D01">
            <w:pPr>
              <w:widowControl/>
              <w:jc w:val="center"/>
              <w:rPr>
                <w:rFonts w:ascii="宋体" w:hAnsi="宋体" w:cs="宋体"/>
                <w:kern w:val="0"/>
                <w:sz w:val="22"/>
                <w:szCs w:val="22"/>
              </w:rPr>
            </w:pPr>
            <w:r>
              <w:rPr>
                <w:rFonts w:hint="eastAsia" w:ascii="宋体" w:hAnsi="宋体" w:cs="宋体"/>
                <w:kern w:val="0"/>
                <w:sz w:val="22"/>
                <w:szCs w:val="22"/>
              </w:rPr>
              <w:t>批</w:t>
            </w:r>
          </w:p>
        </w:tc>
        <w:tc>
          <w:tcPr>
            <w:tcW w:w="355" w:type="pct"/>
            <w:tcBorders>
              <w:top w:val="nil"/>
              <w:left w:val="nil"/>
              <w:bottom w:val="single" w:color="auto" w:sz="4" w:space="0"/>
              <w:right w:val="single" w:color="auto" w:sz="4" w:space="0"/>
            </w:tcBorders>
            <w:shd w:val="clear" w:color="000000" w:fill="FFFFFF"/>
            <w:vAlign w:val="center"/>
          </w:tcPr>
          <w:p w14:paraId="0B10EC5C">
            <w:pPr>
              <w:widowControl/>
              <w:jc w:val="center"/>
              <w:rPr>
                <w:rFonts w:ascii="宋体" w:hAnsi="宋体" w:cs="宋体"/>
                <w:kern w:val="0"/>
                <w:sz w:val="22"/>
                <w:szCs w:val="22"/>
              </w:rPr>
            </w:pPr>
            <w:r>
              <w:rPr>
                <w:rFonts w:hint="eastAsia" w:ascii="宋体" w:hAnsi="宋体" w:cs="宋体"/>
                <w:kern w:val="0"/>
                <w:sz w:val="22"/>
                <w:szCs w:val="22"/>
              </w:rPr>
              <w:t xml:space="preserve">380 </w:t>
            </w:r>
          </w:p>
        </w:tc>
        <w:tc>
          <w:tcPr>
            <w:tcW w:w="462" w:type="pct"/>
            <w:tcBorders>
              <w:top w:val="nil"/>
              <w:left w:val="nil"/>
              <w:bottom w:val="single" w:color="auto" w:sz="4" w:space="0"/>
              <w:right w:val="single" w:color="auto" w:sz="4" w:space="0"/>
            </w:tcBorders>
            <w:shd w:val="clear" w:color="000000" w:fill="FFFFFF"/>
            <w:noWrap/>
            <w:vAlign w:val="center"/>
          </w:tcPr>
          <w:p w14:paraId="41CDAB2A">
            <w:pPr>
              <w:widowControl/>
              <w:jc w:val="left"/>
              <w:rPr>
                <w:rFonts w:ascii="宋体" w:hAnsi="宋体" w:cs="宋体"/>
                <w:kern w:val="0"/>
                <w:sz w:val="22"/>
                <w:szCs w:val="22"/>
              </w:rPr>
            </w:pPr>
            <w:r>
              <w:rPr>
                <w:rFonts w:hint="eastAsia" w:ascii="宋体" w:hAnsi="宋体" w:cs="宋体"/>
                <w:kern w:val="0"/>
                <w:sz w:val="22"/>
                <w:szCs w:val="22"/>
              </w:rPr>
              <w:t>　</w:t>
            </w:r>
          </w:p>
        </w:tc>
      </w:tr>
      <w:tr w14:paraId="71E6DF9F">
        <w:tblPrEx>
          <w:tblCellMar>
            <w:top w:w="0" w:type="dxa"/>
            <w:left w:w="108" w:type="dxa"/>
            <w:bottom w:w="0" w:type="dxa"/>
            <w:right w:w="108" w:type="dxa"/>
          </w:tblCellMar>
        </w:tblPrEx>
        <w:trPr>
          <w:trHeight w:val="570" w:hRule="atLeast"/>
        </w:trPr>
        <w:tc>
          <w:tcPr>
            <w:tcW w:w="3509"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62124F7">
            <w:pPr>
              <w:widowControl/>
              <w:jc w:val="left"/>
              <w:rPr>
                <w:rFonts w:ascii="宋体" w:hAnsi="宋体" w:cs="宋体"/>
                <w:b/>
                <w:bCs/>
                <w:kern w:val="0"/>
                <w:sz w:val="22"/>
                <w:szCs w:val="22"/>
              </w:rPr>
            </w:pPr>
            <w:r>
              <w:rPr>
                <w:rFonts w:hint="eastAsia" w:ascii="宋体" w:hAnsi="宋体" w:cs="宋体"/>
                <w:b/>
                <w:bCs/>
                <w:kern w:val="0"/>
                <w:sz w:val="22"/>
                <w:szCs w:val="22"/>
              </w:rPr>
              <w:t>各分局及机关执法记录仪采集存储</w:t>
            </w:r>
          </w:p>
        </w:tc>
        <w:tc>
          <w:tcPr>
            <w:tcW w:w="344" w:type="pct"/>
            <w:tcBorders>
              <w:top w:val="nil"/>
              <w:left w:val="nil"/>
              <w:bottom w:val="single" w:color="auto" w:sz="4" w:space="0"/>
              <w:right w:val="single" w:color="auto" w:sz="4" w:space="0"/>
            </w:tcBorders>
            <w:shd w:val="clear" w:color="000000" w:fill="FFFFFF"/>
            <w:vAlign w:val="center"/>
          </w:tcPr>
          <w:p w14:paraId="09463A70">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noWrap/>
            <w:vAlign w:val="center"/>
          </w:tcPr>
          <w:p w14:paraId="55BEA23E">
            <w:pPr>
              <w:widowControl/>
              <w:jc w:val="left"/>
              <w:rPr>
                <w:rFonts w:ascii="宋体" w:hAnsi="宋体" w:cs="宋体"/>
                <w:kern w:val="0"/>
                <w:sz w:val="22"/>
                <w:szCs w:val="22"/>
              </w:rPr>
            </w:pPr>
            <w:r>
              <w:rPr>
                <w:rFonts w:hint="eastAsia" w:ascii="宋体" w:hAnsi="宋体" w:cs="宋体"/>
                <w:kern w:val="0"/>
                <w:sz w:val="22"/>
                <w:szCs w:val="22"/>
              </w:rPr>
              <w:t>　</w:t>
            </w:r>
          </w:p>
        </w:tc>
        <w:tc>
          <w:tcPr>
            <w:tcW w:w="355" w:type="pct"/>
            <w:tcBorders>
              <w:top w:val="nil"/>
              <w:left w:val="nil"/>
              <w:bottom w:val="single" w:color="auto" w:sz="4" w:space="0"/>
              <w:right w:val="single" w:color="auto" w:sz="4" w:space="0"/>
            </w:tcBorders>
            <w:shd w:val="clear" w:color="000000" w:fill="FFFFFF"/>
            <w:noWrap/>
            <w:vAlign w:val="center"/>
          </w:tcPr>
          <w:p w14:paraId="44B2DB73">
            <w:pPr>
              <w:widowControl/>
              <w:jc w:val="center"/>
              <w:rPr>
                <w:rFonts w:ascii="宋体" w:hAnsi="宋体" w:cs="宋体"/>
                <w:kern w:val="0"/>
                <w:sz w:val="22"/>
                <w:szCs w:val="22"/>
              </w:rPr>
            </w:pPr>
            <w:r>
              <w:rPr>
                <w:rFonts w:hint="eastAsia" w:ascii="宋体" w:hAnsi="宋体" w:cs="宋体"/>
                <w:kern w:val="0"/>
                <w:sz w:val="22"/>
                <w:szCs w:val="22"/>
              </w:rPr>
              <w:t>　</w:t>
            </w:r>
          </w:p>
        </w:tc>
        <w:tc>
          <w:tcPr>
            <w:tcW w:w="462" w:type="pct"/>
            <w:tcBorders>
              <w:top w:val="nil"/>
              <w:left w:val="nil"/>
              <w:bottom w:val="single" w:color="auto" w:sz="4" w:space="0"/>
              <w:right w:val="single" w:color="auto" w:sz="4" w:space="0"/>
            </w:tcBorders>
            <w:shd w:val="clear" w:color="000000" w:fill="FFFFFF"/>
            <w:noWrap/>
            <w:vAlign w:val="center"/>
          </w:tcPr>
          <w:p w14:paraId="61AEDF2B">
            <w:pPr>
              <w:widowControl/>
              <w:jc w:val="left"/>
              <w:rPr>
                <w:rFonts w:ascii="宋体" w:hAnsi="宋体" w:cs="宋体"/>
                <w:kern w:val="0"/>
                <w:sz w:val="22"/>
                <w:szCs w:val="22"/>
              </w:rPr>
            </w:pPr>
            <w:r>
              <w:rPr>
                <w:rFonts w:hint="eastAsia" w:ascii="宋体" w:hAnsi="宋体" w:cs="宋体"/>
                <w:kern w:val="0"/>
                <w:sz w:val="22"/>
                <w:szCs w:val="22"/>
              </w:rPr>
              <w:t>　</w:t>
            </w:r>
          </w:p>
        </w:tc>
      </w:tr>
      <w:tr w14:paraId="7B36A548">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BF011FF">
            <w:pPr>
              <w:widowControl/>
              <w:jc w:val="center"/>
              <w:rPr>
                <w:rFonts w:ascii="宋体" w:hAnsi="宋体" w:cs="宋体"/>
                <w:kern w:val="0"/>
                <w:sz w:val="22"/>
                <w:szCs w:val="22"/>
              </w:rPr>
            </w:pPr>
            <w:r>
              <w:rPr>
                <w:rFonts w:hint="eastAsia" w:ascii="宋体" w:hAnsi="宋体" w:cs="宋体"/>
                <w:kern w:val="0"/>
                <w:sz w:val="22"/>
                <w:szCs w:val="22"/>
              </w:rPr>
              <w:t>104</w:t>
            </w:r>
          </w:p>
        </w:tc>
        <w:tc>
          <w:tcPr>
            <w:tcW w:w="849" w:type="pct"/>
            <w:tcBorders>
              <w:top w:val="nil"/>
              <w:left w:val="nil"/>
              <w:bottom w:val="single" w:color="auto" w:sz="4" w:space="0"/>
              <w:right w:val="single" w:color="auto" w:sz="4" w:space="0"/>
            </w:tcBorders>
            <w:shd w:val="clear" w:color="000000" w:fill="FFFFFF"/>
            <w:vAlign w:val="center"/>
          </w:tcPr>
          <w:p w14:paraId="75AA42ED">
            <w:pPr>
              <w:widowControl/>
              <w:jc w:val="left"/>
              <w:rPr>
                <w:rFonts w:ascii="宋体" w:hAnsi="宋体" w:cs="宋体"/>
                <w:kern w:val="0"/>
                <w:sz w:val="22"/>
                <w:szCs w:val="22"/>
              </w:rPr>
            </w:pPr>
            <w:r>
              <w:rPr>
                <w:rFonts w:hint="eastAsia" w:ascii="宋体" w:hAnsi="宋体" w:cs="宋体"/>
                <w:kern w:val="0"/>
                <w:sz w:val="22"/>
                <w:szCs w:val="22"/>
              </w:rPr>
              <w:t>采集存储设备</w:t>
            </w:r>
          </w:p>
        </w:tc>
        <w:tc>
          <w:tcPr>
            <w:tcW w:w="2219" w:type="pct"/>
            <w:tcBorders>
              <w:top w:val="nil"/>
              <w:left w:val="nil"/>
              <w:bottom w:val="single" w:color="auto" w:sz="4" w:space="0"/>
              <w:right w:val="single" w:color="auto" w:sz="4" w:space="0"/>
            </w:tcBorders>
            <w:shd w:val="clear" w:color="000000" w:fill="FFFFFF"/>
            <w:vAlign w:val="center"/>
          </w:tcPr>
          <w:p w14:paraId="04A4D55F">
            <w:pPr>
              <w:widowControl/>
              <w:jc w:val="left"/>
              <w:rPr>
                <w:rFonts w:ascii="宋体" w:hAnsi="宋体" w:cs="宋体"/>
                <w:kern w:val="0"/>
                <w:sz w:val="22"/>
                <w:szCs w:val="22"/>
              </w:rPr>
            </w:pPr>
            <w:r>
              <w:rPr>
                <w:rFonts w:hint="eastAsia" w:ascii="宋体" w:hAnsi="宋体" w:cs="宋体"/>
                <w:kern w:val="0"/>
                <w:sz w:val="22"/>
                <w:szCs w:val="22"/>
              </w:rPr>
              <w:t>根据具体情况及使用要求进行功能定制</w:t>
            </w:r>
          </w:p>
        </w:tc>
        <w:tc>
          <w:tcPr>
            <w:tcW w:w="344" w:type="pct"/>
            <w:tcBorders>
              <w:top w:val="nil"/>
              <w:left w:val="nil"/>
              <w:bottom w:val="single" w:color="auto" w:sz="4" w:space="0"/>
              <w:right w:val="single" w:color="auto" w:sz="4" w:space="0"/>
            </w:tcBorders>
            <w:shd w:val="clear" w:color="000000" w:fill="FFFFFF"/>
            <w:vAlign w:val="center"/>
          </w:tcPr>
          <w:p w14:paraId="1974AA74">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60403BE6">
            <w:pPr>
              <w:widowControl/>
              <w:jc w:val="center"/>
              <w:rPr>
                <w:rFonts w:ascii="宋体" w:hAnsi="宋体" w:cs="宋体"/>
                <w:kern w:val="0"/>
                <w:sz w:val="22"/>
                <w:szCs w:val="22"/>
              </w:rPr>
            </w:pPr>
            <w:r>
              <w:rPr>
                <w:rFonts w:hint="eastAsia" w:ascii="宋体" w:hAnsi="宋体"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57E68F83">
            <w:pPr>
              <w:widowControl/>
              <w:jc w:val="center"/>
              <w:rPr>
                <w:rFonts w:ascii="宋体" w:hAnsi="宋体" w:cs="宋体"/>
                <w:kern w:val="0"/>
                <w:sz w:val="22"/>
                <w:szCs w:val="22"/>
              </w:rPr>
            </w:pPr>
            <w:r>
              <w:rPr>
                <w:rFonts w:hint="eastAsia" w:ascii="宋体" w:hAnsi="宋体" w:cs="宋体"/>
                <w:kern w:val="0"/>
                <w:sz w:val="22"/>
                <w:szCs w:val="22"/>
              </w:rPr>
              <w:t xml:space="preserve">15 </w:t>
            </w:r>
          </w:p>
        </w:tc>
        <w:tc>
          <w:tcPr>
            <w:tcW w:w="462" w:type="pct"/>
            <w:tcBorders>
              <w:top w:val="nil"/>
              <w:left w:val="nil"/>
              <w:bottom w:val="single" w:color="auto" w:sz="4" w:space="0"/>
              <w:right w:val="single" w:color="auto" w:sz="4" w:space="0"/>
            </w:tcBorders>
            <w:shd w:val="clear" w:color="000000" w:fill="FFFFFF"/>
            <w:noWrap/>
            <w:vAlign w:val="center"/>
          </w:tcPr>
          <w:p w14:paraId="088B9526">
            <w:pPr>
              <w:widowControl/>
              <w:jc w:val="left"/>
              <w:rPr>
                <w:rFonts w:ascii="宋体" w:hAnsi="宋体" w:cs="宋体"/>
                <w:kern w:val="0"/>
                <w:sz w:val="22"/>
                <w:szCs w:val="22"/>
              </w:rPr>
            </w:pPr>
            <w:r>
              <w:rPr>
                <w:rFonts w:hint="eastAsia" w:ascii="宋体" w:hAnsi="宋体" w:cs="宋体"/>
                <w:kern w:val="0"/>
                <w:sz w:val="22"/>
                <w:szCs w:val="22"/>
              </w:rPr>
              <w:t>　</w:t>
            </w:r>
          </w:p>
        </w:tc>
      </w:tr>
      <w:tr w14:paraId="4DE8F13F">
        <w:tblPrEx>
          <w:tblCellMar>
            <w:top w:w="0" w:type="dxa"/>
            <w:left w:w="108" w:type="dxa"/>
            <w:bottom w:w="0" w:type="dxa"/>
            <w:right w:w="108" w:type="dxa"/>
          </w:tblCellMar>
        </w:tblPrEx>
        <w:trPr>
          <w:trHeight w:val="570" w:hRule="atLeast"/>
        </w:trPr>
        <w:tc>
          <w:tcPr>
            <w:tcW w:w="3509"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1C61AB9">
            <w:pPr>
              <w:widowControl/>
              <w:jc w:val="left"/>
              <w:rPr>
                <w:rFonts w:ascii="宋体" w:hAnsi="宋体" w:cs="宋体"/>
                <w:b/>
                <w:bCs/>
                <w:kern w:val="0"/>
                <w:sz w:val="22"/>
                <w:szCs w:val="22"/>
              </w:rPr>
            </w:pPr>
            <w:r>
              <w:rPr>
                <w:rFonts w:hint="eastAsia" w:ascii="宋体" w:hAnsi="宋体" w:cs="宋体"/>
                <w:b/>
                <w:bCs/>
                <w:kern w:val="0"/>
                <w:sz w:val="22"/>
                <w:szCs w:val="22"/>
              </w:rPr>
              <w:t>分局信息化监管指挥室系统</w:t>
            </w:r>
          </w:p>
        </w:tc>
        <w:tc>
          <w:tcPr>
            <w:tcW w:w="344" w:type="pct"/>
            <w:tcBorders>
              <w:top w:val="nil"/>
              <w:left w:val="nil"/>
              <w:bottom w:val="single" w:color="auto" w:sz="4" w:space="0"/>
              <w:right w:val="single" w:color="auto" w:sz="4" w:space="0"/>
            </w:tcBorders>
            <w:shd w:val="clear" w:color="000000" w:fill="FFFFFF"/>
            <w:vAlign w:val="center"/>
          </w:tcPr>
          <w:p w14:paraId="1B9502D2">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706FFE1F">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355" w:type="pct"/>
            <w:tcBorders>
              <w:top w:val="nil"/>
              <w:left w:val="nil"/>
              <w:bottom w:val="single" w:color="auto" w:sz="4" w:space="0"/>
              <w:right w:val="single" w:color="auto" w:sz="4" w:space="0"/>
            </w:tcBorders>
            <w:shd w:val="clear" w:color="000000" w:fill="FFFFFF"/>
            <w:vAlign w:val="center"/>
          </w:tcPr>
          <w:p w14:paraId="7EE92860">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462" w:type="pct"/>
            <w:tcBorders>
              <w:top w:val="nil"/>
              <w:left w:val="nil"/>
              <w:bottom w:val="single" w:color="auto" w:sz="4" w:space="0"/>
              <w:right w:val="single" w:color="auto" w:sz="4" w:space="0"/>
            </w:tcBorders>
            <w:shd w:val="clear" w:color="000000" w:fill="FFFFFF"/>
            <w:noWrap/>
            <w:vAlign w:val="center"/>
          </w:tcPr>
          <w:p w14:paraId="177B1DB8">
            <w:pPr>
              <w:widowControl/>
              <w:jc w:val="left"/>
              <w:rPr>
                <w:rFonts w:ascii="宋体" w:hAnsi="宋体" w:cs="宋体"/>
                <w:kern w:val="0"/>
                <w:sz w:val="22"/>
                <w:szCs w:val="22"/>
              </w:rPr>
            </w:pPr>
            <w:r>
              <w:rPr>
                <w:rFonts w:hint="eastAsia" w:ascii="宋体" w:hAnsi="宋体" w:cs="宋体"/>
                <w:kern w:val="0"/>
                <w:sz w:val="22"/>
                <w:szCs w:val="22"/>
              </w:rPr>
              <w:t>　</w:t>
            </w:r>
          </w:p>
        </w:tc>
      </w:tr>
      <w:tr w14:paraId="31B6B629">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DDCDF9E">
            <w:pPr>
              <w:widowControl/>
              <w:jc w:val="center"/>
              <w:rPr>
                <w:rFonts w:ascii="宋体" w:hAnsi="宋体" w:cs="宋体"/>
                <w:kern w:val="0"/>
                <w:sz w:val="22"/>
                <w:szCs w:val="22"/>
              </w:rPr>
            </w:pPr>
            <w:r>
              <w:rPr>
                <w:rFonts w:hint="eastAsia" w:ascii="宋体" w:hAnsi="宋体" w:cs="宋体"/>
                <w:kern w:val="0"/>
                <w:sz w:val="22"/>
                <w:szCs w:val="22"/>
              </w:rPr>
              <w:t>105</w:t>
            </w:r>
          </w:p>
        </w:tc>
        <w:tc>
          <w:tcPr>
            <w:tcW w:w="849" w:type="pct"/>
            <w:tcBorders>
              <w:top w:val="nil"/>
              <w:left w:val="nil"/>
              <w:bottom w:val="single" w:color="auto" w:sz="4" w:space="0"/>
              <w:right w:val="single" w:color="auto" w:sz="4" w:space="0"/>
            </w:tcBorders>
            <w:shd w:val="clear" w:color="000000" w:fill="FFFFFF"/>
            <w:vAlign w:val="center"/>
          </w:tcPr>
          <w:p w14:paraId="6587DA85">
            <w:pPr>
              <w:widowControl/>
              <w:jc w:val="left"/>
              <w:rPr>
                <w:rFonts w:ascii="宋体" w:hAnsi="宋体" w:cs="宋体"/>
                <w:kern w:val="0"/>
                <w:sz w:val="22"/>
                <w:szCs w:val="22"/>
              </w:rPr>
            </w:pPr>
            <w:r>
              <w:rPr>
                <w:rFonts w:hint="eastAsia" w:ascii="宋体" w:hAnsi="宋体" w:cs="宋体"/>
                <w:kern w:val="0"/>
                <w:sz w:val="22"/>
                <w:szCs w:val="22"/>
              </w:rPr>
              <w:t>显示屏</w:t>
            </w:r>
          </w:p>
        </w:tc>
        <w:tc>
          <w:tcPr>
            <w:tcW w:w="2219" w:type="pct"/>
            <w:tcBorders>
              <w:top w:val="nil"/>
              <w:left w:val="nil"/>
              <w:bottom w:val="single" w:color="auto" w:sz="4" w:space="0"/>
              <w:right w:val="single" w:color="auto" w:sz="4" w:space="0"/>
            </w:tcBorders>
            <w:shd w:val="clear" w:color="000000" w:fill="FFFFFF"/>
          </w:tcPr>
          <w:p w14:paraId="293CA9DB">
            <w:pPr>
              <w:widowControl/>
              <w:jc w:val="left"/>
              <w:rPr>
                <w:rFonts w:ascii="宋体" w:hAnsi="宋体" w:cs="宋体"/>
                <w:kern w:val="0"/>
                <w:sz w:val="22"/>
                <w:szCs w:val="22"/>
              </w:rPr>
            </w:pPr>
            <w:r>
              <w:rPr>
                <w:rFonts w:hint="eastAsia" w:ascii="宋体" w:hAnsi="宋体" w:cs="宋体"/>
                <w:kern w:val="0"/>
                <w:sz w:val="22"/>
                <w:szCs w:val="22"/>
              </w:rPr>
              <w:t>82寸支持4K超高清、智能控光，HDMI*4,USB*2,网络*1，支持WIFI,一键控制</w:t>
            </w:r>
          </w:p>
        </w:tc>
        <w:tc>
          <w:tcPr>
            <w:tcW w:w="344" w:type="pct"/>
            <w:tcBorders>
              <w:top w:val="nil"/>
              <w:left w:val="nil"/>
              <w:bottom w:val="single" w:color="auto" w:sz="4" w:space="0"/>
              <w:right w:val="single" w:color="auto" w:sz="4" w:space="0"/>
            </w:tcBorders>
            <w:shd w:val="clear" w:color="000000" w:fill="FFFFFF"/>
            <w:vAlign w:val="center"/>
          </w:tcPr>
          <w:p w14:paraId="0AE8D1A9">
            <w:pPr>
              <w:widowControl/>
              <w:jc w:val="center"/>
              <w:rPr>
                <w:rFonts w:ascii="宋体" w:hAnsi="宋体" w:cs="宋体"/>
                <w:kern w:val="0"/>
                <w:sz w:val="22"/>
                <w:szCs w:val="22"/>
              </w:rPr>
            </w:pPr>
            <w:r>
              <w:rPr>
                <w:rFonts w:hint="eastAsia" w:ascii="宋体" w:hAnsi="宋体" w:cs="宋体"/>
                <w:kern w:val="0"/>
                <w:sz w:val="22"/>
                <w:szCs w:val="22"/>
              </w:rPr>
              <w:t>海信</w:t>
            </w:r>
          </w:p>
        </w:tc>
        <w:tc>
          <w:tcPr>
            <w:tcW w:w="330" w:type="pct"/>
            <w:tcBorders>
              <w:top w:val="nil"/>
              <w:left w:val="nil"/>
              <w:bottom w:val="single" w:color="auto" w:sz="4" w:space="0"/>
              <w:right w:val="single" w:color="auto" w:sz="4" w:space="0"/>
            </w:tcBorders>
            <w:shd w:val="clear" w:color="000000" w:fill="FFFFFF"/>
            <w:vAlign w:val="center"/>
          </w:tcPr>
          <w:p w14:paraId="2F175C71">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9393FD7">
            <w:pPr>
              <w:widowControl/>
              <w:jc w:val="center"/>
              <w:rPr>
                <w:rFonts w:ascii="宋体" w:hAnsi="宋体" w:cs="宋体"/>
                <w:kern w:val="0"/>
                <w:sz w:val="22"/>
                <w:szCs w:val="22"/>
              </w:rPr>
            </w:pPr>
            <w:r>
              <w:rPr>
                <w:rFonts w:hint="eastAsia" w:ascii="宋体" w:hAnsi="宋体" w:cs="宋体"/>
                <w:kern w:val="0"/>
                <w:sz w:val="22"/>
                <w:szCs w:val="22"/>
              </w:rPr>
              <w:t xml:space="preserve">14 </w:t>
            </w:r>
          </w:p>
        </w:tc>
        <w:tc>
          <w:tcPr>
            <w:tcW w:w="462" w:type="pct"/>
            <w:tcBorders>
              <w:top w:val="nil"/>
              <w:left w:val="nil"/>
              <w:bottom w:val="single" w:color="auto" w:sz="4" w:space="0"/>
              <w:right w:val="single" w:color="auto" w:sz="4" w:space="0"/>
            </w:tcBorders>
            <w:shd w:val="clear" w:color="000000" w:fill="FFFFFF"/>
            <w:noWrap/>
            <w:vAlign w:val="center"/>
          </w:tcPr>
          <w:p w14:paraId="59DB3695">
            <w:pPr>
              <w:widowControl/>
              <w:jc w:val="left"/>
              <w:rPr>
                <w:rFonts w:ascii="宋体" w:hAnsi="宋体" w:cs="宋体"/>
                <w:kern w:val="0"/>
                <w:sz w:val="22"/>
                <w:szCs w:val="22"/>
              </w:rPr>
            </w:pPr>
            <w:r>
              <w:rPr>
                <w:rFonts w:hint="eastAsia" w:ascii="宋体" w:hAnsi="宋体" w:cs="宋体"/>
                <w:kern w:val="0"/>
                <w:sz w:val="22"/>
                <w:szCs w:val="22"/>
              </w:rPr>
              <w:t>　</w:t>
            </w:r>
          </w:p>
        </w:tc>
      </w:tr>
      <w:tr w14:paraId="57E5BECF">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0B3FA8C">
            <w:pPr>
              <w:widowControl/>
              <w:jc w:val="center"/>
              <w:rPr>
                <w:rFonts w:ascii="宋体" w:hAnsi="宋体" w:cs="宋体"/>
                <w:kern w:val="0"/>
                <w:sz w:val="22"/>
                <w:szCs w:val="22"/>
              </w:rPr>
            </w:pPr>
            <w:r>
              <w:rPr>
                <w:rFonts w:hint="eastAsia" w:ascii="宋体" w:hAnsi="宋体" w:cs="宋体"/>
                <w:kern w:val="0"/>
                <w:sz w:val="22"/>
                <w:szCs w:val="22"/>
              </w:rPr>
              <w:t>106</w:t>
            </w:r>
          </w:p>
        </w:tc>
        <w:tc>
          <w:tcPr>
            <w:tcW w:w="849" w:type="pct"/>
            <w:tcBorders>
              <w:top w:val="nil"/>
              <w:left w:val="nil"/>
              <w:bottom w:val="single" w:color="auto" w:sz="4" w:space="0"/>
              <w:right w:val="single" w:color="auto" w:sz="4" w:space="0"/>
            </w:tcBorders>
            <w:shd w:val="clear" w:color="000000" w:fill="FFFFFF"/>
            <w:vAlign w:val="center"/>
          </w:tcPr>
          <w:p w14:paraId="72DF5650">
            <w:pPr>
              <w:widowControl/>
              <w:jc w:val="left"/>
              <w:rPr>
                <w:rFonts w:ascii="宋体" w:hAnsi="宋体" w:cs="宋体"/>
                <w:kern w:val="0"/>
                <w:sz w:val="22"/>
                <w:szCs w:val="22"/>
              </w:rPr>
            </w:pPr>
            <w:r>
              <w:rPr>
                <w:rFonts w:hint="eastAsia" w:ascii="宋体" w:hAnsi="宋体" w:cs="宋体"/>
                <w:kern w:val="0"/>
                <w:sz w:val="22"/>
                <w:szCs w:val="22"/>
              </w:rPr>
              <w:t>视频矩阵</w:t>
            </w:r>
          </w:p>
        </w:tc>
        <w:tc>
          <w:tcPr>
            <w:tcW w:w="2219" w:type="pct"/>
            <w:tcBorders>
              <w:top w:val="nil"/>
              <w:left w:val="nil"/>
              <w:bottom w:val="single" w:color="auto" w:sz="4" w:space="0"/>
              <w:right w:val="single" w:color="auto" w:sz="4" w:space="0"/>
            </w:tcBorders>
            <w:shd w:val="clear" w:color="000000" w:fill="FFFFFF"/>
          </w:tcPr>
          <w:p w14:paraId="7629C0A1">
            <w:pPr>
              <w:widowControl/>
              <w:jc w:val="left"/>
              <w:rPr>
                <w:rFonts w:ascii="宋体" w:hAnsi="宋体" w:cs="宋体"/>
                <w:kern w:val="0"/>
                <w:sz w:val="22"/>
                <w:szCs w:val="22"/>
              </w:rPr>
            </w:pPr>
            <w:r>
              <w:rPr>
                <w:rFonts w:hint="eastAsia" w:ascii="宋体" w:hAnsi="宋体" w:cs="宋体"/>
                <w:kern w:val="0"/>
                <w:sz w:val="22"/>
                <w:szCs w:val="22"/>
              </w:rPr>
              <w:t>多画面屏幕切换分割器，支持4K高清3D画质，支持多种分屏模式</w:t>
            </w:r>
          </w:p>
        </w:tc>
        <w:tc>
          <w:tcPr>
            <w:tcW w:w="344" w:type="pct"/>
            <w:tcBorders>
              <w:top w:val="nil"/>
              <w:left w:val="nil"/>
              <w:bottom w:val="single" w:color="auto" w:sz="4" w:space="0"/>
              <w:right w:val="single" w:color="auto" w:sz="4" w:space="0"/>
            </w:tcBorders>
            <w:shd w:val="clear" w:color="000000" w:fill="FFFFFF"/>
            <w:vAlign w:val="center"/>
          </w:tcPr>
          <w:p w14:paraId="0B9E2B6E">
            <w:pPr>
              <w:widowControl/>
              <w:jc w:val="center"/>
              <w:rPr>
                <w:rFonts w:ascii="宋体" w:hAnsi="宋体" w:cs="宋体"/>
                <w:kern w:val="0"/>
                <w:sz w:val="22"/>
                <w:szCs w:val="22"/>
              </w:rPr>
            </w:pPr>
            <w:r>
              <w:rPr>
                <w:rFonts w:hint="eastAsia" w:ascii="宋体" w:hAnsi="宋体" w:cs="宋体"/>
                <w:kern w:val="0"/>
                <w:sz w:val="22"/>
                <w:szCs w:val="22"/>
              </w:rPr>
              <w:t>定制</w:t>
            </w:r>
          </w:p>
        </w:tc>
        <w:tc>
          <w:tcPr>
            <w:tcW w:w="330" w:type="pct"/>
            <w:tcBorders>
              <w:top w:val="nil"/>
              <w:left w:val="nil"/>
              <w:bottom w:val="single" w:color="auto" w:sz="4" w:space="0"/>
              <w:right w:val="single" w:color="auto" w:sz="4" w:space="0"/>
            </w:tcBorders>
            <w:shd w:val="clear" w:color="000000" w:fill="FFFFFF"/>
            <w:vAlign w:val="center"/>
          </w:tcPr>
          <w:p w14:paraId="73140973">
            <w:pPr>
              <w:widowControl/>
              <w:jc w:val="center"/>
              <w:rPr>
                <w:rFonts w:ascii="宋体" w:hAnsi="宋体" w:cs="宋体"/>
                <w:kern w:val="0"/>
                <w:sz w:val="22"/>
                <w:szCs w:val="22"/>
              </w:rPr>
            </w:pPr>
            <w:r>
              <w:rPr>
                <w:rFonts w:hint="eastAsia" w:ascii="宋体" w:hAnsi="宋体" w:cs="宋体"/>
                <w:kern w:val="0"/>
                <w:sz w:val="22"/>
                <w:szCs w:val="22"/>
              </w:rPr>
              <w:t>只</w:t>
            </w:r>
          </w:p>
        </w:tc>
        <w:tc>
          <w:tcPr>
            <w:tcW w:w="355" w:type="pct"/>
            <w:tcBorders>
              <w:top w:val="nil"/>
              <w:left w:val="nil"/>
              <w:bottom w:val="single" w:color="auto" w:sz="4" w:space="0"/>
              <w:right w:val="single" w:color="auto" w:sz="4" w:space="0"/>
            </w:tcBorders>
            <w:shd w:val="clear" w:color="000000" w:fill="FFFFFF"/>
            <w:vAlign w:val="center"/>
          </w:tcPr>
          <w:p w14:paraId="2CFA15CB">
            <w:pPr>
              <w:widowControl/>
              <w:jc w:val="center"/>
              <w:rPr>
                <w:rFonts w:ascii="宋体" w:hAnsi="宋体" w:cs="宋体"/>
                <w:kern w:val="0"/>
                <w:sz w:val="22"/>
                <w:szCs w:val="22"/>
              </w:rPr>
            </w:pPr>
            <w:r>
              <w:rPr>
                <w:rFonts w:hint="eastAsia" w:ascii="宋体" w:hAnsi="宋体" w:cs="宋体"/>
                <w:kern w:val="0"/>
                <w:sz w:val="22"/>
                <w:szCs w:val="22"/>
              </w:rPr>
              <w:t xml:space="preserve">14 </w:t>
            </w:r>
          </w:p>
        </w:tc>
        <w:tc>
          <w:tcPr>
            <w:tcW w:w="462" w:type="pct"/>
            <w:tcBorders>
              <w:top w:val="nil"/>
              <w:left w:val="nil"/>
              <w:bottom w:val="single" w:color="auto" w:sz="4" w:space="0"/>
              <w:right w:val="single" w:color="auto" w:sz="4" w:space="0"/>
            </w:tcBorders>
            <w:shd w:val="clear" w:color="000000" w:fill="FFFFFF"/>
            <w:noWrap/>
            <w:vAlign w:val="center"/>
          </w:tcPr>
          <w:p w14:paraId="2CC67C9F">
            <w:pPr>
              <w:widowControl/>
              <w:jc w:val="left"/>
              <w:rPr>
                <w:rFonts w:ascii="宋体" w:hAnsi="宋体" w:cs="宋体"/>
                <w:kern w:val="0"/>
                <w:sz w:val="22"/>
                <w:szCs w:val="22"/>
              </w:rPr>
            </w:pPr>
            <w:r>
              <w:rPr>
                <w:rFonts w:hint="eastAsia" w:ascii="宋体" w:hAnsi="宋体" w:cs="宋体"/>
                <w:kern w:val="0"/>
                <w:sz w:val="22"/>
                <w:szCs w:val="22"/>
              </w:rPr>
              <w:t>　</w:t>
            </w:r>
          </w:p>
        </w:tc>
      </w:tr>
      <w:tr w14:paraId="1C8C2869">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79BFF2C">
            <w:pPr>
              <w:widowControl/>
              <w:jc w:val="center"/>
              <w:rPr>
                <w:rFonts w:ascii="宋体" w:hAnsi="宋体" w:cs="宋体"/>
                <w:kern w:val="0"/>
                <w:sz w:val="22"/>
                <w:szCs w:val="22"/>
              </w:rPr>
            </w:pPr>
            <w:r>
              <w:rPr>
                <w:rFonts w:hint="eastAsia" w:ascii="宋体" w:hAnsi="宋体" w:cs="宋体"/>
                <w:kern w:val="0"/>
                <w:sz w:val="22"/>
                <w:szCs w:val="22"/>
              </w:rPr>
              <w:t>107</w:t>
            </w:r>
          </w:p>
        </w:tc>
        <w:tc>
          <w:tcPr>
            <w:tcW w:w="849" w:type="pct"/>
            <w:tcBorders>
              <w:top w:val="nil"/>
              <w:left w:val="nil"/>
              <w:bottom w:val="single" w:color="auto" w:sz="4" w:space="0"/>
              <w:right w:val="single" w:color="auto" w:sz="4" w:space="0"/>
            </w:tcBorders>
            <w:shd w:val="clear" w:color="000000" w:fill="FFFFFF"/>
            <w:vAlign w:val="center"/>
          </w:tcPr>
          <w:p w14:paraId="36C76B84">
            <w:pPr>
              <w:widowControl/>
              <w:jc w:val="left"/>
              <w:rPr>
                <w:rFonts w:ascii="宋体" w:hAnsi="宋体" w:cs="宋体"/>
                <w:kern w:val="0"/>
                <w:sz w:val="22"/>
                <w:szCs w:val="22"/>
              </w:rPr>
            </w:pPr>
            <w:r>
              <w:rPr>
                <w:rFonts w:hint="eastAsia" w:ascii="宋体" w:hAnsi="宋体" w:cs="宋体"/>
                <w:kern w:val="0"/>
                <w:sz w:val="22"/>
                <w:szCs w:val="22"/>
              </w:rPr>
              <w:t>指挥联动系统</w:t>
            </w:r>
          </w:p>
        </w:tc>
        <w:tc>
          <w:tcPr>
            <w:tcW w:w="2219" w:type="pct"/>
            <w:tcBorders>
              <w:top w:val="nil"/>
              <w:left w:val="nil"/>
              <w:bottom w:val="single" w:color="auto" w:sz="4" w:space="0"/>
              <w:right w:val="single" w:color="auto" w:sz="4" w:space="0"/>
            </w:tcBorders>
            <w:shd w:val="clear" w:color="000000" w:fill="FFFFFF"/>
          </w:tcPr>
          <w:p w14:paraId="14182AF3">
            <w:pPr>
              <w:widowControl/>
              <w:jc w:val="left"/>
              <w:rPr>
                <w:rFonts w:ascii="宋体" w:hAnsi="宋体" w:cs="宋体"/>
                <w:kern w:val="0"/>
                <w:sz w:val="22"/>
                <w:szCs w:val="22"/>
              </w:rPr>
            </w:pPr>
            <w:r>
              <w:rPr>
                <w:rFonts w:hint="eastAsia" w:ascii="宋体" w:hAnsi="宋体" w:cs="宋体"/>
                <w:kern w:val="0"/>
                <w:sz w:val="22"/>
                <w:szCs w:val="22"/>
              </w:rPr>
              <w:t>定制</w:t>
            </w:r>
          </w:p>
        </w:tc>
        <w:tc>
          <w:tcPr>
            <w:tcW w:w="344" w:type="pct"/>
            <w:tcBorders>
              <w:top w:val="nil"/>
              <w:left w:val="nil"/>
              <w:bottom w:val="single" w:color="auto" w:sz="4" w:space="0"/>
              <w:right w:val="single" w:color="auto" w:sz="4" w:space="0"/>
            </w:tcBorders>
            <w:shd w:val="clear" w:color="000000" w:fill="FFFFFF"/>
            <w:vAlign w:val="center"/>
          </w:tcPr>
          <w:p w14:paraId="516D2A7F">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4F26C32">
            <w:pPr>
              <w:widowControl/>
              <w:jc w:val="center"/>
              <w:rPr>
                <w:rFonts w:ascii="宋体" w:hAnsi="宋体" w:cs="宋体"/>
                <w:kern w:val="0"/>
                <w:sz w:val="22"/>
                <w:szCs w:val="22"/>
              </w:rPr>
            </w:pPr>
            <w:r>
              <w:rPr>
                <w:rFonts w:hint="eastAsia" w:ascii="宋体" w:hAnsi="宋体" w:cs="宋体"/>
                <w:kern w:val="0"/>
                <w:sz w:val="22"/>
                <w:szCs w:val="22"/>
              </w:rPr>
              <w:t>点</w:t>
            </w:r>
          </w:p>
        </w:tc>
        <w:tc>
          <w:tcPr>
            <w:tcW w:w="355" w:type="pct"/>
            <w:tcBorders>
              <w:top w:val="nil"/>
              <w:left w:val="nil"/>
              <w:bottom w:val="single" w:color="auto" w:sz="4" w:space="0"/>
              <w:right w:val="single" w:color="auto" w:sz="4" w:space="0"/>
            </w:tcBorders>
            <w:shd w:val="clear" w:color="000000" w:fill="FFFFFF"/>
            <w:vAlign w:val="center"/>
          </w:tcPr>
          <w:p w14:paraId="126EAD5F">
            <w:pPr>
              <w:widowControl/>
              <w:jc w:val="center"/>
              <w:rPr>
                <w:rFonts w:ascii="宋体" w:hAnsi="宋体" w:cs="宋体"/>
                <w:kern w:val="0"/>
                <w:sz w:val="22"/>
                <w:szCs w:val="22"/>
              </w:rPr>
            </w:pPr>
            <w:r>
              <w:rPr>
                <w:rFonts w:hint="eastAsia" w:ascii="宋体" w:hAnsi="宋体" w:cs="宋体"/>
                <w:kern w:val="0"/>
                <w:sz w:val="22"/>
                <w:szCs w:val="22"/>
              </w:rPr>
              <w:t xml:space="preserve">14 </w:t>
            </w:r>
          </w:p>
        </w:tc>
        <w:tc>
          <w:tcPr>
            <w:tcW w:w="462" w:type="pct"/>
            <w:tcBorders>
              <w:top w:val="nil"/>
              <w:left w:val="nil"/>
              <w:bottom w:val="single" w:color="auto" w:sz="4" w:space="0"/>
              <w:right w:val="single" w:color="auto" w:sz="4" w:space="0"/>
            </w:tcBorders>
            <w:shd w:val="clear" w:color="000000" w:fill="FFFFFF"/>
            <w:noWrap/>
            <w:vAlign w:val="center"/>
          </w:tcPr>
          <w:p w14:paraId="5D149EB5">
            <w:pPr>
              <w:widowControl/>
              <w:jc w:val="left"/>
              <w:rPr>
                <w:rFonts w:ascii="宋体" w:hAnsi="宋体" w:cs="宋体"/>
                <w:kern w:val="0"/>
                <w:sz w:val="22"/>
                <w:szCs w:val="22"/>
              </w:rPr>
            </w:pPr>
            <w:r>
              <w:rPr>
                <w:rFonts w:hint="eastAsia" w:ascii="宋体" w:hAnsi="宋体" w:cs="宋体"/>
                <w:kern w:val="0"/>
                <w:sz w:val="22"/>
                <w:szCs w:val="22"/>
              </w:rPr>
              <w:t>　</w:t>
            </w:r>
          </w:p>
        </w:tc>
      </w:tr>
      <w:tr w14:paraId="362E555A">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5629987">
            <w:pPr>
              <w:widowControl/>
              <w:jc w:val="center"/>
              <w:rPr>
                <w:rFonts w:ascii="宋体" w:hAnsi="宋体" w:cs="宋体"/>
                <w:kern w:val="0"/>
                <w:sz w:val="22"/>
                <w:szCs w:val="22"/>
              </w:rPr>
            </w:pPr>
            <w:r>
              <w:rPr>
                <w:rFonts w:hint="eastAsia" w:ascii="宋体" w:hAnsi="宋体" w:cs="宋体"/>
                <w:kern w:val="0"/>
                <w:sz w:val="22"/>
                <w:szCs w:val="22"/>
              </w:rPr>
              <w:t>108</w:t>
            </w:r>
          </w:p>
        </w:tc>
        <w:tc>
          <w:tcPr>
            <w:tcW w:w="849" w:type="pct"/>
            <w:tcBorders>
              <w:top w:val="nil"/>
              <w:left w:val="nil"/>
              <w:bottom w:val="single" w:color="auto" w:sz="4" w:space="0"/>
              <w:right w:val="single" w:color="auto" w:sz="4" w:space="0"/>
            </w:tcBorders>
            <w:shd w:val="clear" w:color="000000" w:fill="FFFFFF"/>
            <w:noWrap/>
            <w:vAlign w:val="center"/>
          </w:tcPr>
          <w:p w14:paraId="376884EC">
            <w:pPr>
              <w:widowControl/>
              <w:jc w:val="left"/>
              <w:rPr>
                <w:rFonts w:ascii="宋体" w:hAnsi="宋体" w:cs="宋体"/>
                <w:kern w:val="0"/>
                <w:sz w:val="22"/>
                <w:szCs w:val="22"/>
              </w:rPr>
            </w:pPr>
            <w:r>
              <w:rPr>
                <w:rFonts w:hint="eastAsia" w:ascii="宋体" w:hAnsi="宋体" w:cs="宋体"/>
                <w:kern w:val="0"/>
                <w:sz w:val="22"/>
                <w:szCs w:val="22"/>
              </w:rPr>
              <w:t>控制终端</w:t>
            </w:r>
          </w:p>
        </w:tc>
        <w:tc>
          <w:tcPr>
            <w:tcW w:w="2219" w:type="pct"/>
            <w:tcBorders>
              <w:top w:val="nil"/>
              <w:left w:val="nil"/>
              <w:bottom w:val="single" w:color="auto" w:sz="4" w:space="0"/>
              <w:right w:val="single" w:color="auto" w:sz="4" w:space="0"/>
            </w:tcBorders>
            <w:shd w:val="clear" w:color="000000" w:fill="FFFFFF"/>
          </w:tcPr>
          <w:p w14:paraId="40E635E6">
            <w:pPr>
              <w:widowControl/>
              <w:jc w:val="left"/>
              <w:rPr>
                <w:rFonts w:ascii="宋体" w:hAnsi="宋体" w:cs="宋体"/>
                <w:kern w:val="0"/>
                <w:sz w:val="22"/>
                <w:szCs w:val="22"/>
              </w:rPr>
            </w:pPr>
            <w:r>
              <w:rPr>
                <w:rFonts w:hint="eastAsia" w:ascii="宋体" w:hAnsi="宋体" w:cs="宋体"/>
                <w:kern w:val="0"/>
                <w:sz w:val="22"/>
                <w:szCs w:val="22"/>
              </w:rPr>
              <w:t>　</w:t>
            </w:r>
          </w:p>
        </w:tc>
        <w:tc>
          <w:tcPr>
            <w:tcW w:w="344" w:type="pct"/>
            <w:tcBorders>
              <w:top w:val="nil"/>
              <w:left w:val="nil"/>
              <w:bottom w:val="single" w:color="auto" w:sz="4" w:space="0"/>
              <w:right w:val="single" w:color="auto" w:sz="4" w:space="0"/>
            </w:tcBorders>
            <w:shd w:val="clear" w:color="000000" w:fill="FFFFFF"/>
            <w:vAlign w:val="center"/>
          </w:tcPr>
          <w:p w14:paraId="31116F9A">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F31BB1A">
            <w:pPr>
              <w:widowControl/>
              <w:jc w:val="center"/>
              <w:rPr>
                <w:rFonts w:ascii="宋体" w:hAnsi="宋体" w:cs="宋体"/>
                <w:kern w:val="0"/>
                <w:sz w:val="22"/>
                <w:szCs w:val="22"/>
              </w:rPr>
            </w:pPr>
            <w:r>
              <w:rPr>
                <w:rFonts w:hint="eastAsia" w:ascii="宋体" w:hAnsi="宋体" w:cs="宋体"/>
                <w:kern w:val="0"/>
                <w:sz w:val="22"/>
                <w:szCs w:val="22"/>
              </w:rPr>
              <w:t>　</w:t>
            </w:r>
          </w:p>
        </w:tc>
        <w:tc>
          <w:tcPr>
            <w:tcW w:w="355" w:type="pct"/>
            <w:tcBorders>
              <w:top w:val="nil"/>
              <w:left w:val="nil"/>
              <w:bottom w:val="single" w:color="auto" w:sz="4" w:space="0"/>
              <w:right w:val="single" w:color="auto" w:sz="4" w:space="0"/>
            </w:tcBorders>
            <w:shd w:val="clear" w:color="000000" w:fill="FFFFFF"/>
            <w:vAlign w:val="center"/>
          </w:tcPr>
          <w:p w14:paraId="49A02FF7">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4243A25E">
            <w:pPr>
              <w:widowControl/>
              <w:jc w:val="left"/>
              <w:rPr>
                <w:rFonts w:ascii="宋体" w:hAnsi="宋体" w:cs="宋体"/>
                <w:kern w:val="0"/>
                <w:sz w:val="22"/>
                <w:szCs w:val="22"/>
              </w:rPr>
            </w:pPr>
            <w:r>
              <w:rPr>
                <w:rFonts w:hint="eastAsia" w:ascii="宋体" w:hAnsi="宋体" w:cs="宋体"/>
                <w:kern w:val="0"/>
                <w:sz w:val="22"/>
                <w:szCs w:val="22"/>
              </w:rPr>
              <w:t>　</w:t>
            </w:r>
          </w:p>
        </w:tc>
      </w:tr>
      <w:tr w14:paraId="5BA66795">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6789E41">
            <w:pPr>
              <w:widowControl/>
              <w:jc w:val="center"/>
              <w:rPr>
                <w:rFonts w:ascii="宋体" w:hAnsi="宋体" w:cs="宋体"/>
                <w:kern w:val="0"/>
                <w:sz w:val="22"/>
                <w:szCs w:val="22"/>
              </w:rPr>
            </w:pPr>
            <w:r>
              <w:rPr>
                <w:rFonts w:hint="eastAsia" w:ascii="宋体" w:hAnsi="宋体" w:cs="宋体"/>
                <w:kern w:val="0"/>
                <w:sz w:val="22"/>
                <w:szCs w:val="22"/>
              </w:rPr>
              <w:t>109</w:t>
            </w:r>
          </w:p>
        </w:tc>
        <w:tc>
          <w:tcPr>
            <w:tcW w:w="849" w:type="pct"/>
            <w:tcBorders>
              <w:top w:val="nil"/>
              <w:left w:val="nil"/>
              <w:bottom w:val="single" w:color="auto" w:sz="4" w:space="0"/>
              <w:right w:val="single" w:color="auto" w:sz="4" w:space="0"/>
            </w:tcBorders>
            <w:shd w:val="clear" w:color="000000" w:fill="FFFFFF"/>
            <w:vAlign w:val="center"/>
          </w:tcPr>
          <w:p w14:paraId="4216DA5F">
            <w:pPr>
              <w:widowControl/>
              <w:jc w:val="left"/>
              <w:rPr>
                <w:rFonts w:ascii="宋体" w:hAnsi="宋体" w:cs="宋体"/>
                <w:kern w:val="0"/>
                <w:sz w:val="22"/>
                <w:szCs w:val="22"/>
              </w:rPr>
            </w:pPr>
            <w:r>
              <w:rPr>
                <w:rFonts w:hint="eastAsia" w:ascii="宋体" w:hAnsi="宋体" w:cs="宋体"/>
                <w:kern w:val="0"/>
                <w:sz w:val="22"/>
                <w:szCs w:val="22"/>
              </w:rPr>
              <w:t>交换机</w:t>
            </w:r>
          </w:p>
        </w:tc>
        <w:tc>
          <w:tcPr>
            <w:tcW w:w="2219" w:type="pct"/>
            <w:tcBorders>
              <w:top w:val="nil"/>
              <w:left w:val="nil"/>
              <w:bottom w:val="single" w:color="auto" w:sz="4" w:space="0"/>
              <w:right w:val="single" w:color="auto" w:sz="4" w:space="0"/>
            </w:tcBorders>
            <w:shd w:val="clear" w:color="000000" w:fill="FFFFFF"/>
          </w:tcPr>
          <w:p w14:paraId="1764C5BA">
            <w:pPr>
              <w:widowControl/>
              <w:jc w:val="left"/>
              <w:rPr>
                <w:rFonts w:ascii="宋体" w:hAnsi="宋体" w:cs="宋体"/>
                <w:kern w:val="0"/>
                <w:sz w:val="22"/>
                <w:szCs w:val="22"/>
              </w:rPr>
            </w:pPr>
            <w:r>
              <w:rPr>
                <w:rFonts w:hint="eastAsia" w:ascii="宋体" w:hAnsi="宋体" w:cs="宋体"/>
                <w:kern w:val="0"/>
                <w:sz w:val="22"/>
                <w:szCs w:val="22"/>
              </w:rPr>
              <w:t>8口全千兆</w:t>
            </w:r>
          </w:p>
        </w:tc>
        <w:tc>
          <w:tcPr>
            <w:tcW w:w="344" w:type="pct"/>
            <w:tcBorders>
              <w:top w:val="nil"/>
              <w:left w:val="nil"/>
              <w:bottom w:val="single" w:color="auto" w:sz="4" w:space="0"/>
              <w:right w:val="single" w:color="auto" w:sz="4" w:space="0"/>
            </w:tcBorders>
            <w:shd w:val="clear" w:color="000000" w:fill="FFFFFF"/>
            <w:vAlign w:val="center"/>
          </w:tcPr>
          <w:p w14:paraId="609BC689">
            <w:pPr>
              <w:widowControl/>
              <w:jc w:val="center"/>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vAlign w:val="center"/>
          </w:tcPr>
          <w:p w14:paraId="2617E5DE">
            <w:pPr>
              <w:widowControl/>
              <w:jc w:val="center"/>
              <w:rPr>
                <w:rFonts w:ascii="宋体" w:hAnsi="宋体" w:cs="宋体"/>
                <w:kern w:val="0"/>
                <w:sz w:val="22"/>
                <w:szCs w:val="22"/>
              </w:rPr>
            </w:pPr>
            <w:r>
              <w:rPr>
                <w:rFonts w:hint="eastAsia" w:ascii="宋体" w:hAnsi="宋体" w:cs="宋体"/>
                <w:kern w:val="0"/>
                <w:sz w:val="22"/>
                <w:szCs w:val="22"/>
              </w:rPr>
              <w:t>只</w:t>
            </w:r>
          </w:p>
        </w:tc>
        <w:tc>
          <w:tcPr>
            <w:tcW w:w="355" w:type="pct"/>
            <w:tcBorders>
              <w:top w:val="nil"/>
              <w:left w:val="nil"/>
              <w:bottom w:val="single" w:color="auto" w:sz="4" w:space="0"/>
              <w:right w:val="single" w:color="auto" w:sz="4" w:space="0"/>
            </w:tcBorders>
            <w:shd w:val="clear" w:color="000000" w:fill="FFFFFF"/>
            <w:vAlign w:val="center"/>
          </w:tcPr>
          <w:p w14:paraId="467A32F6">
            <w:pPr>
              <w:widowControl/>
              <w:jc w:val="center"/>
              <w:rPr>
                <w:rFonts w:ascii="宋体" w:hAnsi="宋体" w:cs="宋体"/>
                <w:kern w:val="0"/>
                <w:sz w:val="22"/>
                <w:szCs w:val="22"/>
              </w:rPr>
            </w:pPr>
            <w:r>
              <w:rPr>
                <w:rFonts w:hint="eastAsia" w:ascii="宋体" w:hAnsi="宋体" w:cs="宋体"/>
                <w:kern w:val="0"/>
                <w:sz w:val="22"/>
                <w:szCs w:val="22"/>
              </w:rPr>
              <w:t xml:space="preserve">26 </w:t>
            </w:r>
          </w:p>
        </w:tc>
        <w:tc>
          <w:tcPr>
            <w:tcW w:w="462" w:type="pct"/>
            <w:tcBorders>
              <w:top w:val="nil"/>
              <w:left w:val="nil"/>
              <w:bottom w:val="single" w:color="auto" w:sz="4" w:space="0"/>
              <w:right w:val="single" w:color="auto" w:sz="4" w:space="0"/>
            </w:tcBorders>
            <w:shd w:val="clear" w:color="000000" w:fill="FFFFFF"/>
            <w:noWrap/>
            <w:vAlign w:val="center"/>
          </w:tcPr>
          <w:p w14:paraId="34017291">
            <w:pPr>
              <w:widowControl/>
              <w:jc w:val="left"/>
              <w:rPr>
                <w:rFonts w:ascii="宋体" w:hAnsi="宋体" w:cs="宋体"/>
                <w:kern w:val="0"/>
                <w:sz w:val="22"/>
                <w:szCs w:val="22"/>
              </w:rPr>
            </w:pPr>
            <w:r>
              <w:rPr>
                <w:rFonts w:hint="eastAsia" w:ascii="宋体" w:hAnsi="宋体" w:cs="宋体"/>
                <w:kern w:val="0"/>
                <w:sz w:val="22"/>
                <w:szCs w:val="22"/>
              </w:rPr>
              <w:t>　</w:t>
            </w:r>
          </w:p>
        </w:tc>
      </w:tr>
      <w:tr w14:paraId="4305832F">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A267759">
            <w:pPr>
              <w:widowControl/>
              <w:jc w:val="center"/>
              <w:rPr>
                <w:rFonts w:ascii="宋体" w:hAnsi="宋体" w:cs="宋体"/>
                <w:kern w:val="0"/>
                <w:sz w:val="22"/>
                <w:szCs w:val="22"/>
              </w:rPr>
            </w:pPr>
            <w:r>
              <w:rPr>
                <w:rFonts w:hint="eastAsia" w:ascii="宋体" w:hAnsi="宋体" w:cs="宋体"/>
                <w:kern w:val="0"/>
                <w:sz w:val="22"/>
                <w:szCs w:val="22"/>
              </w:rPr>
              <w:t>110</w:t>
            </w:r>
          </w:p>
        </w:tc>
        <w:tc>
          <w:tcPr>
            <w:tcW w:w="849" w:type="pct"/>
            <w:tcBorders>
              <w:top w:val="nil"/>
              <w:left w:val="nil"/>
              <w:bottom w:val="single" w:color="auto" w:sz="4" w:space="0"/>
              <w:right w:val="single" w:color="auto" w:sz="4" w:space="0"/>
            </w:tcBorders>
            <w:shd w:val="clear" w:color="000000" w:fill="FFFFFF"/>
            <w:vAlign w:val="center"/>
          </w:tcPr>
          <w:p w14:paraId="74C92FD6">
            <w:pPr>
              <w:widowControl/>
              <w:jc w:val="left"/>
              <w:rPr>
                <w:rFonts w:ascii="宋体" w:hAnsi="宋体" w:cs="宋体"/>
                <w:kern w:val="0"/>
                <w:sz w:val="22"/>
                <w:szCs w:val="22"/>
              </w:rPr>
            </w:pPr>
            <w:r>
              <w:rPr>
                <w:rFonts w:hint="eastAsia" w:ascii="宋体" w:hAnsi="宋体" w:cs="宋体"/>
                <w:kern w:val="0"/>
                <w:sz w:val="22"/>
                <w:szCs w:val="22"/>
              </w:rPr>
              <w:t>接入服务器</w:t>
            </w:r>
          </w:p>
        </w:tc>
        <w:tc>
          <w:tcPr>
            <w:tcW w:w="2219" w:type="pct"/>
            <w:tcBorders>
              <w:top w:val="nil"/>
              <w:left w:val="nil"/>
              <w:bottom w:val="single" w:color="auto" w:sz="4" w:space="0"/>
              <w:right w:val="single" w:color="auto" w:sz="4" w:space="0"/>
            </w:tcBorders>
            <w:shd w:val="clear" w:color="000000" w:fill="FFFFFF"/>
            <w:vAlign w:val="center"/>
          </w:tcPr>
          <w:p w14:paraId="2AA76F55">
            <w:pPr>
              <w:widowControl/>
              <w:jc w:val="left"/>
              <w:rPr>
                <w:rFonts w:ascii="宋体" w:hAnsi="宋体" w:cs="宋体"/>
                <w:kern w:val="0"/>
                <w:sz w:val="22"/>
                <w:szCs w:val="22"/>
              </w:rPr>
            </w:pPr>
            <w:r>
              <w:rPr>
                <w:rFonts w:hint="eastAsia" w:ascii="宋体" w:hAnsi="宋体" w:cs="宋体"/>
                <w:kern w:val="0"/>
                <w:sz w:val="22"/>
                <w:szCs w:val="22"/>
              </w:rPr>
              <w:t>4114(10核2.2GHz)×1/32G DDR4/1TB 7.2K  SATA×2/SAS_HBA/1GbE×2/Win Svr 2016 简中标版/550W(1+1)/2U/16DIMM</w:t>
            </w:r>
          </w:p>
        </w:tc>
        <w:tc>
          <w:tcPr>
            <w:tcW w:w="344" w:type="pct"/>
            <w:tcBorders>
              <w:top w:val="nil"/>
              <w:left w:val="nil"/>
              <w:bottom w:val="single" w:color="auto" w:sz="4" w:space="0"/>
              <w:right w:val="single" w:color="auto" w:sz="4" w:space="0"/>
            </w:tcBorders>
            <w:shd w:val="clear" w:color="000000" w:fill="FFFFFF"/>
            <w:vAlign w:val="center"/>
          </w:tcPr>
          <w:p w14:paraId="54873A9D">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34DC8766">
            <w:pPr>
              <w:widowControl/>
              <w:jc w:val="center"/>
              <w:rPr>
                <w:rFonts w:ascii="仿宋" w:hAnsi="仿宋" w:eastAsia="仿宋" w:cs="宋体"/>
                <w:kern w:val="0"/>
                <w:sz w:val="22"/>
                <w:szCs w:val="22"/>
              </w:rPr>
            </w:pPr>
            <w:r>
              <w:rPr>
                <w:rFonts w:hint="eastAsia" w:ascii="仿宋" w:hAnsi="仿宋" w:eastAsia="仿宋"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238B646C">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4 </w:t>
            </w:r>
          </w:p>
        </w:tc>
        <w:tc>
          <w:tcPr>
            <w:tcW w:w="462" w:type="pct"/>
            <w:tcBorders>
              <w:top w:val="nil"/>
              <w:left w:val="nil"/>
              <w:bottom w:val="single" w:color="auto" w:sz="4" w:space="0"/>
              <w:right w:val="single" w:color="auto" w:sz="4" w:space="0"/>
            </w:tcBorders>
            <w:shd w:val="clear" w:color="000000" w:fill="FFFFFF"/>
            <w:noWrap/>
            <w:vAlign w:val="center"/>
          </w:tcPr>
          <w:p w14:paraId="4D2C7B6A">
            <w:pPr>
              <w:widowControl/>
              <w:jc w:val="left"/>
              <w:rPr>
                <w:rFonts w:ascii="宋体" w:hAnsi="宋体" w:cs="宋体"/>
                <w:kern w:val="0"/>
                <w:sz w:val="22"/>
                <w:szCs w:val="22"/>
              </w:rPr>
            </w:pPr>
            <w:r>
              <w:rPr>
                <w:rFonts w:hint="eastAsia" w:ascii="宋体" w:hAnsi="宋体" w:cs="宋体"/>
                <w:kern w:val="0"/>
                <w:sz w:val="22"/>
                <w:szCs w:val="22"/>
              </w:rPr>
              <w:t>　</w:t>
            </w:r>
          </w:p>
        </w:tc>
      </w:tr>
      <w:tr w14:paraId="1E8AA4D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4EC49917">
            <w:pPr>
              <w:widowControl/>
              <w:jc w:val="center"/>
              <w:rPr>
                <w:rFonts w:ascii="宋体" w:hAnsi="宋体" w:cs="宋体"/>
                <w:kern w:val="0"/>
                <w:sz w:val="22"/>
                <w:szCs w:val="22"/>
              </w:rPr>
            </w:pPr>
            <w:r>
              <w:rPr>
                <w:rFonts w:hint="eastAsia" w:ascii="宋体" w:hAnsi="宋体" w:cs="宋体"/>
                <w:kern w:val="0"/>
                <w:sz w:val="22"/>
                <w:szCs w:val="22"/>
              </w:rPr>
              <w:t>111</w:t>
            </w:r>
          </w:p>
        </w:tc>
        <w:tc>
          <w:tcPr>
            <w:tcW w:w="849" w:type="pct"/>
            <w:tcBorders>
              <w:top w:val="nil"/>
              <w:left w:val="nil"/>
              <w:bottom w:val="single" w:color="auto" w:sz="4" w:space="0"/>
              <w:right w:val="single" w:color="auto" w:sz="4" w:space="0"/>
            </w:tcBorders>
            <w:shd w:val="clear" w:color="000000" w:fill="FFFFFF"/>
            <w:vAlign w:val="center"/>
          </w:tcPr>
          <w:p w14:paraId="2697F9DE">
            <w:pPr>
              <w:widowControl/>
              <w:jc w:val="left"/>
              <w:rPr>
                <w:rFonts w:ascii="宋体" w:hAnsi="宋体" w:cs="宋体"/>
                <w:kern w:val="0"/>
                <w:sz w:val="22"/>
                <w:szCs w:val="22"/>
              </w:rPr>
            </w:pPr>
            <w:r>
              <w:rPr>
                <w:rFonts w:hint="eastAsia" w:ascii="宋体" w:hAnsi="宋体" w:cs="宋体"/>
                <w:kern w:val="0"/>
                <w:sz w:val="22"/>
                <w:szCs w:val="22"/>
              </w:rPr>
              <w:t>流媒体转发服务器</w:t>
            </w:r>
          </w:p>
        </w:tc>
        <w:tc>
          <w:tcPr>
            <w:tcW w:w="2219" w:type="pct"/>
            <w:tcBorders>
              <w:top w:val="nil"/>
              <w:left w:val="nil"/>
              <w:bottom w:val="single" w:color="auto" w:sz="4" w:space="0"/>
              <w:right w:val="single" w:color="auto" w:sz="4" w:space="0"/>
            </w:tcBorders>
            <w:shd w:val="clear" w:color="000000" w:fill="FFFFFF"/>
            <w:vAlign w:val="center"/>
          </w:tcPr>
          <w:p w14:paraId="768293D1">
            <w:pPr>
              <w:widowControl/>
              <w:jc w:val="left"/>
              <w:rPr>
                <w:rFonts w:ascii="宋体" w:hAnsi="宋体" w:cs="宋体"/>
                <w:kern w:val="0"/>
                <w:sz w:val="22"/>
                <w:szCs w:val="22"/>
              </w:rPr>
            </w:pPr>
            <w:r>
              <w:rPr>
                <w:rFonts w:hint="eastAsia" w:ascii="宋体" w:hAnsi="宋体" w:cs="宋体"/>
                <w:kern w:val="0"/>
                <w:sz w:val="22"/>
                <w:szCs w:val="22"/>
              </w:rPr>
              <w:t>流媒体服务器产品，集成VTDU、VTM于一体(不支持VAG),支持海康/GB/ONVIF/PSIA标准协议的视频接入和转发（性能：800路*2Mbps的接入和800路*2Mbps转发）。配置：1个64位多核处理器，8GB，可扩展至32GB。</w:t>
            </w:r>
          </w:p>
        </w:tc>
        <w:tc>
          <w:tcPr>
            <w:tcW w:w="344" w:type="pct"/>
            <w:tcBorders>
              <w:top w:val="nil"/>
              <w:left w:val="nil"/>
              <w:bottom w:val="single" w:color="auto" w:sz="4" w:space="0"/>
              <w:right w:val="single" w:color="auto" w:sz="4" w:space="0"/>
            </w:tcBorders>
            <w:shd w:val="clear" w:color="000000" w:fill="FFFFFF"/>
            <w:vAlign w:val="center"/>
          </w:tcPr>
          <w:p w14:paraId="69D8096D">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5C44018F">
            <w:pPr>
              <w:widowControl/>
              <w:jc w:val="center"/>
              <w:rPr>
                <w:rFonts w:ascii="仿宋" w:hAnsi="仿宋" w:eastAsia="仿宋" w:cs="宋体"/>
                <w:kern w:val="0"/>
                <w:sz w:val="22"/>
                <w:szCs w:val="22"/>
              </w:rPr>
            </w:pPr>
            <w:r>
              <w:rPr>
                <w:rFonts w:hint="eastAsia" w:ascii="仿宋" w:hAnsi="仿宋" w:eastAsia="仿宋"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40B8432A">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4 </w:t>
            </w:r>
          </w:p>
        </w:tc>
        <w:tc>
          <w:tcPr>
            <w:tcW w:w="462" w:type="pct"/>
            <w:tcBorders>
              <w:top w:val="nil"/>
              <w:left w:val="nil"/>
              <w:bottom w:val="single" w:color="auto" w:sz="4" w:space="0"/>
              <w:right w:val="single" w:color="auto" w:sz="4" w:space="0"/>
            </w:tcBorders>
            <w:shd w:val="clear" w:color="000000" w:fill="FFFFFF"/>
            <w:noWrap/>
            <w:vAlign w:val="center"/>
          </w:tcPr>
          <w:p w14:paraId="7AE81FC5">
            <w:pPr>
              <w:widowControl/>
              <w:jc w:val="left"/>
              <w:rPr>
                <w:rFonts w:ascii="宋体" w:hAnsi="宋体" w:cs="宋体"/>
                <w:kern w:val="0"/>
                <w:sz w:val="22"/>
                <w:szCs w:val="22"/>
              </w:rPr>
            </w:pPr>
            <w:r>
              <w:rPr>
                <w:rFonts w:hint="eastAsia" w:ascii="宋体" w:hAnsi="宋体" w:cs="宋体"/>
                <w:kern w:val="0"/>
                <w:sz w:val="22"/>
                <w:szCs w:val="22"/>
              </w:rPr>
              <w:t>　</w:t>
            </w:r>
          </w:p>
        </w:tc>
      </w:tr>
      <w:tr w14:paraId="71CB738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3FAFA47D">
            <w:pPr>
              <w:widowControl/>
              <w:jc w:val="center"/>
              <w:rPr>
                <w:rFonts w:ascii="宋体" w:hAnsi="宋体" w:cs="宋体"/>
                <w:kern w:val="0"/>
                <w:sz w:val="22"/>
                <w:szCs w:val="22"/>
              </w:rPr>
            </w:pPr>
            <w:r>
              <w:rPr>
                <w:rFonts w:hint="eastAsia" w:ascii="宋体" w:hAnsi="宋体" w:cs="宋体"/>
                <w:kern w:val="0"/>
                <w:sz w:val="22"/>
                <w:szCs w:val="22"/>
              </w:rPr>
              <w:t>112</w:t>
            </w:r>
          </w:p>
        </w:tc>
        <w:tc>
          <w:tcPr>
            <w:tcW w:w="849" w:type="pct"/>
            <w:tcBorders>
              <w:top w:val="nil"/>
              <w:left w:val="nil"/>
              <w:bottom w:val="single" w:color="auto" w:sz="4" w:space="0"/>
              <w:right w:val="single" w:color="auto" w:sz="4" w:space="0"/>
            </w:tcBorders>
            <w:shd w:val="clear" w:color="000000" w:fill="FFFFFF"/>
            <w:vAlign w:val="center"/>
          </w:tcPr>
          <w:p w14:paraId="0C2925D6">
            <w:pPr>
              <w:widowControl/>
              <w:jc w:val="left"/>
              <w:rPr>
                <w:rFonts w:ascii="宋体" w:hAnsi="宋体" w:cs="宋体"/>
                <w:kern w:val="0"/>
                <w:sz w:val="22"/>
                <w:szCs w:val="22"/>
              </w:rPr>
            </w:pPr>
            <w:r>
              <w:rPr>
                <w:rFonts w:hint="eastAsia" w:ascii="宋体" w:hAnsi="宋体" w:cs="宋体"/>
                <w:kern w:val="0"/>
                <w:sz w:val="22"/>
                <w:szCs w:val="22"/>
              </w:rPr>
              <w:t>视频云存储存储服务器</w:t>
            </w:r>
          </w:p>
        </w:tc>
        <w:tc>
          <w:tcPr>
            <w:tcW w:w="2219" w:type="pct"/>
            <w:tcBorders>
              <w:top w:val="nil"/>
              <w:left w:val="nil"/>
              <w:bottom w:val="single" w:color="auto" w:sz="4" w:space="0"/>
              <w:right w:val="single" w:color="auto" w:sz="4" w:space="0"/>
            </w:tcBorders>
            <w:shd w:val="clear" w:color="000000" w:fill="FFFFFF"/>
            <w:vAlign w:val="center"/>
          </w:tcPr>
          <w:p w14:paraId="45975217">
            <w:pPr>
              <w:widowControl/>
              <w:jc w:val="left"/>
              <w:rPr>
                <w:rFonts w:ascii="宋体" w:hAnsi="宋体" w:cs="宋体"/>
                <w:kern w:val="0"/>
                <w:sz w:val="22"/>
                <w:szCs w:val="22"/>
              </w:rPr>
            </w:pPr>
            <w:r>
              <w:rPr>
                <w:rFonts w:hint="eastAsia" w:ascii="宋体" w:hAnsi="宋体" w:cs="宋体"/>
                <w:kern w:val="0"/>
                <w:sz w:val="22"/>
                <w:szCs w:val="22"/>
              </w:rPr>
              <w:t>单设备应配置≥64位多核处理器，≥4GB内存，内存支持扩展到≥64GB，需配置冗余金牌电源，支持双系统（其中电源仅以照片证明即可）</w:t>
            </w:r>
          </w:p>
        </w:tc>
        <w:tc>
          <w:tcPr>
            <w:tcW w:w="344" w:type="pct"/>
            <w:tcBorders>
              <w:top w:val="nil"/>
              <w:left w:val="nil"/>
              <w:bottom w:val="single" w:color="auto" w:sz="4" w:space="0"/>
              <w:right w:val="single" w:color="auto" w:sz="4" w:space="0"/>
            </w:tcBorders>
            <w:shd w:val="clear" w:color="000000" w:fill="FFFFFF"/>
            <w:vAlign w:val="center"/>
          </w:tcPr>
          <w:p w14:paraId="6F98393E">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3BE43030">
            <w:pPr>
              <w:widowControl/>
              <w:jc w:val="center"/>
              <w:rPr>
                <w:rFonts w:ascii="仿宋" w:hAnsi="仿宋" w:eastAsia="仿宋" w:cs="宋体"/>
                <w:kern w:val="0"/>
                <w:sz w:val="22"/>
                <w:szCs w:val="22"/>
              </w:rPr>
            </w:pPr>
            <w:r>
              <w:rPr>
                <w:rFonts w:hint="eastAsia" w:ascii="仿宋" w:hAnsi="仿宋" w:eastAsia="仿宋"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2B7B006">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4 </w:t>
            </w:r>
          </w:p>
        </w:tc>
        <w:tc>
          <w:tcPr>
            <w:tcW w:w="462" w:type="pct"/>
            <w:tcBorders>
              <w:top w:val="nil"/>
              <w:left w:val="nil"/>
              <w:bottom w:val="single" w:color="auto" w:sz="4" w:space="0"/>
              <w:right w:val="single" w:color="auto" w:sz="4" w:space="0"/>
            </w:tcBorders>
            <w:shd w:val="clear" w:color="000000" w:fill="FFFFFF"/>
            <w:noWrap/>
            <w:vAlign w:val="center"/>
          </w:tcPr>
          <w:p w14:paraId="5537EE05">
            <w:pPr>
              <w:widowControl/>
              <w:jc w:val="left"/>
              <w:rPr>
                <w:rFonts w:ascii="宋体" w:hAnsi="宋体" w:cs="宋体"/>
                <w:kern w:val="0"/>
                <w:sz w:val="22"/>
                <w:szCs w:val="22"/>
              </w:rPr>
            </w:pPr>
            <w:r>
              <w:rPr>
                <w:rFonts w:hint="eastAsia" w:ascii="宋体" w:hAnsi="宋体" w:cs="宋体"/>
                <w:kern w:val="0"/>
                <w:sz w:val="22"/>
                <w:szCs w:val="22"/>
              </w:rPr>
              <w:t>　</w:t>
            </w:r>
          </w:p>
        </w:tc>
      </w:tr>
      <w:tr w14:paraId="2FD8292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2A99F68">
            <w:pPr>
              <w:widowControl/>
              <w:jc w:val="center"/>
              <w:rPr>
                <w:rFonts w:ascii="宋体" w:hAnsi="宋体" w:cs="宋体"/>
                <w:kern w:val="0"/>
                <w:sz w:val="22"/>
                <w:szCs w:val="22"/>
              </w:rPr>
            </w:pPr>
            <w:r>
              <w:rPr>
                <w:rFonts w:hint="eastAsia" w:ascii="宋体" w:hAnsi="宋体" w:cs="宋体"/>
                <w:kern w:val="0"/>
                <w:sz w:val="22"/>
                <w:szCs w:val="22"/>
              </w:rPr>
              <w:t>113</w:t>
            </w:r>
          </w:p>
        </w:tc>
        <w:tc>
          <w:tcPr>
            <w:tcW w:w="849" w:type="pct"/>
            <w:tcBorders>
              <w:top w:val="nil"/>
              <w:left w:val="nil"/>
              <w:bottom w:val="single" w:color="auto" w:sz="4" w:space="0"/>
              <w:right w:val="single" w:color="auto" w:sz="4" w:space="0"/>
            </w:tcBorders>
            <w:shd w:val="clear" w:color="000000" w:fill="FFFFFF"/>
            <w:vAlign w:val="center"/>
          </w:tcPr>
          <w:p w14:paraId="1AC96F80">
            <w:pPr>
              <w:widowControl/>
              <w:jc w:val="left"/>
              <w:rPr>
                <w:rFonts w:ascii="宋体" w:hAnsi="宋体" w:cs="宋体"/>
                <w:kern w:val="0"/>
                <w:sz w:val="22"/>
                <w:szCs w:val="22"/>
              </w:rPr>
            </w:pPr>
            <w:r>
              <w:rPr>
                <w:rFonts w:hint="eastAsia" w:ascii="宋体" w:hAnsi="宋体" w:cs="宋体"/>
                <w:kern w:val="0"/>
                <w:sz w:val="22"/>
                <w:szCs w:val="22"/>
              </w:rPr>
              <w:t>千兆接入交换机</w:t>
            </w:r>
          </w:p>
        </w:tc>
        <w:tc>
          <w:tcPr>
            <w:tcW w:w="2219" w:type="pct"/>
            <w:tcBorders>
              <w:top w:val="nil"/>
              <w:left w:val="nil"/>
              <w:bottom w:val="single" w:color="auto" w:sz="4" w:space="0"/>
              <w:right w:val="single" w:color="auto" w:sz="4" w:space="0"/>
            </w:tcBorders>
            <w:shd w:val="clear" w:color="000000" w:fill="FFFFFF"/>
            <w:vAlign w:val="center"/>
          </w:tcPr>
          <w:p w14:paraId="26DFE26F">
            <w:pPr>
              <w:widowControl/>
              <w:jc w:val="left"/>
              <w:rPr>
                <w:rFonts w:ascii="宋体" w:hAnsi="宋体" w:cs="宋体"/>
                <w:kern w:val="0"/>
                <w:sz w:val="22"/>
                <w:szCs w:val="22"/>
              </w:rPr>
            </w:pPr>
            <w:r>
              <w:rPr>
                <w:rFonts w:hint="eastAsia" w:ascii="宋体" w:hAnsi="宋体" w:cs="宋体"/>
                <w:kern w:val="0"/>
                <w:sz w:val="22"/>
                <w:szCs w:val="22"/>
              </w:rPr>
              <w:t>全千兆三层交换机，48千兆电，4千兆SFP，2QSFP+堆叠口</w:t>
            </w:r>
          </w:p>
        </w:tc>
        <w:tc>
          <w:tcPr>
            <w:tcW w:w="344" w:type="pct"/>
            <w:tcBorders>
              <w:top w:val="nil"/>
              <w:left w:val="nil"/>
              <w:bottom w:val="single" w:color="auto" w:sz="4" w:space="0"/>
              <w:right w:val="single" w:color="auto" w:sz="4" w:space="0"/>
            </w:tcBorders>
            <w:shd w:val="clear" w:color="000000" w:fill="FFFFFF"/>
            <w:vAlign w:val="center"/>
          </w:tcPr>
          <w:p w14:paraId="3E5F9419">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D499336">
            <w:pPr>
              <w:widowControl/>
              <w:jc w:val="center"/>
              <w:rPr>
                <w:rFonts w:ascii="仿宋" w:hAnsi="仿宋" w:eastAsia="仿宋" w:cs="宋体"/>
                <w:kern w:val="0"/>
                <w:sz w:val="22"/>
                <w:szCs w:val="22"/>
              </w:rPr>
            </w:pPr>
            <w:r>
              <w:rPr>
                <w:rFonts w:hint="eastAsia" w:ascii="仿宋" w:hAnsi="仿宋" w:eastAsia="仿宋"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94F74E8">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4 </w:t>
            </w:r>
          </w:p>
        </w:tc>
        <w:tc>
          <w:tcPr>
            <w:tcW w:w="462" w:type="pct"/>
            <w:tcBorders>
              <w:top w:val="nil"/>
              <w:left w:val="nil"/>
              <w:bottom w:val="single" w:color="auto" w:sz="4" w:space="0"/>
              <w:right w:val="single" w:color="auto" w:sz="4" w:space="0"/>
            </w:tcBorders>
            <w:shd w:val="clear" w:color="000000" w:fill="FFFFFF"/>
            <w:noWrap/>
            <w:vAlign w:val="center"/>
          </w:tcPr>
          <w:p w14:paraId="017A52DB">
            <w:pPr>
              <w:widowControl/>
              <w:jc w:val="left"/>
              <w:rPr>
                <w:rFonts w:ascii="宋体" w:hAnsi="宋体" w:cs="宋体"/>
                <w:kern w:val="0"/>
                <w:sz w:val="22"/>
                <w:szCs w:val="22"/>
              </w:rPr>
            </w:pPr>
            <w:r>
              <w:rPr>
                <w:rFonts w:hint="eastAsia" w:ascii="宋体" w:hAnsi="宋体" w:cs="宋体"/>
                <w:kern w:val="0"/>
                <w:sz w:val="22"/>
                <w:szCs w:val="22"/>
              </w:rPr>
              <w:t>　</w:t>
            </w:r>
          </w:p>
        </w:tc>
      </w:tr>
      <w:tr w14:paraId="48EF1B42">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08D4AE19">
            <w:pPr>
              <w:widowControl/>
              <w:jc w:val="center"/>
              <w:rPr>
                <w:rFonts w:ascii="宋体" w:hAnsi="宋体" w:cs="宋体"/>
                <w:kern w:val="0"/>
                <w:sz w:val="22"/>
                <w:szCs w:val="22"/>
              </w:rPr>
            </w:pPr>
            <w:r>
              <w:rPr>
                <w:rFonts w:hint="eastAsia" w:ascii="宋体" w:hAnsi="宋体" w:cs="宋体"/>
                <w:kern w:val="0"/>
                <w:sz w:val="22"/>
                <w:szCs w:val="22"/>
              </w:rPr>
              <w:t>114</w:t>
            </w:r>
          </w:p>
        </w:tc>
        <w:tc>
          <w:tcPr>
            <w:tcW w:w="849" w:type="pct"/>
            <w:tcBorders>
              <w:top w:val="nil"/>
              <w:left w:val="nil"/>
              <w:bottom w:val="single" w:color="auto" w:sz="4" w:space="0"/>
              <w:right w:val="single" w:color="auto" w:sz="4" w:space="0"/>
            </w:tcBorders>
            <w:shd w:val="clear" w:color="000000" w:fill="FFFFFF"/>
            <w:vAlign w:val="center"/>
          </w:tcPr>
          <w:p w14:paraId="15CE3F90">
            <w:pPr>
              <w:widowControl/>
              <w:jc w:val="left"/>
              <w:rPr>
                <w:rFonts w:ascii="宋体" w:hAnsi="宋体" w:cs="宋体"/>
                <w:kern w:val="0"/>
                <w:sz w:val="22"/>
                <w:szCs w:val="22"/>
              </w:rPr>
            </w:pPr>
            <w:r>
              <w:rPr>
                <w:rFonts w:hint="eastAsia" w:ascii="宋体" w:hAnsi="宋体" w:cs="宋体"/>
                <w:kern w:val="0"/>
                <w:sz w:val="22"/>
                <w:szCs w:val="22"/>
              </w:rPr>
              <w:t>4路接入转换设备</w:t>
            </w:r>
          </w:p>
        </w:tc>
        <w:tc>
          <w:tcPr>
            <w:tcW w:w="2219" w:type="pct"/>
            <w:tcBorders>
              <w:top w:val="nil"/>
              <w:left w:val="nil"/>
              <w:bottom w:val="single" w:color="auto" w:sz="4" w:space="0"/>
              <w:right w:val="single" w:color="auto" w:sz="4" w:space="0"/>
            </w:tcBorders>
            <w:shd w:val="clear" w:color="000000" w:fill="FFFFFF"/>
            <w:vAlign w:val="center"/>
          </w:tcPr>
          <w:p w14:paraId="0D42CB5E">
            <w:pPr>
              <w:widowControl/>
              <w:jc w:val="left"/>
              <w:rPr>
                <w:rFonts w:ascii="宋体" w:hAnsi="宋体" w:cs="宋体"/>
                <w:kern w:val="0"/>
                <w:sz w:val="22"/>
                <w:szCs w:val="22"/>
              </w:rPr>
            </w:pPr>
            <w:r>
              <w:rPr>
                <w:rFonts w:hint="eastAsia" w:ascii="宋体" w:hAnsi="宋体" w:cs="宋体"/>
                <w:kern w:val="0"/>
                <w:sz w:val="22"/>
                <w:szCs w:val="22"/>
              </w:rPr>
              <w:t>1U 260铁盒小机箱</w:t>
            </w:r>
          </w:p>
        </w:tc>
        <w:tc>
          <w:tcPr>
            <w:tcW w:w="344" w:type="pct"/>
            <w:tcBorders>
              <w:top w:val="nil"/>
              <w:left w:val="nil"/>
              <w:bottom w:val="single" w:color="auto" w:sz="4" w:space="0"/>
              <w:right w:val="single" w:color="auto" w:sz="4" w:space="0"/>
            </w:tcBorders>
            <w:shd w:val="clear" w:color="000000" w:fill="FFFFFF"/>
            <w:vAlign w:val="center"/>
          </w:tcPr>
          <w:p w14:paraId="629E9BC6">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2A4272C9">
            <w:pPr>
              <w:widowControl/>
              <w:jc w:val="center"/>
              <w:rPr>
                <w:rFonts w:ascii="仿宋" w:hAnsi="仿宋" w:eastAsia="仿宋" w:cs="宋体"/>
                <w:kern w:val="0"/>
                <w:sz w:val="22"/>
                <w:szCs w:val="22"/>
              </w:rPr>
            </w:pPr>
            <w:r>
              <w:rPr>
                <w:rFonts w:hint="eastAsia" w:ascii="仿宋" w:hAnsi="仿宋" w:eastAsia="仿宋"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558F95A6">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200 </w:t>
            </w:r>
          </w:p>
        </w:tc>
        <w:tc>
          <w:tcPr>
            <w:tcW w:w="462" w:type="pct"/>
            <w:tcBorders>
              <w:top w:val="nil"/>
              <w:left w:val="nil"/>
              <w:bottom w:val="single" w:color="auto" w:sz="4" w:space="0"/>
              <w:right w:val="single" w:color="auto" w:sz="4" w:space="0"/>
            </w:tcBorders>
            <w:shd w:val="clear" w:color="000000" w:fill="FFFFFF"/>
            <w:noWrap/>
            <w:vAlign w:val="center"/>
          </w:tcPr>
          <w:p w14:paraId="5FFF6965">
            <w:pPr>
              <w:widowControl/>
              <w:jc w:val="left"/>
              <w:rPr>
                <w:rFonts w:ascii="宋体" w:hAnsi="宋体" w:cs="宋体"/>
                <w:kern w:val="0"/>
                <w:sz w:val="22"/>
                <w:szCs w:val="22"/>
              </w:rPr>
            </w:pPr>
            <w:r>
              <w:rPr>
                <w:rFonts w:hint="eastAsia" w:ascii="宋体" w:hAnsi="宋体" w:cs="宋体"/>
                <w:kern w:val="0"/>
                <w:sz w:val="22"/>
                <w:szCs w:val="22"/>
              </w:rPr>
              <w:t>　</w:t>
            </w:r>
          </w:p>
        </w:tc>
      </w:tr>
      <w:tr w14:paraId="1867E73B">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704A7188">
            <w:pPr>
              <w:widowControl/>
              <w:jc w:val="center"/>
              <w:rPr>
                <w:rFonts w:ascii="宋体" w:hAnsi="宋体" w:cs="宋体"/>
                <w:kern w:val="0"/>
                <w:sz w:val="22"/>
                <w:szCs w:val="22"/>
              </w:rPr>
            </w:pPr>
            <w:r>
              <w:rPr>
                <w:rFonts w:hint="eastAsia" w:ascii="宋体" w:hAnsi="宋体" w:cs="宋体"/>
                <w:kern w:val="0"/>
                <w:sz w:val="22"/>
                <w:szCs w:val="22"/>
              </w:rPr>
              <w:t>115</w:t>
            </w:r>
          </w:p>
        </w:tc>
        <w:tc>
          <w:tcPr>
            <w:tcW w:w="849" w:type="pct"/>
            <w:tcBorders>
              <w:top w:val="nil"/>
              <w:left w:val="nil"/>
              <w:bottom w:val="single" w:color="auto" w:sz="4" w:space="0"/>
              <w:right w:val="single" w:color="auto" w:sz="4" w:space="0"/>
            </w:tcBorders>
            <w:shd w:val="clear" w:color="000000" w:fill="FFFFFF"/>
            <w:vAlign w:val="center"/>
          </w:tcPr>
          <w:p w14:paraId="6976ED3C">
            <w:pPr>
              <w:widowControl/>
              <w:jc w:val="left"/>
              <w:rPr>
                <w:rFonts w:ascii="宋体" w:hAnsi="宋体" w:cs="宋体"/>
                <w:kern w:val="0"/>
                <w:sz w:val="22"/>
                <w:szCs w:val="22"/>
              </w:rPr>
            </w:pPr>
            <w:r>
              <w:rPr>
                <w:rFonts w:hint="eastAsia" w:ascii="宋体" w:hAnsi="宋体" w:cs="宋体"/>
                <w:kern w:val="0"/>
                <w:sz w:val="22"/>
                <w:szCs w:val="22"/>
              </w:rPr>
              <w:t>4路接入转换设备</w:t>
            </w:r>
          </w:p>
        </w:tc>
        <w:tc>
          <w:tcPr>
            <w:tcW w:w="2219" w:type="pct"/>
            <w:tcBorders>
              <w:top w:val="nil"/>
              <w:left w:val="nil"/>
              <w:bottom w:val="single" w:color="auto" w:sz="4" w:space="0"/>
              <w:right w:val="single" w:color="auto" w:sz="4" w:space="0"/>
            </w:tcBorders>
            <w:shd w:val="clear" w:color="000000" w:fill="FFFFFF"/>
            <w:vAlign w:val="center"/>
          </w:tcPr>
          <w:p w14:paraId="489CD512">
            <w:pPr>
              <w:widowControl/>
              <w:jc w:val="left"/>
              <w:rPr>
                <w:rFonts w:ascii="宋体" w:hAnsi="宋体" w:cs="宋体"/>
                <w:kern w:val="0"/>
                <w:sz w:val="22"/>
                <w:szCs w:val="22"/>
              </w:rPr>
            </w:pPr>
            <w:r>
              <w:rPr>
                <w:rFonts w:hint="eastAsia" w:ascii="宋体" w:hAnsi="宋体" w:cs="宋体"/>
                <w:kern w:val="0"/>
                <w:sz w:val="22"/>
                <w:szCs w:val="22"/>
              </w:rPr>
              <w:t>1U 260铁盒小机箱</w:t>
            </w:r>
          </w:p>
        </w:tc>
        <w:tc>
          <w:tcPr>
            <w:tcW w:w="344" w:type="pct"/>
            <w:tcBorders>
              <w:top w:val="nil"/>
              <w:left w:val="nil"/>
              <w:bottom w:val="single" w:color="auto" w:sz="4" w:space="0"/>
              <w:right w:val="single" w:color="auto" w:sz="4" w:space="0"/>
            </w:tcBorders>
            <w:shd w:val="clear" w:color="000000" w:fill="FFFFFF"/>
            <w:vAlign w:val="center"/>
          </w:tcPr>
          <w:p w14:paraId="4551EE24">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382E59A8">
            <w:pPr>
              <w:widowControl/>
              <w:jc w:val="center"/>
              <w:rPr>
                <w:rFonts w:ascii="仿宋" w:hAnsi="仿宋" w:eastAsia="仿宋" w:cs="宋体"/>
                <w:kern w:val="0"/>
                <w:sz w:val="22"/>
                <w:szCs w:val="22"/>
              </w:rPr>
            </w:pPr>
            <w:r>
              <w:rPr>
                <w:rFonts w:hint="eastAsia" w:ascii="仿宋" w:hAnsi="仿宋" w:eastAsia="仿宋"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049CD799">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30 </w:t>
            </w:r>
          </w:p>
        </w:tc>
        <w:tc>
          <w:tcPr>
            <w:tcW w:w="462" w:type="pct"/>
            <w:tcBorders>
              <w:top w:val="nil"/>
              <w:left w:val="nil"/>
              <w:bottom w:val="single" w:color="auto" w:sz="4" w:space="0"/>
              <w:right w:val="single" w:color="auto" w:sz="4" w:space="0"/>
            </w:tcBorders>
            <w:shd w:val="clear" w:color="000000" w:fill="FFFFFF"/>
            <w:noWrap/>
            <w:vAlign w:val="center"/>
          </w:tcPr>
          <w:p w14:paraId="2FF136D6">
            <w:pPr>
              <w:widowControl/>
              <w:jc w:val="left"/>
              <w:rPr>
                <w:rFonts w:ascii="宋体" w:hAnsi="宋体" w:cs="宋体"/>
                <w:kern w:val="0"/>
                <w:sz w:val="22"/>
                <w:szCs w:val="22"/>
              </w:rPr>
            </w:pPr>
            <w:r>
              <w:rPr>
                <w:rFonts w:hint="eastAsia" w:ascii="宋体" w:hAnsi="宋体" w:cs="宋体"/>
                <w:kern w:val="0"/>
                <w:sz w:val="22"/>
                <w:szCs w:val="22"/>
              </w:rPr>
              <w:t>　</w:t>
            </w:r>
          </w:p>
        </w:tc>
      </w:tr>
      <w:tr w14:paraId="5AB9A6F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3286B4C">
            <w:pPr>
              <w:widowControl/>
              <w:jc w:val="center"/>
              <w:rPr>
                <w:rFonts w:ascii="宋体" w:hAnsi="宋体" w:cs="宋体"/>
                <w:kern w:val="0"/>
                <w:sz w:val="22"/>
                <w:szCs w:val="22"/>
              </w:rPr>
            </w:pPr>
            <w:r>
              <w:rPr>
                <w:rFonts w:hint="eastAsia" w:ascii="宋体" w:hAnsi="宋体" w:cs="宋体"/>
                <w:kern w:val="0"/>
                <w:sz w:val="22"/>
                <w:szCs w:val="22"/>
              </w:rPr>
              <w:t>116</w:t>
            </w:r>
          </w:p>
        </w:tc>
        <w:tc>
          <w:tcPr>
            <w:tcW w:w="849" w:type="pct"/>
            <w:tcBorders>
              <w:top w:val="nil"/>
              <w:left w:val="nil"/>
              <w:bottom w:val="single" w:color="auto" w:sz="4" w:space="0"/>
              <w:right w:val="single" w:color="auto" w:sz="4" w:space="0"/>
            </w:tcBorders>
            <w:shd w:val="clear" w:color="000000" w:fill="FFFFFF"/>
            <w:vAlign w:val="center"/>
          </w:tcPr>
          <w:p w14:paraId="6FE5F625">
            <w:pPr>
              <w:widowControl/>
              <w:jc w:val="left"/>
              <w:rPr>
                <w:rFonts w:ascii="宋体" w:hAnsi="宋体" w:cs="宋体"/>
                <w:kern w:val="0"/>
                <w:sz w:val="22"/>
                <w:szCs w:val="22"/>
              </w:rPr>
            </w:pPr>
            <w:r>
              <w:rPr>
                <w:rFonts w:hint="eastAsia" w:ascii="宋体" w:hAnsi="宋体" w:cs="宋体"/>
                <w:kern w:val="0"/>
                <w:sz w:val="22"/>
                <w:szCs w:val="22"/>
              </w:rPr>
              <w:t>接入服务器（含软件平台）</w:t>
            </w:r>
          </w:p>
        </w:tc>
        <w:tc>
          <w:tcPr>
            <w:tcW w:w="2219" w:type="pct"/>
            <w:tcBorders>
              <w:top w:val="nil"/>
              <w:left w:val="nil"/>
              <w:bottom w:val="single" w:color="auto" w:sz="4" w:space="0"/>
              <w:right w:val="single" w:color="auto" w:sz="4" w:space="0"/>
            </w:tcBorders>
            <w:shd w:val="clear" w:color="000000" w:fill="FFFFFF"/>
          </w:tcPr>
          <w:p w14:paraId="5D5F7AC8">
            <w:pPr>
              <w:widowControl/>
              <w:jc w:val="left"/>
              <w:rPr>
                <w:rFonts w:ascii="宋体" w:hAnsi="宋体" w:cs="宋体"/>
                <w:kern w:val="0"/>
                <w:sz w:val="22"/>
                <w:szCs w:val="22"/>
              </w:rPr>
            </w:pPr>
            <w:r>
              <w:rPr>
                <w:rFonts w:hint="eastAsia" w:ascii="宋体" w:hAnsi="宋体" w:cs="宋体"/>
                <w:kern w:val="0"/>
                <w:sz w:val="22"/>
                <w:szCs w:val="22"/>
              </w:rPr>
              <w:t>4114(10核2.2GHz)×1/32G DDR4/1TB 7.2K SATA×2/SAS_HBA/1GbE×2/Win Svr 2016 简中标版/550W(1+1)/2U/16DIMM</w:t>
            </w:r>
          </w:p>
        </w:tc>
        <w:tc>
          <w:tcPr>
            <w:tcW w:w="344" w:type="pct"/>
            <w:tcBorders>
              <w:top w:val="nil"/>
              <w:left w:val="nil"/>
              <w:bottom w:val="single" w:color="auto" w:sz="4" w:space="0"/>
              <w:right w:val="single" w:color="auto" w:sz="4" w:space="0"/>
            </w:tcBorders>
            <w:shd w:val="clear" w:color="000000" w:fill="FFFFFF"/>
            <w:vAlign w:val="center"/>
          </w:tcPr>
          <w:p w14:paraId="6F2ADC37">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1F51410">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412919B6">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6246B8E9">
            <w:pPr>
              <w:widowControl/>
              <w:jc w:val="left"/>
              <w:rPr>
                <w:rFonts w:ascii="宋体" w:hAnsi="宋体" w:cs="宋体"/>
                <w:kern w:val="0"/>
                <w:sz w:val="22"/>
                <w:szCs w:val="22"/>
              </w:rPr>
            </w:pPr>
            <w:r>
              <w:rPr>
                <w:rFonts w:hint="eastAsia" w:ascii="宋体" w:hAnsi="宋体" w:cs="宋体"/>
                <w:kern w:val="0"/>
                <w:sz w:val="22"/>
                <w:szCs w:val="22"/>
              </w:rPr>
              <w:t>　</w:t>
            </w:r>
          </w:p>
        </w:tc>
      </w:tr>
      <w:tr w14:paraId="57FD560B">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2B41200F">
            <w:pPr>
              <w:widowControl/>
              <w:jc w:val="center"/>
              <w:rPr>
                <w:rFonts w:ascii="宋体" w:hAnsi="宋体" w:cs="宋体"/>
                <w:kern w:val="0"/>
                <w:sz w:val="22"/>
                <w:szCs w:val="22"/>
              </w:rPr>
            </w:pPr>
            <w:r>
              <w:rPr>
                <w:rFonts w:hint="eastAsia" w:ascii="宋体" w:hAnsi="宋体" w:cs="宋体"/>
                <w:kern w:val="0"/>
                <w:sz w:val="22"/>
                <w:szCs w:val="22"/>
              </w:rPr>
              <w:t>117</w:t>
            </w:r>
          </w:p>
        </w:tc>
        <w:tc>
          <w:tcPr>
            <w:tcW w:w="849" w:type="pct"/>
            <w:tcBorders>
              <w:top w:val="nil"/>
              <w:left w:val="nil"/>
              <w:bottom w:val="single" w:color="auto" w:sz="4" w:space="0"/>
              <w:right w:val="single" w:color="auto" w:sz="4" w:space="0"/>
            </w:tcBorders>
            <w:shd w:val="clear" w:color="000000" w:fill="FFFFFF"/>
            <w:vAlign w:val="center"/>
          </w:tcPr>
          <w:p w14:paraId="3BC234CF">
            <w:pPr>
              <w:widowControl/>
              <w:jc w:val="left"/>
              <w:rPr>
                <w:rFonts w:ascii="宋体" w:hAnsi="宋体" w:cs="宋体"/>
                <w:kern w:val="0"/>
                <w:sz w:val="22"/>
                <w:szCs w:val="22"/>
              </w:rPr>
            </w:pPr>
            <w:r>
              <w:rPr>
                <w:rFonts w:hint="eastAsia" w:ascii="宋体" w:hAnsi="宋体" w:cs="宋体"/>
                <w:kern w:val="0"/>
                <w:sz w:val="22"/>
                <w:szCs w:val="22"/>
              </w:rPr>
              <w:t>流媒体转发服务器</w:t>
            </w:r>
          </w:p>
        </w:tc>
        <w:tc>
          <w:tcPr>
            <w:tcW w:w="2219" w:type="pct"/>
            <w:tcBorders>
              <w:top w:val="nil"/>
              <w:left w:val="nil"/>
              <w:bottom w:val="single" w:color="auto" w:sz="4" w:space="0"/>
              <w:right w:val="single" w:color="auto" w:sz="4" w:space="0"/>
            </w:tcBorders>
            <w:shd w:val="clear" w:color="000000" w:fill="FFFFFF"/>
          </w:tcPr>
          <w:p w14:paraId="55D46FF5">
            <w:pPr>
              <w:widowControl/>
              <w:jc w:val="left"/>
              <w:rPr>
                <w:rFonts w:ascii="宋体" w:hAnsi="宋体" w:cs="宋体"/>
                <w:kern w:val="0"/>
                <w:sz w:val="22"/>
                <w:szCs w:val="22"/>
              </w:rPr>
            </w:pPr>
            <w:r>
              <w:rPr>
                <w:rFonts w:hint="eastAsia" w:ascii="宋体" w:hAnsi="宋体" w:cs="宋体"/>
                <w:kern w:val="0"/>
                <w:sz w:val="22"/>
                <w:szCs w:val="22"/>
              </w:rPr>
              <w:t>流媒体服务器产品，集成VTDU、VTM于一体(不支持VAG),支持海康/GB/ONVIF/PSIA标准协议的视频接入和转发（性能：800路*2Mbps的接入和800路*2Mbps转发）。配置：1个64位多核处理器，8GB，可扩展至32GB。</w:t>
            </w:r>
          </w:p>
        </w:tc>
        <w:tc>
          <w:tcPr>
            <w:tcW w:w="344" w:type="pct"/>
            <w:tcBorders>
              <w:top w:val="nil"/>
              <w:left w:val="nil"/>
              <w:bottom w:val="single" w:color="auto" w:sz="4" w:space="0"/>
              <w:right w:val="single" w:color="auto" w:sz="4" w:space="0"/>
            </w:tcBorders>
            <w:shd w:val="clear" w:color="000000" w:fill="FFFFFF"/>
            <w:vAlign w:val="center"/>
          </w:tcPr>
          <w:p w14:paraId="0825DAE2">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40429B92">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60CF6A69">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7CECFDDD">
            <w:pPr>
              <w:widowControl/>
              <w:jc w:val="left"/>
              <w:rPr>
                <w:rFonts w:ascii="宋体" w:hAnsi="宋体" w:cs="宋体"/>
                <w:kern w:val="0"/>
                <w:sz w:val="22"/>
                <w:szCs w:val="22"/>
              </w:rPr>
            </w:pPr>
            <w:r>
              <w:rPr>
                <w:rFonts w:hint="eastAsia" w:ascii="宋体" w:hAnsi="宋体" w:cs="宋体"/>
                <w:kern w:val="0"/>
                <w:sz w:val="22"/>
                <w:szCs w:val="22"/>
              </w:rPr>
              <w:t>　</w:t>
            </w:r>
          </w:p>
        </w:tc>
      </w:tr>
      <w:tr w14:paraId="4D646BD6">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F1B015C">
            <w:pPr>
              <w:widowControl/>
              <w:jc w:val="center"/>
              <w:rPr>
                <w:rFonts w:ascii="宋体" w:hAnsi="宋体" w:cs="宋体"/>
                <w:kern w:val="0"/>
                <w:sz w:val="22"/>
                <w:szCs w:val="22"/>
              </w:rPr>
            </w:pPr>
            <w:r>
              <w:rPr>
                <w:rFonts w:hint="eastAsia" w:ascii="宋体" w:hAnsi="宋体" w:cs="宋体"/>
                <w:kern w:val="0"/>
                <w:sz w:val="22"/>
                <w:szCs w:val="22"/>
              </w:rPr>
              <w:t>118</w:t>
            </w:r>
          </w:p>
        </w:tc>
        <w:tc>
          <w:tcPr>
            <w:tcW w:w="849" w:type="pct"/>
            <w:tcBorders>
              <w:top w:val="nil"/>
              <w:left w:val="nil"/>
              <w:bottom w:val="single" w:color="auto" w:sz="4" w:space="0"/>
              <w:right w:val="single" w:color="auto" w:sz="4" w:space="0"/>
            </w:tcBorders>
            <w:shd w:val="clear" w:color="000000" w:fill="FFFFFF"/>
            <w:vAlign w:val="center"/>
          </w:tcPr>
          <w:p w14:paraId="1EBC03E7">
            <w:pPr>
              <w:widowControl/>
              <w:jc w:val="left"/>
              <w:rPr>
                <w:rFonts w:ascii="宋体" w:hAnsi="宋体" w:cs="宋体"/>
                <w:kern w:val="0"/>
                <w:sz w:val="22"/>
                <w:szCs w:val="22"/>
              </w:rPr>
            </w:pPr>
            <w:r>
              <w:rPr>
                <w:rFonts w:hint="eastAsia" w:ascii="宋体" w:hAnsi="宋体" w:cs="宋体"/>
                <w:kern w:val="0"/>
                <w:sz w:val="22"/>
                <w:szCs w:val="22"/>
              </w:rPr>
              <w:t>视频云存储存储服务器</w:t>
            </w:r>
          </w:p>
        </w:tc>
        <w:tc>
          <w:tcPr>
            <w:tcW w:w="2219" w:type="pct"/>
            <w:tcBorders>
              <w:top w:val="nil"/>
              <w:left w:val="nil"/>
              <w:bottom w:val="single" w:color="auto" w:sz="4" w:space="0"/>
              <w:right w:val="single" w:color="auto" w:sz="4" w:space="0"/>
            </w:tcBorders>
            <w:shd w:val="clear" w:color="000000" w:fill="FFFFFF"/>
          </w:tcPr>
          <w:p w14:paraId="5D4369D7">
            <w:pPr>
              <w:widowControl/>
              <w:jc w:val="left"/>
              <w:rPr>
                <w:rFonts w:ascii="宋体" w:hAnsi="宋体" w:cs="宋体"/>
                <w:kern w:val="0"/>
                <w:sz w:val="22"/>
                <w:szCs w:val="22"/>
              </w:rPr>
            </w:pPr>
            <w:r>
              <w:rPr>
                <w:rFonts w:hint="eastAsia" w:ascii="宋体" w:hAnsi="宋体" w:cs="宋体"/>
                <w:kern w:val="0"/>
                <w:sz w:val="22"/>
                <w:szCs w:val="22"/>
              </w:rPr>
              <w:t>单设备应配置≥64位多核处理器，≥4GB内存，内存支持扩展到≥64GB，需配置冗余金牌电源，支持双系统（其中电源仅以照片证明即可）单设备应标配≥2个千兆网口，可增扩≥4个万兆口或≥8个光纤接口或增配≥4个HDMI接口或≥2个SAS3.0接口，可扩展2个SSD固态硬盘应支持FCSAN、IPSAN、NAS存储功能可接入2T/3T/4T/6T/8T/10TSATA磁盘，支持磁盘交错启动和漫游，并支持在线热插拔；接入硬盘≥48块，支持SATA和SAS混插，并支持≥12级扩展柜级联扩展；</w:t>
            </w:r>
          </w:p>
        </w:tc>
        <w:tc>
          <w:tcPr>
            <w:tcW w:w="344" w:type="pct"/>
            <w:tcBorders>
              <w:top w:val="nil"/>
              <w:left w:val="nil"/>
              <w:bottom w:val="single" w:color="auto" w:sz="4" w:space="0"/>
              <w:right w:val="single" w:color="auto" w:sz="4" w:space="0"/>
            </w:tcBorders>
            <w:shd w:val="clear" w:color="000000" w:fill="FFFFFF"/>
            <w:vAlign w:val="center"/>
          </w:tcPr>
          <w:p w14:paraId="61D2989C">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1A04138C">
            <w:pPr>
              <w:widowControl/>
              <w:jc w:val="center"/>
              <w:rPr>
                <w:rFonts w:ascii="宋体" w:hAnsi="宋体" w:cs="宋体"/>
                <w:kern w:val="0"/>
                <w:sz w:val="22"/>
                <w:szCs w:val="22"/>
              </w:rPr>
            </w:pPr>
            <w:r>
              <w:rPr>
                <w:rFonts w:hint="eastAsia" w:ascii="宋体" w:hAnsi="宋体" w:cs="宋体"/>
                <w:kern w:val="0"/>
                <w:sz w:val="22"/>
                <w:szCs w:val="22"/>
              </w:rPr>
              <w:t>套</w:t>
            </w:r>
          </w:p>
        </w:tc>
        <w:tc>
          <w:tcPr>
            <w:tcW w:w="355" w:type="pct"/>
            <w:tcBorders>
              <w:top w:val="nil"/>
              <w:left w:val="nil"/>
              <w:bottom w:val="single" w:color="auto" w:sz="4" w:space="0"/>
              <w:right w:val="single" w:color="auto" w:sz="4" w:space="0"/>
            </w:tcBorders>
            <w:shd w:val="clear" w:color="000000" w:fill="FFFFFF"/>
            <w:vAlign w:val="center"/>
          </w:tcPr>
          <w:p w14:paraId="20C9D484">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462" w:type="pct"/>
            <w:tcBorders>
              <w:top w:val="nil"/>
              <w:left w:val="nil"/>
              <w:bottom w:val="single" w:color="auto" w:sz="4" w:space="0"/>
              <w:right w:val="single" w:color="auto" w:sz="4" w:space="0"/>
            </w:tcBorders>
            <w:shd w:val="clear" w:color="000000" w:fill="FFFFFF"/>
            <w:noWrap/>
            <w:vAlign w:val="center"/>
          </w:tcPr>
          <w:p w14:paraId="57E40A11">
            <w:pPr>
              <w:widowControl/>
              <w:jc w:val="left"/>
              <w:rPr>
                <w:rFonts w:ascii="宋体" w:hAnsi="宋体" w:cs="宋体"/>
                <w:kern w:val="0"/>
                <w:sz w:val="22"/>
                <w:szCs w:val="22"/>
              </w:rPr>
            </w:pPr>
            <w:r>
              <w:rPr>
                <w:rFonts w:hint="eastAsia" w:ascii="宋体" w:hAnsi="宋体" w:cs="宋体"/>
                <w:kern w:val="0"/>
                <w:sz w:val="22"/>
                <w:szCs w:val="22"/>
              </w:rPr>
              <w:t>　</w:t>
            </w:r>
          </w:p>
        </w:tc>
      </w:tr>
      <w:tr w14:paraId="70ECC7BD">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59DA85A3">
            <w:pPr>
              <w:widowControl/>
              <w:jc w:val="center"/>
              <w:rPr>
                <w:rFonts w:ascii="宋体" w:hAnsi="宋体" w:cs="宋体"/>
                <w:kern w:val="0"/>
                <w:sz w:val="22"/>
                <w:szCs w:val="22"/>
              </w:rPr>
            </w:pPr>
            <w:r>
              <w:rPr>
                <w:rFonts w:hint="eastAsia" w:ascii="宋体" w:hAnsi="宋体" w:cs="宋体"/>
                <w:kern w:val="0"/>
                <w:sz w:val="22"/>
                <w:szCs w:val="22"/>
              </w:rPr>
              <w:t>119</w:t>
            </w:r>
          </w:p>
        </w:tc>
        <w:tc>
          <w:tcPr>
            <w:tcW w:w="849" w:type="pct"/>
            <w:tcBorders>
              <w:top w:val="nil"/>
              <w:left w:val="nil"/>
              <w:bottom w:val="single" w:color="auto" w:sz="4" w:space="0"/>
              <w:right w:val="single" w:color="auto" w:sz="4" w:space="0"/>
            </w:tcBorders>
            <w:shd w:val="clear" w:color="000000" w:fill="FFFFFF"/>
            <w:vAlign w:val="center"/>
          </w:tcPr>
          <w:p w14:paraId="0C74DE6E">
            <w:pPr>
              <w:widowControl/>
              <w:jc w:val="left"/>
              <w:rPr>
                <w:rFonts w:ascii="宋体" w:hAnsi="宋体" w:cs="宋体"/>
                <w:kern w:val="0"/>
                <w:sz w:val="22"/>
                <w:szCs w:val="22"/>
              </w:rPr>
            </w:pPr>
            <w:r>
              <w:rPr>
                <w:rFonts w:hint="eastAsia" w:ascii="宋体" w:hAnsi="宋体" w:cs="宋体"/>
                <w:kern w:val="0"/>
                <w:sz w:val="22"/>
                <w:szCs w:val="22"/>
              </w:rPr>
              <w:t>4路接入转换设备</w:t>
            </w:r>
          </w:p>
        </w:tc>
        <w:tc>
          <w:tcPr>
            <w:tcW w:w="2219" w:type="pct"/>
            <w:tcBorders>
              <w:top w:val="nil"/>
              <w:left w:val="nil"/>
              <w:bottom w:val="single" w:color="auto" w:sz="4" w:space="0"/>
              <w:right w:val="single" w:color="auto" w:sz="4" w:space="0"/>
            </w:tcBorders>
            <w:shd w:val="clear" w:color="000000" w:fill="FFFFFF"/>
            <w:vAlign w:val="center"/>
          </w:tcPr>
          <w:p w14:paraId="513CC043">
            <w:pPr>
              <w:widowControl/>
              <w:jc w:val="left"/>
              <w:rPr>
                <w:rFonts w:ascii="宋体" w:hAnsi="宋体" w:cs="宋体"/>
                <w:kern w:val="0"/>
                <w:sz w:val="22"/>
                <w:szCs w:val="22"/>
              </w:rPr>
            </w:pPr>
            <w:r>
              <w:rPr>
                <w:rFonts w:hint="eastAsia" w:ascii="宋体" w:hAnsi="宋体" w:cs="宋体"/>
                <w:kern w:val="0"/>
                <w:sz w:val="22"/>
                <w:szCs w:val="22"/>
              </w:rPr>
              <w:t>1U 260铁盒小机箱</w:t>
            </w:r>
          </w:p>
        </w:tc>
        <w:tc>
          <w:tcPr>
            <w:tcW w:w="344" w:type="pct"/>
            <w:tcBorders>
              <w:top w:val="nil"/>
              <w:left w:val="nil"/>
              <w:bottom w:val="single" w:color="auto" w:sz="4" w:space="0"/>
              <w:right w:val="single" w:color="auto" w:sz="4" w:space="0"/>
            </w:tcBorders>
            <w:shd w:val="clear" w:color="000000" w:fill="FFFFFF"/>
            <w:vAlign w:val="center"/>
          </w:tcPr>
          <w:p w14:paraId="513D891C">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vAlign w:val="center"/>
          </w:tcPr>
          <w:p w14:paraId="00D221AC">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vAlign w:val="center"/>
          </w:tcPr>
          <w:p w14:paraId="1E31BFDE">
            <w:pPr>
              <w:widowControl/>
              <w:jc w:val="center"/>
              <w:rPr>
                <w:rFonts w:ascii="宋体" w:hAnsi="宋体" w:cs="宋体"/>
                <w:kern w:val="0"/>
                <w:sz w:val="22"/>
                <w:szCs w:val="22"/>
              </w:rPr>
            </w:pPr>
            <w:r>
              <w:rPr>
                <w:rFonts w:hint="eastAsia" w:ascii="宋体" w:hAnsi="宋体" w:cs="宋体"/>
                <w:kern w:val="0"/>
                <w:sz w:val="22"/>
                <w:szCs w:val="22"/>
              </w:rPr>
              <w:t xml:space="preserve">17 </w:t>
            </w:r>
          </w:p>
        </w:tc>
        <w:tc>
          <w:tcPr>
            <w:tcW w:w="462" w:type="pct"/>
            <w:tcBorders>
              <w:top w:val="nil"/>
              <w:left w:val="nil"/>
              <w:bottom w:val="single" w:color="auto" w:sz="4" w:space="0"/>
              <w:right w:val="single" w:color="auto" w:sz="4" w:space="0"/>
            </w:tcBorders>
            <w:shd w:val="clear" w:color="000000" w:fill="FFFFFF"/>
            <w:noWrap/>
            <w:vAlign w:val="center"/>
          </w:tcPr>
          <w:p w14:paraId="019DA394">
            <w:pPr>
              <w:widowControl/>
              <w:jc w:val="left"/>
              <w:rPr>
                <w:rFonts w:ascii="宋体" w:hAnsi="宋体" w:cs="宋体"/>
                <w:kern w:val="0"/>
                <w:sz w:val="22"/>
                <w:szCs w:val="22"/>
              </w:rPr>
            </w:pPr>
            <w:r>
              <w:rPr>
                <w:rFonts w:hint="eastAsia" w:ascii="宋体" w:hAnsi="宋体" w:cs="宋体"/>
                <w:kern w:val="0"/>
                <w:sz w:val="22"/>
                <w:szCs w:val="22"/>
              </w:rPr>
              <w:t>　</w:t>
            </w:r>
          </w:p>
        </w:tc>
      </w:tr>
      <w:tr w14:paraId="621C48F0">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AD38FA1">
            <w:pPr>
              <w:widowControl/>
              <w:jc w:val="center"/>
              <w:rPr>
                <w:rFonts w:ascii="宋体" w:hAnsi="宋体" w:cs="宋体"/>
                <w:kern w:val="0"/>
                <w:sz w:val="22"/>
                <w:szCs w:val="22"/>
              </w:rPr>
            </w:pPr>
            <w:r>
              <w:rPr>
                <w:rFonts w:hint="eastAsia" w:ascii="宋体" w:hAnsi="宋体" w:cs="宋体"/>
                <w:kern w:val="0"/>
                <w:sz w:val="22"/>
                <w:szCs w:val="22"/>
              </w:rPr>
              <w:t>120</w:t>
            </w:r>
          </w:p>
        </w:tc>
        <w:tc>
          <w:tcPr>
            <w:tcW w:w="849" w:type="pct"/>
            <w:tcBorders>
              <w:top w:val="nil"/>
              <w:left w:val="nil"/>
              <w:bottom w:val="single" w:color="auto" w:sz="4" w:space="0"/>
              <w:right w:val="single" w:color="auto" w:sz="4" w:space="0"/>
            </w:tcBorders>
            <w:shd w:val="clear" w:color="000000" w:fill="FFFFFF"/>
            <w:noWrap/>
            <w:vAlign w:val="center"/>
          </w:tcPr>
          <w:p w14:paraId="1CF2B8C5">
            <w:pPr>
              <w:widowControl/>
              <w:jc w:val="left"/>
              <w:rPr>
                <w:rFonts w:ascii="宋体" w:hAnsi="宋体" w:cs="宋体"/>
                <w:kern w:val="0"/>
                <w:sz w:val="22"/>
                <w:szCs w:val="22"/>
              </w:rPr>
            </w:pPr>
            <w:r>
              <w:rPr>
                <w:rFonts w:hint="eastAsia" w:ascii="宋体" w:hAnsi="宋体" w:cs="宋体"/>
                <w:kern w:val="0"/>
                <w:sz w:val="22"/>
                <w:szCs w:val="22"/>
              </w:rPr>
              <w:t>球型摄像机</w:t>
            </w:r>
          </w:p>
        </w:tc>
        <w:tc>
          <w:tcPr>
            <w:tcW w:w="2219" w:type="pct"/>
            <w:tcBorders>
              <w:top w:val="nil"/>
              <w:left w:val="nil"/>
              <w:bottom w:val="single" w:color="auto" w:sz="4" w:space="0"/>
              <w:right w:val="single" w:color="auto" w:sz="4" w:space="0"/>
            </w:tcBorders>
            <w:shd w:val="clear" w:color="000000" w:fill="FFFFFF"/>
            <w:vAlign w:val="center"/>
          </w:tcPr>
          <w:p w14:paraId="1688327D">
            <w:pPr>
              <w:widowControl/>
              <w:jc w:val="left"/>
              <w:rPr>
                <w:rFonts w:ascii="宋体" w:hAnsi="宋体" w:cs="宋体"/>
                <w:kern w:val="0"/>
                <w:sz w:val="22"/>
                <w:szCs w:val="22"/>
              </w:rPr>
            </w:pPr>
            <w:r>
              <w:rPr>
                <w:rFonts w:hint="eastAsia" w:ascii="宋体" w:hAnsi="宋体" w:cs="宋体"/>
                <w:kern w:val="0"/>
                <w:sz w:val="22"/>
                <w:szCs w:val="22"/>
              </w:rPr>
              <w:t>200万像素红外网络高清智能球机</w:t>
            </w:r>
          </w:p>
        </w:tc>
        <w:tc>
          <w:tcPr>
            <w:tcW w:w="344" w:type="pct"/>
            <w:tcBorders>
              <w:top w:val="nil"/>
              <w:left w:val="nil"/>
              <w:bottom w:val="single" w:color="auto" w:sz="4" w:space="0"/>
              <w:right w:val="single" w:color="auto" w:sz="4" w:space="0"/>
            </w:tcBorders>
            <w:shd w:val="clear" w:color="000000" w:fill="FFFFFF"/>
            <w:vAlign w:val="center"/>
          </w:tcPr>
          <w:p w14:paraId="04A346F9">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noWrap/>
            <w:vAlign w:val="center"/>
          </w:tcPr>
          <w:p w14:paraId="7437CA11">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noWrap/>
            <w:vAlign w:val="center"/>
          </w:tcPr>
          <w:p w14:paraId="28DBEA75">
            <w:pPr>
              <w:widowControl/>
              <w:jc w:val="center"/>
              <w:rPr>
                <w:rFonts w:ascii="宋体" w:hAnsi="宋体" w:cs="宋体"/>
                <w:kern w:val="0"/>
                <w:sz w:val="22"/>
                <w:szCs w:val="22"/>
              </w:rPr>
            </w:pPr>
            <w:r>
              <w:rPr>
                <w:rFonts w:hint="eastAsia" w:ascii="宋体" w:hAnsi="宋体" w:cs="宋体"/>
                <w:kern w:val="0"/>
                <w:sz w:val="22"/>
                <w:szCs w:val="22"/>
              </w:rPr>
              <w:t xml:space="preserve">15 </w:t>
            </w:r>
          </w:p>
        </w:tc>
        <w:tc>
          <w:tcPr>
            <w:tcW w:w="462" w:type="pct"/>
            <w:tcBorders>
              <w:top w:val="nil"/>
              <w:left w:val="nil"/>
              <w:bottom w:val="single" w:color="auto" w:sz="4" w:space="0"/>
              <w:right w:val="single" w:color="auto" w:sz="4" w:space="0"/>
            </w:tcBorders>
            <w:shd w:val="clear" w:color="000000" w:fill="FFFFFF"/>
            <w:noWrap/>
            <w:vAlign w:val="center"/>
          </w:tcPr>
          <w:p w14:paraId="42AA550B">
            <w:pPr>
              <w:widowControl/>
              <w:jc w:val="left"/>
              <w:rPr>
                <w:rFonts w:ascii="宋体" w:hAnsi="宋体" w:cs="宋体"/>
                <w:kern w:val="0"/>
                <w:sz w:val="22"/>
                <w:szCs w:val="22"/>
              </w:rPr>
            </w:pPr>
            <w:r>
              <w:rPr>
                <w:rFonts w:hint="eastAsia" w:ascii="宋体" w:hAnsi="宋体" w:cs="宋体"/>
                <w:kern w:val="0"/>
                <w:sz w:val="22"/>
                <w:szCs w:val="22"/>
              </w:rPr>
              <w:t>　</w:t>
            </w:r>
          </w:p>
        </w:tc>
      </w:tr>
      <w:tr w14:paraId="686AAD64">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6CBCB494">
            <w:pPr>
              <w:widowControl/>
              <w:jc w:val="center"/>
              <w:rPr>
                <w:rFonts w:ascii="宋体" w:hAnsi="宋体" w:cs="宋体"/>
                <w:kern w:val="0"/>
                <w:sz w:val="22"/>
                <w:szCs w:val="22"/>
              </w:rPr>
            </w:pPr>
            <w:r>
              <w:rPr>
                <w:rFonts w:hint="eastAsia" w:ascii="宋体" w:hAnsi="宋体" w:cs="宋体"/>
                <w:kern w:val="0"/>
                <w:sz w:val="22"/>
                <w:szCs w:val="22"/>
              </w:rPr>
              <w:t>121</w:t>
            </w:r>
          </w:p>
        </w:tc>
        <w:tc>
          <w:tcPr>
            <w:tcW w:w="849" w:type="pct"/>
            <w:tcBorders>
              <w:top w:val="nil"/>
              <w:left w:val="nil"/>
              <w:bottom w:val="single" w:color="auto" w:sz="4" w:space="0"/>
              <w:right w:val="single" w:color="auto" w:sz="4" w:space="0"/>
            </w:tcBorders>
            <w:shd w:val="clear" w:color="000000" w:fill="FFFFFF"/>
            <w:noWrap/>
            <w:vAlign w:val="center"/>
          </w:tcPr>
          <w:p w14:paraId="36821810">
            <w:pPr>
              <w:widowControl/>
              <w:jc w:val="left"/>
              <w:rPr>
                <w:rFonts w:ascii="宋体" w:hAnsi="宋体" w:cs="宋体"/>
                <w:kern w:val="0"/>
                <w:sz w:val="22"/>
                <w:szCs w:val="22"/>
              </w:rPr>
            </w:pPr>
            <w:r>
              <w:rPr>
                <w:rFonts w:hint="eastAsia" w:ascii="宋体" w:hAnsi="宋体" w:cs="宋体"/>
                <w:kern w:val="0"/>
                <w:sz w:val="22"/>
                <w:szCs w:val="22"/>
              </w:rPr>
              <w:t>枪机</w:t>
            </w:r>
          </w:p>
        </w:tc>
        <w:tc>
          <w:tcPr>
            <w:tcW w:w="2219" w:type="pct"/>
            <w:tcBorders>
              <w:top w:val="nil"/>
              <w:left w:val="nil"/>
              <w:bottom w:val="single" w:color="auto" w:sz="4" w:space="0"/>
              <w:right w:val="single" w:color="auto" w:sz="4" w:space="0"/>
            </w:tcBorders>
            <w:shd w:val="clear" w:color="000000" w:fill="FFFFFF"/>
            <w:vAlign w:val="center"/>
          </w:tcPr>
          <w:p w14:paraId="666C8BF8">
            <w:pPr>
              <w:widowControl/>
              <w:jc w:val="left"/>
              <w:rPr>
                <w:rFonts w:ascii="宋体" w:hAnsi="宋体" w:cs="宋体"/>
                <w:kern w:val="0"/>
                <w:sz w:val="22"/>
                <w:szCs w:val="22"/>
              </w:rPr>
            </w:pPr>
            <w:r>
              <w:rPr>
                <w:rFonts w:hint="eastAsia" w:ascii="宋体" w:hAnsi="宋体" w:cs="宋体"/>
                <w:kern w:val="0"/>
                <w:sz w:val="22"/>
                <w:szCs w:val="22"/>
              </w:rPr>
              <w:t>200万星光级1/2.7”CMOS ICR日夜型网络摄像机</w:t>
            </w:r>
          </w:p>
        </w:tc>
        <w:tc>
          <w:tcPr>
            <w:tcW w:w="344" w:type="pct"/>
            <w:tcBorders>
              <w:top w:val="nil"/>
              <w:left w:val="nil"/>
              <w:bottom w:val="single" w:color="auto" w:sz="4" w:space="0"/>
              <w:right w:val="single" w:color="auto" w:sz="4" w:space="0"/>
            </w:tcBorders>
            <w:shd w:val="clear" w:color="000000" w:fill="FFFFFF"/>
            <w:vAlign w:val="center"/>
          </w:tcPr>
          <w:p w14:paraId="2C8C305B">
            <w:pPr>
              <w:widowControl/>
              <w:jc w:val="center"/>
              <w:rPr>
                <w:rFonts w:ascii="宋体" w:hAnsi="宋体" w:cs="宋体"/>
                <w:kern w:val="0"/>
                <w:sz w:val="22"/>
                <w:szCs w:val="22"/>
              </w:rPr>
            </w:pPr>
            <w:r>
              <w:rPr>
                <w:rFonts w:hint="eastAsia" w:ascii="宋体" w:hAnsi="宋体" w:cs="宋体"/>
                <w:kern w:val="0"/>
                <w:sz w:val="22"/>
                <w:szCs w:val="22"/>
              </w:rPr>
              <w:t>海康</w:t>
            </w:r>
          </w:p>
        </w:tc>
        <w:tc>
          <w:tcPr>
            <w:tcW w:w="330" w:type="pct"/>
            <w:tcBorders>
              <w:top w:val="nil"/>
              <w:left w:val="nil"/>
              <w:bottom w:val="single" w:color="auto" w:sz="4" w:space="0"/>
              <w:right w:val="single" w:color="auto" w:sz="4" w:space="0"/>
            </w:tcBorders>
            <w:shd w:val="clear" w:color="000000" w:fill="FFFFFF"/>
            <w:noWrap/>
            <w:vAlign w:val="center"/>
          </w:tcPr>
          <w:p w14:paraId="16B19228">
            <w:pPr>
              <w:widowControl/>
              <w:jc w:val="center"/>
              <w:rPr>
                <w:rFonts w:ascii="宋体" w:hAnsi="宋体" w:cs="宋体"/>
                <w:kern w:val="0"/>
                <w:sz w:val="22"/>
                <w:szCs w:val="22"/>
              </w:rPr>
            </w:pPr>
            <w:r>
              <w:rPr>
                <w:rFonts w:hint="eastAsia" w:ascii="宋体" w:hAnsi="宋体" w:cs="宋体"/>
                <w:kern w:val="0"/>
                <w:sz w:val="22"/>
                <w:szCs w:val="22"/>
              </w:rPr>
              <w:t>台</w:t>
            </w:r>
          </w:p>
        </w:tc>
        <w:tc>
          <w:tcPr>
            <w:tcW w:w="355" w:type="pct"/>
            <w:tcBorders>
              <w:top w:val="nil"/>
              <w:left w:val="nil"/>
              <w:bottom w:val="single" w:color="auto" w:sz="4" w:space="0"/>
              <w:right w:val="single" w:color="auto" w:sz="4" w:space="0"/>
            </w:tcBorders>
            <w:shd w:val="clear" w:color="000000" w:fill="FFFFFF"/>
            <w:noWrap/>
            <w:vAlign w:val="center"/>
          </w:tcPr>
          <w:p w14:paraId="5BB53F67">
            <w:pPr>
              <w:widowControl/>
              <w:jc w:val="center"/>
              <w:rPr>
                <w:rFonts w:ascii="宋体" w:hAnsi="宋体" w:cs="宋体"/>
                <w:kern w:val="0"/>
                <w:sz w:val="22"/>
                <w:szCs w:val="22"/>
              </w:rPr>
            </w:pPr>
            <w:r>
              <w:rPr>
                <w:rFonts w:hint="eastAsia" w:ascii="宋体" w:hAnsi="宋体" w:cs="宋体"/>
                <w:kern w:val="0"/>
                <w:sz w:val="22"/>
                <w:szCs w:val="22"/>
              </w:rPr>
              <w:t xml:space="preserve">13 </w:t>
            </w:r>
          </w:p>
        </w:tc>
        <w:tc>
          <w:tcPr>
            <w:tcW w:w="462" w:type="pct"/>
            <w:tcBorders>
              <w:top w:val="nil"/>
              <w:left w:val="nil"/>
              <w:bottom w:val="single" w:color="auto" w:sz="4" w:space="0"/>
              <w:right w:val="single" w:color="auto" w:sz="4" w:space="0"/>
            </w:tcBorders>
            <w:shd w:val="clear" w:color="000000" w:fill="FFFFFF"/>
            <w:noWrap/>
            <w:vAlign w:val="center"/>
          </w:tcPr>
          <w:p w14:paraId="5DD4BF77">
            <w:pPr>
              <w:widowControl/>
              <w:jc w:val="left"/>
              <w:rPr>
                <w:rFonts w:ascii="宋体" w:hAnsi="宋体" w:cs="宋体"/>
                <w:kern w:val="0"/>
                <w:sz w:val="22"/>
                <w:szCs w:val="22"/>
              </w:rPr>
            </w:pPr>
            <w:r>
              <w:rPr>
                <w:rFonts w:hint="eastAsia" w:ascii="宋体" w:hAnsi="宋体" w:cs="宋体"/>
                <w:kern w:val="0"/>
                <w:sz w:val="22"/>
                <w:szCs w:val="22"/>
              </w:rPr>
              <w:t>　</w:t>
            </w:r>
          </w:p>
        </w:tc>
      </w:tr>
      <w:tr w14:paraId="2D343C05">
        <w:tblPrEx>
          <w:tblCellMar>
            <w:top w:w="0" w:type="dxa"/>
            <w:left w:w="108" w:type="dxa"/>
            <w:bottom w:w="0" w:type="dxa"/>
            <w:right w:w="108" w:type="dxa"/>
          </w:tblCellMar>
        </w:tblPrEx>
        <w:trPr>
          <w:trHeight w:val="570" w:hRule="atLeast"/>
        </w:trPr>
        <w:tc>
          <w:tcPr>
            <w:tcW w:w="441" w:type="pct"/>
            <w:tcBorders>
              <w:top w:val="nil"/>
              <w:left w:val="single" w:color="auto" w:sz="4" w:space="0"/>
              <w:bottom w:val="single" w:color="auto" w:sz="4" w:space="0"/>
              <w:right w:val="single" w:color="auto" w:sz="4" w:space="0"/>
            </w:tcBorders>
            <w:shd w:val="clear" w:color="000000" w:fill="FFFFFF"/>
            <w:vAlign w:val="center"/>
          </w:tcPr>
          <w:p w14:paraId="17D3F659">
            <w:pPr>
              <w:widowControl/>
              <w:jc w:val="center"/>
              <w:rPr>
                <w:rFonts w:ascii="宋体" w:hAnsi="宋体" w:cs="宋体"/>
                <w:kern w:val="0"/>
                <w:sz w:val="22"/>
                <w:szCs w:val="22"/>
              </w:rPr>
            </w:pPr>
            <w:r>
              <w:rPr>
                <w:rFonts w:hint="eastAsia" w:ascii="宋体" w:hAnsi="宋体" w:cs="宋体"/>
                <w:kern w:val="0"/>
                <w:sz w:val="22"/>
                <w:szCs w:val="22"/>
              </w:rPr>
              <w:t>122</w:t>
            </w:r>
          </w:p>
        </w:tc>
        <w:tc>
          <w:tcPr>
            <w:tcW w:w="849" w:type="pct"/>
            <w:tcBorders>
              <w:top w:val="nil"/>
              <w:left w:val="nil"/>
              <w:bottom w:val="single" w:color="auto" w:sz="4" w:space="0"/>
              <w:right w:val="single" w:color="auto" w:sz="4" w:space="0"/>
            </w:tcBorders>
            <w:shd w:val="clear" w:color="000000" w:fill="FFFFFF"/>
            <w:noWrap/>
            <w:vAlign w:val="center"/>
          </w:tcPr>
          <w:p w14:paraId="61F6FAA6">
            <w:pPr>
              <w:widowControl/>
              <w:jc w:val="left"/>
              <w:rPr>
                <w:rFonts w:ascii="宋体" w:hAnsi="宋体" w:cs="宋体"/>
                <w:kern w:val="0"/>
                <w:sz w:val="22"/>
                <w:szCs w:val="22"/>
              </w:rPr>
            </w:pPr>
            <w:r>
              <w:rPr>
                <w:rFonts w:hint="eastAsia" w:ascii="宋体" w:hAnsi="宋体" w:cs="宋体"/>
                <w:kern w:val="0"/>
                <w:sz w:val="22"/>
                <w:szCs w:val="22"/>
              </w:rPr>
              <w:t>5口交换机</w:t>
            </w:r>
          </w:p>
        </w:tc>
        <w:tc>
          <w:tcPr>
            <w:tcW w:w="2219" w:type="pct"/>
            <w:tcBorders>
              <w:top w:val="nil"/>
              <w:left w:val="nil"/>
              <w:bottom w:val="single" w:color="auto" w:sz="4" w:space="0"/>
              <w:right w:val="single" w:color="auto" w:sz="4" w:space="0"/>
            </w:tcBorders>
            <w:shd w:val="clear" w:color="000000" w:fill="FFFFFF"/>
            <w:noWrap/>
            <w:vAlign w:val="center"/>
          </w:tcPr>
          <w:p w14:paraId="28D95321">
            <w:pPr>
              <w:widowControl/>
              <w:jc w:val="left"/>
              <w:rPr>
                <w:rFonts w:ascii="宋体" w:hAnsi="宋体" w:cs="宋体"/>
                <w:kern w:val="0"/>
                <w:sz w:val="22"/>
                <w:szCs w:val="22"/>
              </w:rPr>
            </w:pPr>
            <w:r>
              <w:rPr>
                <w:rFonts w:hint="eastAsia" w:ascii="宋体" w:hAnsi="宋体" w:cs="宋体"/>
                <w:kern w:val="0"/>
                <w:sz w:val="22"/>
                <w:szCs w:val="22"/>
              </w:rPr>
              <w:t>百兆</w:t>
            </w:r>
          </w:p>
        </w:tc>
        <w:tc>
          <w:tcPr>
            <w:tcW w:w="344" w:type="pct"/>
            <w:tcBorders>
              <w:top w:val="nil"/>
              <w:left w:val="nil"/>
              <w:bottom w:val="single" w:color="auto" w:sz="4" w:space="0"/>
              <w:right w:val="single" w:color="auto" w:sz="4" w:space="0"/>
            </w:tcBorders>
            <w:shd w:val="clear" w:color="000000" w:fill="FFFFFF"/>
            <w:noWrap/>
            <w:vAlign w:val="center"/>
          </w:tcPr>
          <w:p w14:paraId="75CFF0D5">
            <w:pPr>
              <w:widowControl/>
              <w:jc w:val="left"/>
              <w:rPr>
                <w:rFonts w:ascii="宋体" w:hAnsi="宋体" w:cs="宋体"/>
                <w:kern w:val="0"/>
                <w:sz w:val="22"/>
                <w:szCs w:val="22"/>
              </w:rPr>
            </w:pPr>
            <w:r>
              <w:rPr>
                <w:rFonts w:hint="eastAsia" w:ascii="宋体" w:hAnsi="宋体" w:cs="宋体"/>
                <w:kern w:val="0"/>
                <w:sz w:val="22"/>
                <w:szCs w:val="22"/>
              </w:rPr>
              <w:t>　</w:t>
            </w:r>
          </w:p>
        </w:tc>
        <w:tc>
          <w:tcPr>
            <w:tcW w:w="330" w:type="pct"/>
            <w:tcBorders>
              <w:top w:val="nil"/>
              <w:left w:val="nil"/>
              <w:bottom w:val="single" w:color="auto" w:sz="4" w:space="0"/>
              <w:right w:val="single" w:color="auto" w:sz="4" w:space="0"/>
            </w:tcBorders>
            <w:shd w:val="clear" w:color="000000" w:fill="FFFFFF"/>
            <w:noWrap/>
            <w:vAlign w:val="center"/>
          </w:tcPr>
          <w:p w14:paraId="2D4381D8">
            <w:pPr>
              <w:widowControl/>
              <w:jc w:val="center"/>
              <w:rPr>
                <w:rFonts w:ascii="宋体" w:hAnsi="宋体" w:cs="宋体"/>
                <w:kern w:val="0"/>
                <w:sz w:val="22"/>
                <w:szCs w:val="22"/>
              </w:rPr>
            </w:pPr>
            <w:r>
              <w:rPr>
                <w:rFonts w:hint="eastAsia" w:ascii="宋体" w:hAnsi="宋体" w:cs="宋体"/>
                <w:kern w:val="0"/>
                <w:sz w:val="22"/>
                <w:szCs w:val="22"/>
              </w:rPr>
              <w:t>只</w:t>
            </w:r>
          </w:p>
        </w:tc>
        <w:tc>
          <w:tcPr>
            <w:tcW w:w="355" w:type="pct"/>
            <w:tcBorders>
              <w:top w:val="nil"/>
              <w:left w:val="nil"/>
              <w:bottom w:val="single" w:color="auto" w:sz="4" w:space="0"/>
              <w:right w:val="single" w:color="auto" w:sz="4" w:space="0"/>
            </w:tcBorders>
            <w:shd w:val="clear" w:color="000000" w:fill="FFFFFF"/>
            <w:noWrap/>
            <w:vAlign w:val="center"/>
          </w:tcPr>
          <w:p w14:paraId="448E90EA">
            <w:pPr>
              <w:widowControl/>
              <w:jc w:val="center"/>
              <w:rPr>
                <w:rFonts w:ascii="宋体" w:hAnsi="宋体" w:cs="宋体"/>
                <w:kern w:val="0"/>
                <w:sz w:val="22"/>
                <w:szCs w:val="22"/>
              </w:rPr>
            </w:pPr>
            <w:r>
              <w:rPr>
                <w:rFonts w:hint="eastAsia" w:ascii="宋体" w:hAnsi="宋体" w:cs="宋体"/>
                <w:kern w:val="0"/>
                <w:sz w:val="22"/>
                <w:szCs w:val="22"/>
              </w:rPr>
              <w:t xml:space="preserve">9 </w:t>
            </w:r>
          </w:p>
        </w:tc>
        <w:tc>
          <w:tcPr>
            <w:tcW w:w="462" w:type="pct"/>
            <w:tcBorders>
              <w:top w:val="nil"/>
              <w:left w:val="nil"/>
              <w:bottom w:val="single" w:color="auto" w:sz="4" w:space="0"/>
              <w:right w:val="single" w:color="auto" w:sz="4" w:space="0"/>
            </w:tcBorders>
            <w:shd w:val="clear" w:color="000000" w:fill="FFFFFF"/>
            <w:noWrap/>
            <w:vAlign w:val="center"/>
          </w:tcPr>
          <w:p w14:paraId="38A69A60">
            <w:pPr>
              <w:widowControl/>
              <w:jc w:val="left"/>
              <w:rPr>
                <w:rFonts w:ascii="宋体" w:hAnsi="宋体" w:cs="宋体"/>
                <w:kern w:val="0"/>
                <w:sz w:val="22"/>
                <w:szCs w:val="22"/>
              </w:rPr>
            </w:pPr>
            <w:r>
              <w:rPr>
                <w:rFonts w:hint="eastAsia" w:ascii="宋体" w:hAnsi="宋体" w:cs="宋体"/>
                <w:kern w:val="0"/>
                <w:sz w:val="22"/>
                <w:szCs w:val="22"/>
              </w:rPr>
              <w:t>　</w:t>
            </w:r>
          </w:p>
        </w:tc>
      </w:tr>
    </w:tbl>
    <w:p w14:paraId="38115109">
      <w:pPr>
        <w:rPr>
          <w:rFonts w:ascii="宋体" w:hAnsi="宋体" w:cs="宋体"/>
        </w:rPr>
      </w:pPr>
    </w:p>
    <w:p w14:paraId="193A686C">
      <w:pPr>
        <w:pStyle w:val="2"/>
      </w:pPr>
      <w:bookmarkStart w:id="116" w:name="_Toc18150"/>
      <w:r>
        <w:rPr>
          <w:rFonts w:hint="eastAsia"/>
        </w:rPr>
        <w:t>1.3 维保服务要求</w:t>
      </w:r>
      <w:bookmarkEnd w:id="116"/>
    </w:p>
    <w:p w14:paraId="7A2C6193">
      <w:pPr>
        <w:pStyle w:val="3"/>
      </w:pPr>
      <w:bookmarkStart w:id="117" w:name="_Toc16378"/>
      <w:r>
        <w:rPr>
          <w:rFonts w:hint="eastAsia"/>
        </w:rPr>
        <w:t>1.3.1 维保目标</w:t>
      </w:r>
      <w:bookmarkEnd w:id="117"/>
    </w:p>
    <w:p w14:paraId="5A3EE65F">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高可用性：</w:t>
      </w:r>
      <w:r>
        <w:rPr>
          <w:rFonts w:hint="eastAsia" w:hAnsi="宋体"/>
          <w:color w:val="0F1115"/>
          <w:shd w:val="clear" w:color="auto" w:fill="FFFFFF"/>
        </w:rPr>
        <w:t> 安排1名人员驻点负责前后端设备日常运维工作，具备计算机软、硬件维护能力，负责日常运维工作，确保全年安全运行，前端设备在线率达90%以上，服从局指挥中心人员管理和相关工作安排。</w:t>
      </w:r>
    </w:p>
    <w:p w14:paraId="6630030E">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快速响应：</w:t>
      </w:r>
      <w:r>
        <w:rPr>
          <w:rFonts w:hint="eastAsia" w:hAnsi="宋体"/>
          <w:color w:val="0F1115"/>
          <w:shd w:val="clear" w:color="auto" w:fill="FFFFFF"/>
        </w:rPr>
        <w:t> 建立7x24小时应急响应机制，对突发故障进行快速定位与修复。</w:t>
      </w:r>
    </w:p>
    <w:p w14:paraId="5AFE61BE">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预防为主：</w:t>
      </w:r>
      <w:r>
        <w:rPr>
          <w:rFonts w:hint="eastAsia" w:hAnsi="宋体"/>
          <w:color w:val="0F1115"/>
          <w:shd w:val="clear" w:color="auto" w:fill="FFFFFF"/>
        </w:rPr>
        <w:t> 通过定期巡检与健康检查，提前发现并消除潜在隐患。</w:t>
      </w:r>
    </w:p>
    <w:p w14:paraId="536F3732">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规范管理：</w:t>
      </w:r>
      <w:r>
        <w:rPr>
          <w:rFonts w:hint="eastAsia" w:hAnsi="宋体"/>
          <w:color w:val="0F1115"/>
          <w:shd w:val="clear" w:color="auto" w:fill="FFFFFF"/>
        </w:rPr>
        <w:t> 建立完整的运维档案，包括设备台账、巡检记录、维修报告、知识库等。</w:t>
      </w:r>
    </w:p>
    <w:p w14:paraId="45CF36F0">
      <w:pPr>
        <w:pStyle w:val="11"/>
        <w:shd w:val="clear" w:color="auto" w:fill="FFFFFF"/>
        <w:spacing w:beforeAutospacing="0" w:afterAutospacing="0" w:line="360" w:lineRule="auto"/>
        <w:ind w:firstLine="482" w:firstLineChars="200"/>
        <w:jc w:val="both"/>
        <w:rPr>
          <w:rFonts w:hAnsi="宋体"/>
        </w:rPr>
      </w:pPr>
      <w:r>
        <w:rPr>
          <w:rStyle w:val="14"/>
          <w:rFonts w:hint="eastAsia" w:hAnsi="宋体"/>
          <w:color w:val="0F1115"/>
          <w:shd w:val="clear" w:color="auto" w:fill="FFFFFF"/>
        </w:rPr>
        <w:t>用户满意：</w:t>
      </w:r>
      <w:r>
        <w:rPr>
          <w:rFonts w:hint="eastAsia" w:hAnsi="宋体"/>
          <w:color w:val="0F1115"/>
          <w:shd w:val="clear" w:color="auto" w:fill="FFFFFF"/>
        </w:rPr>
        <w:t> 提供专业、及时的技术支持，保障最终用户良好体验。</w:t>
      </w:r>
    </w:p>
    <w:p w14:paraId="2921CDAE">
      <w:pPr>
        <w:pStyle w:val="3"/>
      </w:pPr>
      <w:bookmarkStart w:id="118" w:name="_Toc15962"/>
      <w:r>
        <w:rPr>
          <w:rFonts w:hint="eastAsia"/>
        </w:rPr>
        <w:t>1.3.2 考核机制</w:t>
      </w:r>
      <w:bookmarkEnd w:id="118"/>
    </w:p>
    <w:p w14:paraId="768992ED">
      <w:pPr>
        <w:pStyle w:val="11"/>
        <w:shd w:val="clear" w:color="auto" w:fill="FFFFFF"/>
        <w:spacing w:beforeAutospacing="0" w:afterAutospacing="0" w:line="360" w:lineRule="auto"/>
        <w:ind w:firstLine="482" w:firstLineChars="200"/>
        <w:jc w:val="both"/>
        <w:rPr>
          <w:rStyle w:val="14"/>
          <w:rFonts w:hAnsi="宋体"/>
          <w:b w:val="0"/>
          <w:color w:val="auto"/>
          <w:shd w:val="clear" w:color="auto" w:fill="FFFFFF"/>
        </w:rPr>
      </w:pPr>
      <w:r>
        <w:rPr>
          <w:rStyle w:val="14"/>
          <w:rFonts w:hint="eastAsia" w:hAnsi="宋体"/>
          <w:color w:val="auto"/>
          <w:shd w:val="clear" w:color="auto" w:fill="FFFFFF"/>
        </w:rPr>
        <w:t>维保服务采用考核机制，考核总分100分，按照每三个月进行一次考核，每次考核得分90（含）分以上可按合同要求付款；90分以下至70分（含）按照考核得分和90分的分差进行扣款，每低一分扣款500元，低两分扣款1000元，以此类推；每三个月一次考核得分低于70分，不予支付当期款项。</w:t>
      </w:r>
      <w:r>
        <w:rPr>
          <w:rFonts w:hint="eastAsia" w:hAnsi="宋体"/>
          <w:b/>
          <w:bCs/>
          <w:color w:val="auto"/>
        </w:rPr>
        <w:t>年度考核平均分在90分（含）以上的，可续签下一年合同，但续签最多不超过两次。合同价按第一年中标的合同价续签。若年度考核平均分在90分以下的，双方不再续签合同，</w:t>
      </w:r>
      <w:r>
        <w:rPr>
          <w:rFonts w:hint="eastAsia" w:hAnsi="宋体"/>
          <w:b/>
          <w:bCs/>
          <w:color w:val="auto"/>
          <w:lang w:val="en-US" w:eastAsia="zh-CN"/>
        </w:rPr>
        <w:t>招标人</w:t>
      </w:r>
      <w:r>
        <w:rPr>
          <w:rFonts w:hint="eastAsia" w:hAnsi="宋体"/>
          <w:b/>
          <w:bCs/>
          <w:color w:val="auto"/>
        </w:rPr>
        <w:t>在下一年度重新组织招标。</w:t>
      </w:r>
      <w:r>
        <w:rPr>
          <w:rStyle w:val="14"/>
          <w:rFonts w:hint="eastAsia" w:hAnsi="宋体"/>
          <w:color w:val="auto"/>
          <w:shd w:val="clear" w:color="auto" w:fill="FFFFFF"/>
        </w:rPr>
        <w:t>考核分值见下表：</w:t>
      </w:r>
    </w:p>
    <w:p w14:paraId="4DFB5E7E">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hAnsi="宋体"/>
          <w:color w:val="0F1115"/>
          <w:shd w:val="clear" w:color="auto" w:fill="FFFFFF"/>
        </w:rPr>
        <w:t>考核细则：</w:t>
      </w:r>
    </w:p>
    <w:tbl>
      <w:tblPr>
        <w:tblStyle w:val="12"/>
        <w:tblW w:w="5000" w:type="pct"/>
        <w:jc w:val="center"/>
        <w:tblLayout w:type="fixed"/>
        <w:tblCellMar>
          <w:top w:w="15" w:type="dxa"/>
          <w:left w:w="15" w:type="dxa"/>
          <w:bottom w:w="15" w:type="dxa"/>
          <w:right w:w="15" w:type="dxa"/>
        </w:tblCellMar>
      </w:tblPr>
      <w:tblGrid>
        <w:gridCol w:w="876"/>
        <w:gridCol w:w="7417"/>
        <w:gridCol w:w="763"/>
      </w:tblGrid>
      <w:tr w14:paraId="1502BD5B">
        <w:tblPrEx>
          <w:tblCellMar>
            <w:top w:w="15" w:type="dxa"/>
            <w:left w:w="15" w:type="dxa"/>
            <w:bottom w:w="15" w:type="dxa"/>
            <w:right w:w="15" w:type="dxa"/>
          </w:tblCellMar>
        </w:tblPrEx>
        <w:trPr>
          <w:trHeight w:val="358" w:hRule="atLeast"/>
          <w:jc w:val="center"/>
        </w:trPr>
        <w:tc>
          <w:tcPr>
            <w:tcW w:w="484" w:type="pct"/>
            <w:tcBorders>
              <w:top w:val="single" w:color="000000" w:sz="4" w:space="0"/>
              <w:left w:val="single" w:color="000000" w:sz="4" w:space="0"/>
              <w:bottom w:val="single" w:color="000000" w:sz="4" w:space="0"/>
              <w:right w:val="single" w:color="000000" w:sz="4" w:space="0"/>
            </w:tcBorders>
            <w:noWrap/>
            <w:vAlign w:val="center"/>
          </w:tcPr>
          <w:p w14:paraId="70635AB8">
            <w:pPr>
              <w:spacing w:line="360" w:lineRule="auto"/>
              <w:jc w:val="center"/>
              <w:rPr>
                <w:rFonts w:ascii="宋体" w:hAnsi="宋体"/>
                <w:color w:val="000000"/>
              </w:rPr>
            </w:pPr>
            <w:r>
              <w:rPr>
                <w:rFonts w:hint="eastAsia" w:ascii="宋体" w:hAnsi="宋体"/>
                <w:color w:val="000000"/>
              </w:rPr>
              <w:t>考核项目</w:t>
            </w:r>
          </w:p>
        </w:tc>
        <w:tc>
          <w:tcPr>
            <w:tcW w:w="4094" w:type="pct"/>
            <w:tcBorders>
              <w:top w:val="single" w:color="000000" w:sz="4" w:space="0"/>
              <w:left w:val="nil"/>
              <w:bottom w:val="single" w:color="000000" w:sz="4" w:space="0"/>
              <w:right w:val="single" w:color="000000" w:sz="4" w:space="0"/>
            </w:tcBorders>
            <w:noWrap/>
            <w:vAlign w:val="center"/>
          </w:tcPr>
          <w:p w14:paraId="2F1F5EFC">
            <w:pPr>
              <w:spacing w:line="360" w:lineRule="auto"/>
              <w:ind w:firstLine="420"/>
              <w:jc w:val="center"/>
              <w:rPr>
                <w:rFonts w:ascii="宋体" w:hAnsi="宋体"/>
                <w:color w:val="000000"/>
              </w:rPr>
            </w:pPr>
            <w:r>
              <w:rPr>
                <w:rFonts w:hint="eastAsia" w:ascii="宋体" w:hAnsi="宋体"/>
                <w:color w:val="000000"/>
              </w:rPr>
              <w:t>考核内容</w:t>
            </w:r>
          </w:p>
        </w:tc>
        <w:tc>
          <w:tcPr>
            <w:tcW w:w="421" w:type="pct"/>
            <w:tcBorders>
              <w:top w:val="single" w:color="000000" w:sz="4" w:space="0"/>
              <w:left w:val="nil"/>
              <w:bottom w:val="single" w:color="000000" w:sz="4" w:space="0"/>
              <w:right w:val="single" w:color="000000" w:sz="4" w:space="0"/>
            </w:tcBorders>
            <w:noWrap/>
            <w:vAlign w:val="center"/>
          </w:tcPr>
          <w:p w14:paraId="1A1650C2">
            <w:pPr>
              <w:spacing w:line="360" w:lineRule="auto"/>
              <w:jc w:val="center"/>
              <w:rPr>
                <w:rFonts w:ascii="宋体" w:hAnsi="宋体"/>
                <w:color w:val="auto"/>
              </w:rPr>
            </w:pPr>
            <w:r>
              <w:rPr>
                <w:rFonts w:hint="eastAsia" w:ascii="宋体" w:hAnsi="宋体"/>
                <w:color w:val="auto"/>
              </w:rPr>
              <w:t>考核分值</w:t>
            </w:r>
          </w:p>
        </w:tc>
      </w:tr>
      <w:tr w14:paraId="60B8494D">
        <w:tblPrEx>
          <w:tblCellMar>
            <w:top w:w="15" w:type="dxa"/>
            <w:left w:w="15" w:type="dxa"/>
            <w:bottom w:w="15" w:type="dxa"/>
            <w:right w:w="15" w:type="dxa"/>
          </w:tblCellMar>
        </w:tblPrEx>
        <w:trPr>
          <w:trHeight w:val="90" w:hRule="atLeast"/>
          <w:jc w:val="center"/>
        </w:trPr>
        <w:tc>
          <w:tcPr>
            <w:tcW w:w="484" w:type="pct"/>
            <w:vMerge w:val="restart"/>
            <w:tcBorders>
              <w:top w:val="nil"/>
              <w:left w:val="single" w:color="000000" w:sz="4" w:space="0"/>
              <w:bottom w:val="single" w:color="000000" w:sz="4" w:space="0"/>
              <w:right w:val="single" w:color="000000" w:sz="4" w:space="0"/>
            </w:tcBorders>
            <w:noWrap/>
            <w:vAlign w:val="center"/>
          </w:tcPr>
          <w:p w14:paraId="405AC92C">
            <w:pPr>
              <w:spacing w:line="360" w:lineRule="auto"/>
              <w:jc w:val="center"/>
              <w:rPr>
                <w:rFonts w:ascii="宋体" w:hAnsi="宋体"/>
                <w:color w:val="000000"/>
              </w:rPr>
            </w:pPr>
            <w:r>
              <w:rPr>
                <w:rFonts w:hint="eastAsia" w:ascii="宋体" w:hAnsi="宋体"/>
                <w:color w:val="000000"/>
              </w:rPr>
              <w:t>日常运维服务</w:t>
            </w:r>
          </w:p>
        </w:tc>
        <w:tc>
          <w:tcPr>
            <w:tcW w:w="4094" w:type="pct"/>
            <w:tcBorders>
              <w:top w:val="single" w:color="000000" w:sz="4" w:space="0"/>
              <w:left w:val="nil"/>
              <w:bottom w:val="single" w:color="000000" w:sz="4" w:space="0"/>
              <w:right w:val="single" w:color="000000" w:sz="4" w:space="0"/>
            </w:tcBorders>
            <w:noWrap/>
            <w:vAlign w:val="center"/>
          </w:tcPr>
          <w:p w14:paraId="08701200">
            <w:pPr>
              <w:spacing w:line="360" w:lineRule="auto"/>
              <w:ind w:left="210" w:leftChars="100" w:firstLine="210" w:firstLineChars="100"/>
              <w:rPr>
                <w:rFonts w:ascii="宋体" w:hAnsi="宋体" w:eastAsiaTheme="minorEastAsia"/>
                <w:color w:val="000000"/>
              </w:rPr>
            </w:pPr>
            <w:r>
              <w:rPr>
                <w:rFonts w:hint="eastAsia" w:ascii="宋体" w:hAnsi="宋体"/>
                <w:color w:val="000000"/>
              </w:rPr>
              <w:t>监控点每周通过平台巡查做好记录，每月平台监控在线率不低于90%，每次未达标扣4分。季度总计12分</w:t>
            </w:r>
          </w:p>
        </w:tc>
        <w:tc>
          <w:tcPr>
            <w:tcW w:w="421" w:type="pct"/>
            <w:tcBorders>
              <w:top w:val="single" w:color="000000" w:sz="4" w:space="0"/>
              <w:left w:val="nil"/>
              <w:bottom w:val="single" w:color="000000" w:sz="4" w:space="0"/>
              <w:right w:val="single" w:color="000000" w:sz="4" w:space="0"/>
            </w:tcBorders>
            <w:noWrap/>
            <w:vAlign w:val="center"/>
          </w:tcPr>
          <w:p w14:paraId="10E2144D">
            <w:pPr>
              <w:spacing w:line="360" w:lineRule="auto"/>
              <w:ind w:left="210" w:leftChars="100" w:firstLine="210" w:firstLineChars="100"/>
              <w:rPr>
                <w:rFonts w:hint="eastAsia" w:ascii="宋体" w:hAnsi="宋体"/>
                <w:color w:val="000000"/>
              </w:rPr>
            </w:pPr>
            <w:r>
              <w:rPr>
                <w:rFonts w:hint="eastAsia" w:ascii="宋体" w:hAnsi="宋体"/>
                <w:color w:val="000000"/>
              </w:rPr>
              <w:t>12</w:t>
            </w:r>
          </w:p>
        </w:tc>
      </w:tr>
      <w:tr w14:paraId="12572ECA">
        <w:tblPrEx>
          <w:tblCellMar>
            <w:top w:w="15" w:type="dxa"/>
            <w:left w:w="15" w:type="dxa"/>
            <w:bottom w:w="15" w:type="dxa"/>
            <w:right w:w="15" w:type="dxa"/>
          </w:tblCellMar>
        </w:tblPrEx>
        <w:trPr>
          <w:trHeight w:val="358" w:hRule="atLeast"/>
          <w:jc w:val="center"/>
        </w:trPr>
        <w:tc>
          <w:tcPr>
            <w:tcW w:w="484" w:type="pct"/>
            <w:vMerge w:val="continue"/>
            <w:tcBorders>
              <w:top w:val="nil"/>
              <w:left w:val="single" w:color="000000" w:sz="4" w:space="0"/>
              <w:bottom w:val="single" w:color="000000" w:sz="4" w:space="0"/>
              <w:right w:val="single" w:color="000000" w:sz="4" w:space="0"/>
            </w:tcBorders>
            <w:noWrap/>
            <w:vAlign w:val="center"/>
          </w:tcPr>
          <w:p w14:paraId="3D4C80D2">
            <w:pPr>
              <w:widowControl/>
              <w:jc w:val="center"/>
              <w:rPr>
                <w:rFonts w:ascii="宋体" w:hAnsi="宋体"/>
                <w:color w:val="000000"/>
              </w:rPr>
            </w:pPr>
          </w:p>
        </w:tc>
        <w:tc>
          <w:tcPr>
            <w:tcW w:w="4094" w:type="pct"/>
            <w:tcBorders>
              <w:top w:val="single" w:color="000000" w:sz="4" w:space="0"/>
              <w:left w:val="nil"/>
              <w:bottom w:val="single" w:color="000000" w:sz="4" w:space="0"/>
              <w:right w:val="single" w:color="000000" w:sz="4" w:space="0"/>
            </w:tcBorders>
            <w:noWrap/>
            <w:vAlign w:val="center"/>
          </w:tcPr>
          <w:p w14:paraId="731A62A0">
            <w:pPr>
              <w:spacing w:line="360" w:lineRule="auto"/>
              <w:ind w:firstLine="420"/>
              <w:rPr>
                <w:rFonts w:ascii="宋体" w:hAnsi="宋体" w:eastAsiaTheme="minorEastAsia"/>
                <w:color w:val="000000"/>
              </w:rPr>
            </w:pPr>
            <w:r>
              <w:rPr>
                <w:rFonts w:hint="eastAsia" w:ascii="宋体" w:hAnsi="宋体"/>
                <w:color w:val="000000"/>
              </w:rPr>
              <w:t>发生故障24小时未发现并报备我方和属地分局，每次扣2分。季度总计10分</w:t>
            </w:r>
          </w:p>
        </w:tc>
        <w:tc>
          <w:tcPr>
            <w:tcW w:w="421" w:type="pct"/>
            <w:tcBorders>
              <w:top w:val="single" w:color="000000" w:sz="4" w:space="0"/>
              <w:left w:val="nil"/>
              <w:bottom w:val="single" w:color="000000" w:sz="4" w:space="0"/>
              <w:right w:val="single" w:color="000000" w:sz="4" w:space="0"/>
            </w:tcBorders>
            <w:noWrap/>
            <w:vAlign w:val="center"/>
          </w:tcPr>
          <w:p w14:paraId="6D992FCA">
            <w:pPr>
              <w:spacing w:line="360" w:lineRule="auto"/>
              <w:ind w:left="210" w:leftChars="100" w:firstLine="210" w:firstLineChars="100"/>
              <w:rPr>
                <w:rFonts w:hint="eastAsia" w:ascii="宋体" w:hAnsi="宋体"/>
                <w:color w:val="000000"/>
              </w:rPr>
            </w:pPr>
            <w:r>
              <w:rPr>
                <w:rFonts w:hint="eastAsia" w:ascii="宋体" w:hAnsi="宋体"/>
                <w:color w:val="000000"/>
              </w:rPr>
              <w:t>10</w:t>
            </w:r>
          </w:p>
        </w:tc>
      </w:tr>
      <w:tr w14:paraId="3C9E21D1">
        <w:tblPrEx>
          <w:tblCellMar>
            <w:top w:w="15" w:type="dxa"/>
            <w:left w:w="15" w:type="dxa"/>
            <w:bottom w:w="15" w:type="dxa"/>
            <w:right w:w="15" w:type="dxa"/>
          </w:tblCellMar>
        </w:tblPrEx>
        <w:trPr>
          <w:trHeight w:val="358" w:hRule="atLeast"/>
          <w:jc w:val="center"/>
        </w:trPr>
        <w:tc>
          <w:tcPr>
            <w:tcW w:w="484" w:type="pct"/>
            <w:vMerge w:val="continue"/>
            <w:tcBorders>
              <w:top w:val="nil"/>
              <w:left w:val="single" w:color="000000" w:sz="4" w:space="0"/>
              <w:bottom w:val="single" w:color="000000" w:sz="4" w:space="0"/>
              <w:right w:val="single" w:color="000000" w:sz="4" w:space="0"/>
            </w:tcBorders>
            <w:noWrap/>
            <w:vAlign w:val="center"/>
          </w:tcPr>
          <w:p w14:paraId="29B2506C">
            <w:pPr>
              <w:widowControl/>
              <w:jc w:val="center"/>
              <w:rPr>
                <w:rFonts w:ascii="宋体" w:hAnsi="宋体"/>
                <w:color w:val="000000"/>
              </w:rPr>
            </w:pPr>
          </w:p>
        </w:tc>
        <w:tc>
          <w:tcPr>
            <w:tcW w:w="4094" w:type="pct"/>
            <w:tcBorders>
              <w:top w:val="single" w:color="000000" w:sz="4" w:space="0"/>
              <w:left w:val="nil"/>
              <w:bottom w:val="single" w:color="000000" w:sz="4" w:space="0"/>
              <w:right w:val="single" w:color="000000" w:sz="4" w:space="0"/>
            </w:tcBorders>
            <w:noWrap/>
            <w:vAlign w:val="center"/>
          </w:tcPr>
          <w:p w14:paraId="57DF39AC">
            <w:pPr>
              <w:spacing w:line="360" w:lineRule="auto"/>
              <w:ind w:firstLine="420"/>
              <w:rPr>
                <w:rFonts w:ascii="宋体" w:hAnsi="宋体" w:eastAsiaTheme="minorEastAsia"/>
                <w:color w:val="000000"/>
              </w:rPr>
            </w:pPr>
            <w:r>
              <w:rPr>
                <w:rFonts w:hint="eastAsia" w:ascii="宋体" w:hAnsi="宋体"/>
                <w:color w:val="000000"/>
              </w:rPr>
              <w:t>维修更换设备的性能参数低于服务标准的，每件扣1分。季度总计10分</w:t>
            </w:r>
          </w:p>
        </w:tc>
        <w:tc>
          <w:tcPr>
            <w:tcW w:w="421" w:type="pct"/>
            <w:tcBorders>
              <w:top w:val="single" w:color="000000" w:sz="4" w:space="0"/>
              <w:left w:val="nil"/>
              <w:bottom w:val="single" w:color="000000" w:sz="4" w:space="0"/>
              <w:right w:val="single" w:color="000000" w:sz="4" w:space="0"/>
            </w:tcBorders>
            <w:noWrap/>
            <w:vAlign w:val="center"/>
          </w:tcPr>
          <w:p w14:paraId="58F30A09">
            <w:pPr>
              <w:spacing w:line="360" w:lineRule="auto"/>
              <w:ind w:left="210" w:leftChars="100" w:firstLine="210" w:firstLineChars="100"/>
              <w:rPr>
                <w:rFonts w:hint="eastAsia" w:ascii="宋体" w:hAnsi="宋体"/>
                <w:color w:val="000000"/>
              </w:rPr>
            </w:pPr>
            <w:r>
              <w:rPr>
                <w:rFonts w:hint="eastAsia" w:ascii="宋体" w:hAnsi="宋体"/>
                <w:color w:val="000000"/>
              </w:rPr>
              <w:t>10</w:t>
            </w:r>
          </w:p>
        </w:tc>
      </w:tr>
      <w:tr w14:paraId="151F0F38">
        <w:tblPrEx>
          <w:tblCellMar>
            <w:top w:w="15" w:type="dxa"/>
            <w:left w:w="15" w:type="dxa"/>
            <w:bottom w:w="15" w:type="dxa"/>
            <w:right w:w="15" w:type="dxa"/>
          </w:tblCellMar>
        </w:tblPrEx>
        <w:trPr>
          <w:trHeight w:val="358" w:hRule="atLeast"/>
          <w:jc w:val="center"/>
        </w:trPr>
        <w:tc>
          <w:tcPr>
            <w:tcW w:w="484" w:type="pct"/>
            <w:vMerge w:val="continue"/>
            <w:tcBorders>
              <w:top w:val="nil"/>
              <w:left w:val="single" w:color="000000" w:sz="4" w:space="0"/>
              <w:bottom w:val="single" w:color="000000" w:sz="4" w:space="0"/>
              <w:right w:val="single" w:color="000000" w:sz="4" w:space="0"/>
            </w:tcBorders>
            <w:noWrap/>
            <w:vAlign w:val="center"/>
          </w:tcPr>
          <w:p w14:paraId="6BDC03A0">
            <w:pPr>
              <w:widowControl/>
              <w:jc w:val="center"/>
              <w:rPr>
                <w:rFonts w:ascii="宋体" w:hAnsi="宋体"/>
                <w:color w:val="000000"/>
              </w:rPr>
            </w:pPr>
          </w:p>
        </w:tc>
        <w:tc>
          <w:tcPr>
            <w:tcW w:w="4094" w:type="pct"/>
            <w:tcBorders>
              <w:top w:val="single" w:color="000000" w:sz="4" w:space="0"/>
              <w:left w:val="nil"/>
              <w:bottom w:val="single" w:color="000000" w:sz="4" w:space="0"/>
              <w:right w:val="single" w:color="000000" w:sz="4" w:space="0"/>
            </w:tcBorders>
            <w:noWrap/>
            <w:vAlign w:val="center"/>
          </w:tcPr>
          <w:p w14:paraId="4B062A4C">
            <w:pPr>
              <w:spacing w:line="360" w:lineRule="auto"/>
              <w:ind w:firstLine="420"/>
              <w:rPr>
                <w:rFonts w:ascii="宋体" w:hAnsi="宋体" w:eastAsiaTheme="minorEastAsia"/>
                <w:color w:val="000000"/>
              </w:rPr>
            </w:pPr>
            <w:r>
              <w:rPr>
                <w:rFonts w:hint="eastAsia" w:ascii="宋体" w:hAnsi="宋体"/>
                <w:color w:val="000000"/>
              </w:rPr>
              <w:t>未完成全年轮换企业摄像头拆、装、移任务的，按时间要求未达标每月扣1-5分。季度总计15分</w:t>
            </w:r>
          </w:p>
        </w:tc>
        <w:tc>
          <w:tcPr>
            <w:tcW w:w="421" w:type="pct"/>
            <w:tcBorders>
              <w:top w:val="single" w:color="000000" w:sz="4" w:space="0"/>
              <w:left w:val="nil"/>
              <w:bottom w:val="single" w:color="000000" w:sz="4" w:space="0"/>
              <w:right w:val="single" w:color="000000" w:sz="4" w:space="0"/>
            </w:tcBorders>
            <w:noWrap/>
            <w:vAlign w:val="center"/>
          </w:tcPr>
          <w:p w14:paraId="4E98A7D9">
            <w:pPr>
              <w:spacing w:line="360" w:lineRule="auto"/>
              <w:ind w:left="210" w:leftChars="100" w:firstLine="210" w:firstLineChars="100"/>
              <w:rPr>
                <w:rFonts w:hint="eastAsia" w:ascii="宋体" w:hAnsi="宋体"/>
                <w:color w:val="000000"/>
              </w:rPr>
            </w:pPr>
            <w:r>
              <w:rPr>
                <w:rFonts w:hint="eastAsia" w:ascii="宋体" w:hAnsi="宋体"/>
                <w:color w:val="000000"/>
              </w:rPr>
              <w:t>15</w:t>
            </w:r>
          </w:p>
        </w:tc>
      </w:tr>
      <w:tr w14:paraId="50A53579">
        <w:tblPrEx>
          <w:tblCellMar>
            <w:top w:w="15" w:type="dxa"/>
            <w:left w:w="15" w:type="dxa"/>
            <w:bottom w:w="15" w:type="dxa"/>
            <w:right w:w="15" w:type="dxa"/>
          </w:tblCellMar>
        </w:tblPrEx>
        <w:trPr>
          <w:trHeight w:val="358" w:hRule="atLeast"/>
          <w:jc w:val="center"/>
        </w:trPr>
        <w:tc>
          <w:tcPr>
            <w:tcW w:w="484" w:type="pct"/>
            <w:vMerge w:val="continue"/>
            <w:tcBorders>
              <w:top w:val="nil"/>
              <w:left w:val="single" w:color="000000" w:sz="4" w:space="0"/>
              <w:bottom w:val="single" w:color="000000" w:sz="4" w:space="0"/>
              <w:right w:val="single" w:color="000000" w:sz="4" w:space="0"/>
            </w:tcBorders>
            <w:noWrap/>
            <w:vAlign w:val="center"/>
          </w:tcPr>
          <w:p w14:paraId="569F660B">
            <w:pPr>
              <w:widowControl/>
              <w:jc w:val="center"/>
              <w:rPr>
                <w:rFonts w:ascii="宋体" w:hAnsi="宋体"/>
                <w:color w:val="000000"/>
              </w:rPr>
            </w:pPr>
          </w:p>
        </w:tc>
        <w:tc>
          <w:tcPr>
            <w:tcW w:w="4094" w:type="pct"/>
            <w:tcBorders>
              <w:top w:val="single" w:color="000000" w:sz="4" w:space="0"/>
              <w:left w:val="nil"/>
              <w:bottom w:val="single" w:color="000000" w:sz="4" w:space="0"/>
              <w:right w:val="single" w:color="000000" w:sz="4" w:space="0"/>
            </w:tcBorders>
            <w:noWrap/>
            <w:vAlign w:val="center"/>
          </w:tcPr>
          <w:p w14:paraId="76A9FB82">
            <w:pPr>
              <w:spacing w:line="360" w:lineRule="auto"/>
              <w:ind w:firstLine="420"/>
              <w:rPr>
                <w:rFonts w:ascii="宋体" w:hAnsi="宋体"/>
                <w:color w:val="000000"/>
              </w:rPr>
            </w:pPr>
            <w:r>
              <w:rPr>
                <w:rFonts w:hint="eastAsia" w:ascii="宋体" w:hAnsi="宋体"/>
                <w:color w:val="000000"/>
              </w:rPr>
              <w:t>日常运维、各类巡检须有台帐记录，发现问题及解决情况应如实登记，记录不完整每次扣1分。季度总计12分。</w:t>
            </w:r>
          </w:p>
        </w:tc>
        <w:tc>
          <w:tcPr>
            <w:tcW w:w="421" w:type="pct"/>
            <w:tcBorders>
              <w:top w:val="single" w:color="000000" w:sz="4" w:space="0"/>
              <w:left w:val="nil"/>
              <w:bottom w:val="single" w:color="000000" w:sz="4" w:space="0"/>
              <w:right w:val="single" w:color="000000" w:sz="4" w:space="0"/>
            </w:tcBorders>
            <w:noWrap/>
            <w:vAlign w:val="center"/>
          </w:tcPr>
          <w:p w14:paraId="42FF2791">
            <w:pPr>
              <w:spacing w:line="360" w:lineRule="auto"/>
              <w:ind w:left="210" w:leftChars="100" w:firstLine="210" w:firstLineChars="100"/>
              <w:rPr>
                <w:rFonts w:hint="eastAsia" w:ascii="宋体" w:hAnsi="宋体"/>
                <w:color w:val="000000"/>
              </w:rPr>
            </w:pPr>
            <w:r>
              <w:rPr>
                <w:rFonts w:hint="eastAsia" w:ascii="宋体" w:hAnsi="宋体"/>
                <w:color w:val="000000"/>
              </w:rPr>
              <w:t>12</w:t>
            </w:r>
          </w:p>
        </w:tc>
      </w:tr>
      <w:tr w14:paraId="2CC69292">
        <w:tblPrEx>
          <w:tblCellMar>
            <w:top w:w="15" w:type="dxa"/>
            <w:left w:w="15" w:type="dxa"/>
            <w:bottom w:w="15" w:type="dxa"/>
            <w:right w:w="15" w:type="dxa"/>
          </w:tblCellMar>
        </w:tblPrEx>
        <w:trPr>
          <w:trHeight w:val="358" w:hRule="atLeast"/>
          <w:jc w:val="center"/>
        </w:trPr>
        <w:tc>
          <w:tcPr>
            <w:tcW w:w="484" w:type="pct"/>
            <w:vMerge w:val="continue"/>
            <w:tcBorders>
              <w:top w:val="nil"/>
              <w:left w:val="single" w:color="000000" w:sz="4" w:space="0"/>
              <w:bottom w:val="single" w:color="000000" w:sz="4" w:space="0"/>
              <w:right w:val="single" w:color="000000" w:sz="4" w:space="0"/>
            </w:tcBorders>
            <w:noWrap/>
            <w:vAlign w:val="center"/>
          </w:tcPr>
          <w:p w14:paraId="546D6B1D">
            <w:pPr>
              <w:widowControl/>
              <w:jc w:val="center"/>
              <w:rPr>
                <w:rFonts w:ascii="宋体" w:hAnsi="宋体"/>
                <w:color w:val="000000"/>
              </w:rPr>
            </w:pPr>
          </w:p>
        </w:tc>
        <w:tc>
          <w:tcPr>
            <w:tcW w:w="4094" w:type="pct"/>
            <w:tcBorders>
              <w:top w:val="single" w:color="000000" w:sz="4" w:space="0"/>
              <w:left w:val="nil"/>
              <w:bottom w:val="single" w:color="000000" w:sz="4" w:space="0"/>
              <w:right w:val="single" w:color="000000" w:sz="4" w:space="0"/>
            </w:tcBorders>
            <w:noWrap/>
            <w:vAlign w:val="center"/>
          </w:tcPr>
          <w:p w14:paraId="76E3C74C">
            <w:pPr>
              <w:spacing w:line="360" w:lineRule="auto"/>
              <w:ind w:firstLine="420"/>
              <w:rPr>
                <w:rFonts w:ascii="宋体" w:hAnsi="宋体" w:eastAsiaTheme="minorEastAsia"/>
                <w:color w:val="000000"/>
              </w:rPr>
            </w:pPr>
            <w:r>
              <w:rPr>
                <w:rFonts w:hint="eastAsia" w:ascii="宋体" w:hAnsi="宋体"/>
                <w:color w:val="000000"/>
              </w:rPr>
              <w:t>驻点人员应服从相关工作安排，未达要求的扣1-5分。季度总计10分</w:t>
            </w:r>
          </w:p>
        </w:tc>
        <w:tc>
          <w:tcPr>
            <w:tcW w:w="421" w:type="pct"/>
            <w:tcBorders>
              <w:top w:val="single" w:color="000000" w:sz="4" w:space="0"/>
              <w:left w:val="nil"/>
              <w:bottom w:val="single" w:color="000000" w:sz="4" w:space="0"/>
              <w:right w:val="single" w:color="000000" w:sz="4" w:space="0"/>
            </w:tcBorders>
            <w:noWrap/>
            <w:vAlign w:val="center"/>
          </w:tcPr>
          <w:p w14:paraId="02ED984F">
            <w:pPr>
              <w:spacing w:line="360" w:lineRule="auto"/>
              <w:ind w:left="210" w:leftChars="100" w:firstLine="210" w:firstLineChars="100"/>
              <w:rPr>
                <w:rFonts w:hint="eastAsia" w:ascii="宋体" w:hAnsi="宋体"/>
                <w:color w:val="000000"/>
              </w:rPr>
            </w:pPr>
            <w:r>
              <w:rPr>
                <w:rFonts w:hint="eastAsia" w:ascii="宋体" w:hAnsi="宋体"/>
                <w:color w:val="000000"/>
              </w:rPr>
              <w:t>10</w:t>
            </w:r>
          </w:p>
        </w:tc>
      </w:tr>
      <w:tr w14:paraId="7DE7C715">
        <w:tblPrEx>
          <w:tblCellMar>
            <w:top w:w="15" w:type="dxa"/>
            <w:left w:w="15" w:type="dxa"/>
            <w:bottom w:w="15" w:type="dxa"/>
            <w:right w:w="15" w:type="dxa"/>
          </w:tblCellMar>
        </w:tblPrEx>
        <w:trPr>
          <w:trHeight w:val="358" w:hRule="atLeast"/>
          <w:jc w:val="center"/>
        </w:trPr>
        <w:tc>
          <w:tcPr>
            <w:tcW w:w="484" w:type="pct"/>
            <w:vMerge w:val="restart"/>
            <w:tcBorders>
              <w:top w:val="nil"/>
              <w:left w:val="single" w:color="000000" w:sz="4" w:space="0"/>
              <w:bottom w:val="single" w:color="000000" w:sz="4" w:space="0"/>
              <w:right w:val="single" w:color="000000" w:sz="4" w:space="0"/>
            </w:tcBorders>
            <w:noWrap/>
            <w:vAlign w:val="center"/>
          </w:tcPr>
          <w:p w14:paraId="5A5AB004">
            <w:pPr>
              <w:spacing w:line="360" w:lineRule="auto"/>
              <w:jc w:val="center"/>
              <w:rPr>
                <w:rFonts w:ascii="宋体" w:hAnsi="宋体"/>
                <w:color w:val="000000"/>
              </w:rPr>
            </w:pPr>
            <w:r>
              <w:rPr>
                <w:rFonts w:hint="eastAsia" w:ascii="宋体" w:hAnsi="宋体"/>
                <w:color w:val="000000"/>
              </w:rPr>
              <w:t>应急保障</w:t>
            </w:r>
          </w:p>
        </w:tc>
        <w:tc>
          <w:tcPr>
            <w:tcW w:w="4094" w:type="pct"/>
            <w:tcBorders>
              <w:top w:val="single" w:color="000000" w:sz="4" w:space="0"/>
              <w:left w:val="nil"/>
              <w:bottom w:val="single" w:color="000000" w:sz="4" w:space="0"/>
              <w:right w:val="single" w:color="000000" w:sz="4" w:space="0"/>
            </w:tcBorders>
            <w:noWrap/>
            <w:vAlign w:val="center"/>
          </w:tcPr>
          <w:p w14:paraId="01DA3E09">
            <w:pPr>
              <w:spacing w:line="360" w:lineRule="auto"/>
              <w:ind w:firstLine="420"/>
              <w:rPr>
                <w:rFonts w:ascii="宋体" w:hAnsi="宋体" w:eastAsiaTheme="minorEastAsia"/>
                <w:color w:val="000000"/>
              </w:rPr>
            </w:pPr>
            <w:r>
              <w:rPr>
                <w:rFonts w:hint="eastAsia" w:ascii="宋体" w:hAnsi="宋体"/>
                <w:color w:val="000000"/>
              </w:rPr>
              <w:t>未按售后服务故障响应要求执行的，每次扣2分。季度总计12分</w:t>
            </w:r>
          </w:p>
        </w:tc>
        <w:tc>
          <w:tcPr>
            <w:tcW w:w="421" w:type="pct"/>
            <w:tcBorders>
              <w:top w:val="single" w:color="000000" w:sz="4" w:space="0"/>
              <w:left w:val="nil"/>
              <w:bottom w:val="single" w:color="000000" w:sz="4" w:space="0"/>
              <w:right w:val="single" w:color="000000" w:sz="4" w:space="0"/>
            </w:tcBorders>
            <w:noWrap/>
            <w:vAlign w:val="center"/>
          </w:tcPr>
          <w:p w14:paraId="354BD167">
            <w:pPr>
              <w:spacing w:line="360" w:lineRule="auto"/>
              <w:ind w:left="210" w:leftChars="100" w:firstLine="210" w:firstLineChars="100"/>
              <w:rPr>
                <w:rFonts w:hint="eastAsia" w:ascii="宋体" w:hAnsi="宋体"/>
                <w:color w:val="000000"/>
              </w:rPr>
            </w:pPr>
            <w:r>
              <w:rPr>
                <w:rFonts w:hint="eastAsia" w:ascii="宋体" w:hAnsi="宋体"/>
                <w:color w:val="000000"/>
              </w:rPr>
              <w:t>12</w:t>
            </w:r>
          </w:p>
        </w:tc>
      </w:tr>
      <w:tr w14:paraId="3C5979D2">
        <w:tblPrEx>
          <w:tblCellMar>
            <w:top w:w="15" w:type="dxa"/>
            <w:left w:w="15" w:type="dxa"/>
            <w:bottom w:w="15" w:type="dxa"/>
            <w:right w:w="15" w:type="dxa"/>
          </w:tblCellMar>
        </w:tblPrEx>
        <w:trPr>
          <w:trHeight w:val="358" w:hRule="atLeast"/>
          <w:jc w:val="center"/>
        </w:trPr>
        <w:tc>
          <w:tcPr>
            <w:tcW w:w="484" w:type="pct"/>
            <w:vMerge w:val="continue"/>
            <w:tcBorders>
              <w:top w:val="nil"/>
              <w:left w:val="single" w:color="000000" w:sz="4" w:space="0"/>
              <w:bottom w:val="single" w:color="000000" w:sz="4" w:space="0"/>
              <w:right w:val="single" w:color="000000" w:sz="4" w:space="0"/>
            </w:tcBorders>
            <w:noWrap/>
            <w:vAlign w:val="center"/>
          </w:tcPr>
          <w:p w14:paraId="38C3B524">
            <w:pPr>
              <w:widowControl/>
              <w:jc w:val="center"/>
              <w:rPr>
                <w:rFonts w:ascii="宋体" w:hAnsi="宋体"/>
                <w:color w:val="000000"/>
              </w:rPr>
            </w:pPr>
          </w:p>
        </w:tc>
        <w:tc>
          <w:tcPr>
            <w:tcW w:w="4094" w:type="pct"/>
            <w:tcBorders>
              <w:top w:val="single" w:color="000000" w:sz="4" w:space="0"/>
              <w:left w:val="nil"/>
              <w:bottom w:val="single" w:color="000000" w:sz="4" w:space="0"/>
              <w:right w:val="single" w:color="000000" w:sz="4" w:space="0"/>
            </w:tcBorders>
            <w:noWrap/>
            <w:vAlign w:val="center"/>
          </w:tcPr>
          <w:p w14:paraId="686586FE">
            <w:pPr>
              <w:spacing w:line="360" w:lineRule="auto"/>
              <w:ind w:firstLine="420"/>
              <w:rPr>
                <w:rFonts w:ascii="宋体" w:hAnsi="宋体" w:eastAsiaTheme="minorEastAsia"/>
                <w:color w:val="000000"/>
              </w:rPr>
            </w:pPr>
            <w:r>
              <w:rPr>
                <w:rFonts w:hint="eastAsia" w:ascii="宋体" w:hAnsi="宋体"/>
                <w:color w:val="000000"/>
              </w:rPr>
              <w:t>一般设备故障接报24小时内响应（节假日等特殊情况经我方同意可适当延长）未响应的，每次扣1分。季度总计9分</w:t>
            </w:r>
          </w:p>
        </w:tc>
        <w:tc>
          <w:tcPr>
            <w:tcW w:w="421" w:type="pct"/>
            <w:tcBorders>
              <w:top w:val="single" w:color="000000" w:sz="4" w:space="0"/>
              <w:left w:val="nil"/>
              <w:bottom w:val="single" w:color="000000" w:sz="4" w:space="0"/>
              <w:right w:val="single" w:color="000000" w:sz="4" w:space="0"/>
            </w:tcBorders>
            <w:noWrap/>
            <w:vAlign w:val="center"/>
          </w:tcPr>
          <w:p w14:paraId="18FEDD69">
            <w:pPr>
              <w:spacing w:line="360" w:lineRule="auto"/>
              <w:ind w:left="210" w:leftChars="100" w:firstLine="210" w:firstLineChars="100"/>
              <w:rPr>
                <w:rFonts w:hint="eastAsia" w:ascii="宋体" w:hAnsi="宋体"/>
                <w:color w:val="000000"/>
              </w:rPr>
            </w:pPr>
            <w:r>
              <w:rPr>
                <w:rFonts w:hint="eastAsia" w:ascii="宋体" w:hAnsi="宋体"/>
                <w:color w:val="000000"/>
              </w:rPr>
              <w:t>9</w:t>
            </w:r>
          </w:p>
        </w:tc>
      </w:tr>
      <w:tr w14:paraId="1FB5EB4F">
        <w:tblPrEx>
          <w:tblCellMar>
            <w:top w:w="15" w:type="dxa"/>
            <w:left w:w="15" w:type="dxa"/>
            <w:bottom w:w="15" w:type="dxa"/>
            <w:right w:w="15" w:type="dxa"/>
          </w:tblCellMar>
        </w:tblPrEx>
        <w:trPr>
          <w:trHeight w:val="358" w:hRule="atLeast"/>
          <w:jc w:val="center"/>
        </w:trPr>
        <w:tc>
          <w:tcPr>
            <w:tcW w:w="484" w:type="pct"/>
            <w:vMerge w:val="continue"/>
            <w:tcBorders>
              <w:top w:val="nil"/>
              <w:left w:val="single" w:color="000000" w:sz="4" w:space="0"/>
              <w:bottom w:val="single" w:color="000000" w:sz="4" w:space="0"/>
              <w:right w:val="single" w:color="000000" w:sz="4" w:space="0"/>
            </w:tcBorders>
            <w:noWrap/>
            <w:vAlign w:val="center"/>
          </w:tcPr>
          <w:p w14:paraId="23EF8069">
            <w:pPr>
              <w:widowControl/>
              <w:jc w:val="center"/>
              <w:rPr>
                <w:rFonts w:ascii="宋体" w:hAnsi="宋体"/>
                <w:color w:val="000000"/>
              </w:rPr>
            </w:pPr>
          </w:p>
        </w:tc>
        <w:tc>
          <w:tcPr>
            <w:tcW w:w="4094" w:type="pct"/>
            <w:tcBorders>
              <w:top w:val="single" w:color="000000" w:sz="4" w:space="0"/>
              <w:left w:val="nil"/>
              <w:bottom w:val="single" w:color="000000" w:sz="4" w:space="0"/>
              <w:right w:val="single" w:color="000000" w:sz="4" w:space="0"/>
            </w:tcBorders>
            <w:noWrap/>
            <w:vAlign w:val="center"/>
          </w:tcPr>
          <w:p w14:paraId="60AFAA46">
            <w:pPr>
              <w:spacing w:line="360" w:lineRule="auto"/>
              <w:ind w:firstLine="420"/>
              <w:rPr>
                <w:rFonts w:ascii="宋体" w:hAnsi="宋体" w:eastAsiaTheme="minorEastAsia"/>
                <w:color w:val="000000"/>
              </w:rPr>
            </w:pPr>
            <w:r>
              <w:rPr>
                <w:rFonts w:hint="eastAsia" w:ascii="宋体" w:hAnsi="宋体"/>
                <w:color w:val="000000"/>
              </w:rPr>
              <w:t>重大活动和任务期间，对我方的巡查、快修、值守任务要求不响应、不落实的，每次扣1-5分。季度总计10分</w:t>
            </w:r>
          </w:p>
        </w:tc>
        <w:tc>
          <w:tcPr>
            <w:tcW w:w="421" w:type="pct"/>
            <w:tcBorders>
              <w:top w:val="single" w:color="000000" w:sz="4" w:space="0"/>
              <w:left w:val="nil"/>
              <w:bottom w:val="single" w:color="000000" w:sz="4" w:space="0"/>
              <w:right w:val="single" w:color="000000" w:sz="4" w:space="0"/>
            </w:tcBorders>
            <w:noWrap/>
            <w:vAlign w:val="center"/>
          </w:tcPr>
          <w:p w14:paraId="4494A35E">
            <w:pPr>
              <w:spacing w:line="360" w:lineRule="auto"/>
              <w:ind w:left="210" w:leftChars="100" w:firstLine="210" w:firstLineChars="100"/>
              <w:rPr>
                <w:rFonts w:hint="eastAsia" w:ascii="宋体" w:hAnsi="宋体"/>
                <w:color w:val="000000"/>
              </w:rPr>
            </w:pPr>
            <w:r>
              <w:rPr>
                <w:rFonts w:hint="eastAsia" w:ascii="宋体" w:hAnsi="宋体"/>
                <w:color w:val="000000"/>
              </w:rPr>
              <w:t>10</w:t>
            </w:r>
          </w:p>
        </w:tc>
      </w:tr>
    </w:tbl>
    <w:p w14:paraId="6793D6A1">
      <w:pPr>
        <w:pStyle w:val="17"/>
      </w:pPr>
    </w:p>
    <w:p w14:paraId="320FC075">
      <w:pPr>
        <w:spacing w:line="360" w:lineRule="auto"/>
        <w:ind w:firstLine="482" w:firstLineChars="200"/>
        <w:rPr>
          <w:rFonts w:ascii="宋体" w:hAnsi="宋体" w:cs="宋体"/>
          <w:b/>
          <w:sz w:val="24"/>
          <w:highlight w:val="none"/>
        </w:rPr>
      </w:pPr>
      <w:r>
        <w:rPr>
          <w:rFonts w:hint="eastAsia" w:ascii="宋体" w:hAnsi="宋体" w:cs="宋体"/>
          <w:b/>
          <w:sz w:val="24"/>
        </w:rPr>
        <w:t>备注：为了保证维保服务质量，成交供应商需要在中标后，</w:t>
      </w:r>
      <w:r>
        <w:rPr>
          <w:rFonts w:hint="eastAsia" w:ascii="宋体" w:hAnsi="宋体" w:cs="宋体"/>
          <w:b/>
          <w:color w:val="auto"/>
          <w:sz w:val="24"/>
        </w:rPr>
        <w:t>签定合同前提供数字服务器、存储服务器、软件平台设备原厂针对本次项目的原厂上门技术支持服务函，</w:t>
      </w:r>
      <w:r>
        <w:rPr>
          <w:rFonts w:hint="eastAsia" w:ascii="宋体" w:hAnsi="宋体" w:cs="宋体"/>
          <w:b/>
          <w:sz w:val="24"/>
        </w:rPr>
        <w:t>并加盖原厂公章</w:t>
      </w:r>
      <w:r>
        <w:rPr>
          <w:rFonts w:hint="eastAsia" w:ascii="宋体" w:hAnsi="宋体" w:cs="宋体"/>
          <w:b/>
          <w:sz w:val="24"/>
          <w:highlight w:val="none"/>
        </w:rPr>
        <w:t>。如成交供应商无法提供的，视为未能满足招标文件的实质性要求，作无效投标处理，采购单位可根据综合得分选择排名第二的中标候选人作为成交供应商，也可以重新招标。</w:t>
      </w:r>
    </w:p>
    <w:p w14:paraId="1A31895C">
      <w:pPr>
        <w:spacing w:line="480" w:lineRule="exact"/>
        <w:ind w:firstLine="562" w:firstLineChars="200"/>
        <w:jc w:val="left"/>
        <w:rPr>
          <w:rFonts w:ascii="宋体" w:hAnsi="宋体" w:cs="宋体"/>
          <w:b/>
          <w:bCs/>
          <w:sz w:val="28"/>
          <w:szCs w:val="28"/>
        </w:rPr>
      </w:pPr>
    </w:p>
    <w:p w14:paraId="6B15ECBE">
      <w:pPr>
        <w:pStyle w:val="17"/>
        <w:rPr>
          <w:rFonts w:ascii="宋体" w:hAnsi="宋体" w:cs="宋体"/>
          <w:b/>
          <w:bCs/>
          <w:sz w:val="28"/>
          <w:szCs w:val="28"/>
        </w:rPr>
      </w:pPr>
    </w:p>
    <w:p w14:paraId="54956EB7">
      <w:pPr>
        <w:pStyle w:val="17"/>
        <w:rPr>
          <w:rFonts w:ascii="宋体" w:hAnsi="宋体" w:cs="宋体"/>
          <w:b/>
          <w:bCs/>
          <w:sz w:val="28"/>
          <w:szCs w:val="28"/>
        </w:rPr>
      </w:pPr>
    </w:p>
    <w:p w14:paraId="013C8B2B">
      <w:pPr>
        <w:pStyle w:val="17"/>
        <w:rPr>
          <w:rFonts w:ascii="宋体" w:hAnsi="宋体" w:cs="宋体"/>
          <w:b/>
          <w:bCs/>
          <w:sz w:val="28"/>
          <w:szCs w:val="28"/>
        </w:rPr>
      </w:pPr>
    </w:p>
    <w:p w14:paraId="53EDA650">
      <w:pPr>
        <w:pStyle w:val="17"/>
        <w:rPr>
          <w:rFonts w:ascii="宋体" w:hAnsi="宋体" w:cs="宋体"/>
          <w:b/>
          <w:bCs/>
          <w:sz w:val="28"/>
          <w:szCs w:val="28"/>
        </w:rPr>
      </w:pPr>
    </w:p>
    <w:p w14:paraId="56803EEA">
      <w:pPr>
        <w:pStyle w:val="17"/>
        <w:rPr>
          <w:rFonts w:ascii="宋体" w:hAnsi="宋体" w:cs="宋体"/>
          <w:b/>
          <w:bCs/>
          <w:sz w:val="28"/>
          <w:szCs w:val="28"/>
        </w:rPr>
      </w:pPr>
    </w:p>
    <w:p w14:paraId="25A1C87D">
      <w:pPr>
        <w:pStyle w:val="17"/>
        <w:rPr>
          <w:rFonts w:ascii="宋体" w:hAnsi="宋体" w:cs="宋体"/>
          <w:b/>
          <w:bCs/>
          <w:sz w:val="28"/>
          <w:szCs w:val="28"/>
        </w:rPr>
      </w:pPr>
    </w:p>
    <w:p w14:paraId="467E6BE6">
      <w:pPr>
        <w:pStyle w:val="17"/>
        <w:rPr>
          <w:rFonts w:ascii="宋体" w:hAnsi="宋体" w:cs="宋体"/>
          <w:b/>
          <w:bCs/>
          <w:sz w:val="28"/>
          <w:szCs w:val="28"/>
        </w:rPr>
      </w:pPr>
    </w:p>
    <w:p w14:paraId="22EDAFC6">
      <w:pPr>
        <w:numPr>
          <w:ilvl w:val="0"/>
          <w:numId w:val="2"/>
        </w:numPr>
        <w:spacing w:line="360" w:lineRule="auto"/>
        <w:ind w:right="-334" w:rightChars="-159" w:firstLine="722"/>
        <w:jc w:val="center"/>
        <w:rPr>
          <w:rFonts w:ascii="宋体" w:hAnsi="宋体" w:cs="宋体"/>
          <w:b/>
          <w:bCs/>
          <w:color w:val="595959"/>
          <w:sz w:val="36"/>
          <w:szCs w:val="36"/>
        </w:rPr>
      </w:pPr>
      <w:r>
        <w:rPr>
          <w:rFonts w:hint="eastAsia" w:ascii="宋体" w:hAnsi="宋体" w:cs="宋体"/>
          <w:b/>
          <w:bCs/>
          <w:color w:val="595959"/>
          <w:sz w:val="36"/>
          <w:szCs w:val="36"/>
        </w:rPr>
        <w:t xml:space="preserve">合同文本  </w:t>
      </w:r>
    </w:p>
    <w:p w14:paraId="4690FBE3">
      <w:pPr>
        <w:pStyle w:val="17"/>
      </w:pPr>
    </w:p>
    <w:p w14:paraId="2DDC6D9F">
      <w:pPr>
        <w:spacing w:line="360" w:lineRule="auto"/>
        <w:jc w:val="center"/>
        <w:rPr>
          <w:b/>
          <w:bCs/>
          <w:sz w:val="44"/>
          <w:szCs w:val="44"/>
        </w:rPr>
      </w:pPr>
      <w:r>
        <w:rPr>
          <w:rFonts w:hAnsi="宋体"/>
          <w:b/>
          <w:bCs/>
          <w:sz w:val="44"/>
          <w:szCs w:val="44"/>
        </w:rPr>
        <w:t>政府采购合同</w:t>
      </w:r>
    </w:p>
    <w:p w14:paraId="30C150E1">
      <w:pPr>
        <w:pStyle w:val="22"/>
        <w:spacing w:line="360" w:lineRule="auto"/>
        <w:ind w:firstLine="0"/>
        <w:rPr>
          <w:rFonts w:ascii="Times New Roman"/>
        </w:rPr>
      </w:pPr>
    </w:p>
    <w:p w14:paraId="654EC8FE">
      <w:pPr>
        <w:pStyle w:val="22"/>
        <w:spacing w:line="360" w:lineRule="auto"/>
        <w:ind w:firstLine="0"/>
        <w:rPr>
          <w:rFonts w:ascii="Times New Roman"/>
        </w:rPr>
      </w:pPr>
    </w:p>
    <w:p w14:paraId="0214187C">
      <w:pPr>
        <w:spacing w:before="120" w:line="360" w:lineRule="auto"/>
        <w:rPr>
          <w:sz w:val="24"/>
        </w:rPr>
      </w:pPr>
    </w:p>
    <w:p w14:paraId="46CC01D9">
      <w:pPr>
        <w:spacing w:before="120" w:line="360" w:lineRule="auto"/>
        <w:ind w:left="960"/>
        <w:rPr>
          <w:sz w:val="24"/>
          <w:u w:val="single"/>
        </w:rPr>
      </w:pPr>
      <w:r>
        <w:rPr>
          <w:rFonts w:hAnsi="宋体"/>
          <w:sz w:val="24"/>
        </w:rPr>
        <w:t>项目名称：</w:t>
      </w:r>
      <w:r>
        <w:rPr>
          <w:rFonts w:hint="eastAsia"/>
          <w:sz w:val="24"/>
          <w:u w:val="single"/>
        </w:rPr>
        <w:t>南通市通州区市场监督管理局惠民工程（一期、二期、三期）运行维护项目</w:t>
      </w:r>
    </w:p>
    <w:p w14:paraId="7AC7A9C8">
      <w:pPr>
        <w:spacing w:line="360" w:lineRule="auto"/>
      </w:pPr>
    </w:p>
    <w:p w14:paraId="6AA284F9">
      <w:pPr>
        <w:spacing w:before="120" w:line="360" w:lineRule="auto"/>
        <w:ind w:left="960"/>
        <w:rPr>
          <w:sz w:val="24"/>
          <w:u w:val="single"/>
        </w:rPr>
      </w:pPr>
      <w:r>
        <w:rPr>
          <w:rFonts w:hAnsi="宋体"/>
          <w:sz w:val="24"/>
        </w:rPr>
        <w:t>甲方：</w:t>
      </w:r>
    </w:p>
    <w:p w14:paraId="6C5824DA">
      <w:pPr>
        <w:spacing w:before="120" w:line="360" w:lineRule="auto"/>
        <w:rPr>
          <w:sz w:val="24"/>
        </w:rPr>
      </w:pPr>
    </w:p>
    <w:p w14:paraId="46B647A3">
      <w:pPr>
        <w:spacing w:before="120" w:line="360" w:lineRule="auto"/>
        <w:ind w:left="960"/>
        <w:rPr>
          <w:sz w:val="24"/>
          <w:u w:val="single"/>
        </w:rPr>
      </w:pPr>
      <w:r>
        <w:rPr>
          <w:rFonts w:hAnsi="宋体"/>
          <w:sz w:val="24"/>
        </w:rPr>
        <w:t>乙方：</w:t>
      </w:r>
    </w:p>
    <w:p w14:paraId="6F413DA2">
      <w:pPr>
        <w:spacing w:before="120" w:line="360" w:lineRule="auto"/>
        <w:rPr>
          <w:sz w:val="24"/>
        </w:rPr>
      </w:pPr>
    </w:p>
    <w:p w14:paraId="503B1A59">
      <w:pPr>
        <w:spacing w:before="120" w:line="360" w:lineRule="auto"/>
        <w:ind w:firstLine="960" w:firstLineChars="400"/>
        <w:rPr>
          <w:sz w:val="24"/>
          <w:u w:val="single"/>
        </w:rPr>
      </w:pPr>
      <w:r>
        <w:rPr>
          <w:rFonts w:hAnsi="宋体"/>
          <w:sz w:val="24"/>
        </w:rPr>
        <w:t>签订地：</w:t>
      </w:r>
    </w:p>
    <w:p w14:paraId="108C6CA4">
      <w:pPr>
        <w:spacing w:before="120" w:line="360" w:lineRule="auto"/>
        <w:ind w:firstLine="960" w:firstLineChars="400"/>
        <w:rPr>
          <w:sz w:val="24"/>
        </w:rPr>
      </w:pPr>
    </w:p>
    <w:p w14:paraId="25BA19A8">
      <w:pPr>
        <w:spacing w:before="120" w:line="360" w:lineRule="auto"/>
        <w:ind w:firstLine="960" w:firstLineChars="400"/>
        <w:rPr>
          <w:sz w:val="24"/>
          <w:u w:val="single"/>
        </w:rPr>
      </w:pPr>
      <w:r>
        <w:rPr>
          <w:rFonts w:hAnsi="宋体"/>
          <w:sz w:val="24"/>
        </w:rPr>
        <w:t>签订日期：</w:t>
      </w:r>
    </w:p>
    <w:p w14:paraId="20F38B30">
      <w:pPr>
        <w:widowControl/>
        <w:snapToGrid w:val="0"/>
        <w:spacing w:line="360" w:lineRule="auto"/>
        <w:rPr>
          <w:rFonts w:hAnsi="宋体"/>
          <w:b/>
          <w:sz w:val="24"/>
        </w:rPr>
      </w:pPr>
    </w:p>
    <w:p w14:paraId="25839956">
      <w:pPr>
        <w:rPr>
          <w:rFonts w:hAnsi="宋体"/>
          <w:b/>
          <w:sz w:val="24"/>
        </w:rPr>
      </w:pPr>
      <w:r>
        <w:rPr>
          <w:rFonts w:hAnsi="宋体"/>
          <w:b/>
          <w:sz w:val="24"/>
        </w:rPr>
        <w:br w:type="page"/>
      </w:r>
    </w:p>
    <w:p w14:paraId="1AD870DA">
      <w:pPr>
        <w:spacing w:line="360" w:lineRule="auto"/>
        <w:ind w:firstLine="480" w:firstLineChars="200"/>
        <w:rPr>
          <w:rFonts w:ascii="宋体" w:hAnsi="宋体" w:cs="宋体"/>
          <w:sz w:val="24"/>
        </w:rPr>
      </w:pPr>
      <w:r>
        <w:rPr>
          <w:rFonts w:hint="eastAsia" w:ascii="宋体" w:hAnsi="宋体" w:cs="宋体"/>
          <w:sz w:val="24"/>
        </w:rPr>
        <w:t xml:space="preserve">甲方：[南通市通州区市场监督管理局] </w:t>
      </w:r>
    </w:p>
    <w:p w14:paraId="0817D03A">
      <w:pPr>
        <w:spacing w:line="360" w:lineRule="auto"/>
        <w:ind w:firstLine="480" w:firstLineChars="200"/>
        <w:rPr>
          <w:rFonts w:ascii="宋体" w:hAnsi="宋体" w:cs="宋体"/>
          <w:sz w:val="24"/>
        </w:rPr>
      </w:pPr>
      <w:r>
        <w:rPr>
          <w:rFonts w:hint="eastAsia" w:ascii="宋体" w:hAnsi="宋体" w:cs="宋体"/>
          <w:sz w:val="24"/>
        </w:rPr>
        <w:t>法定代表人/负责人：[           ]</w:t>
      </w:r>
    </w:p>
    <w:p w14:paraId="2E173B16">
      <w:pPr>
        <w:spacing w:line="360" w:lineRule="auto"/>
        <w:ind w:firstLine="480" w:firstLineChars="200"/>
        <w:rPr>
          <w:rFonts w:ascii="宋体" w:hAnsi="宋体" w:cs="宋体"/>
          <w:sz w:val="24"/>
        </w:rPr>
      </w:pPr>
      <w:r>
        <w:rPr>
          <w:rFonts w:hint="eastAsia" w:ascii="宋体" w:hAnsi="宋体" w:cs="宋体"/>
          <w:sz w:val="24"/>
        </w:rPr>
        <w:t xml:space="preserve">乙方：[       ] </w:t>
      </w:r>
    </w:p>
    <w:p w14:paraId="661FFF87">
      <w:pPr>
        <w:spacing w:line="360" w:lineRule="auto"/>
        <w:ind w:firstLine="480" w:firstLineChars="200"/>
        <w:rPr>
          <w:rFonts w:ascii="宋体" w:hAnsi="宋体" w:cs="宋体"/>
          <w:sz w:val="24"/>
        </w:rPr>
      </w:pPr>
      <w:r>
        <w:rPr>
          <w:rFonts w:hint="eastAsia" w:ascii="宋体" w:hAnsi="宋体" w:cs="宋体"/>
          <w:sz w:val="24"/>
        </w:rPr>
        <w:t xml:space="preserve">法定代表人/负责人：[          ] </w:t>
      </w:r>
    </w:p>
    <w:p w14:paraId="49793E0E">
      <w:pPr>
        <w:spacing w:line="360" w:lineRule="auto"/>
        <w:ind w:firstLine="480" w:firstLineChars="200"/>
        <w:rPr>
          <w:rFonts w:ascii="宋体" w:hAnsi="宋体" w:cs="宋体"/>
          <w:sz w:val="24"/>
        </w:rPr>
      </w:pPr>
      <w:r>
        <w:rPr>
          <w:rFonts w:hint="eastAsia" w:ascii="宋体" w:hAnsi="宋体" w:cs="宋体"/>
          <w:sz w:val="24"/>
        </w:rPr>
        <w:t>本项目通过公开招标，甲方同意以本合同约定的价格和条款向乙方购买合同中约定的服务，乙方同意以本合同约定的条件向甲方提供服务，双方在协商一致的基础上，遵照《中华人民共和国民法典》等法律法规，签署如下合同：</w:t>
      </w:r>
    </w:p>
    <w:p w14:paraId="6046F72D">
      <w:pPr>
        <w:spacing w:line="360" w:lineRule="auto"/>
        <w:ind w:firstLine="482" w:firstLineChars="200"/>
        <w:rPr>
          <w:rFonts w:ascii="宋体" w:hAnsi="宋体" w:cs="宋体"/>
          <w:b/>
          <w:sz w:val="24"/>
        </w:rPr>
      </w:pPr>
      <w:r>
        <w:rPr>
          <w:rFonts w:hint="eastAsia" w:ascii="宋体" w:hAnsi="宋体" w:cs="宋体"/>
          <w:b/>
          <w:sz w:val="24"/>
        </w:rPr>
        <w:t>第一条 合同标的</w:t>
      </w:r>
    </w:p>
    <w:p w14:paraId="15A9E912">
      <w:pPr>
        <w:spacing w:line="360" w:lineRule="auto"/>
        <w:ind w:firstLine="480" w:firstLineChars="200"/>
        <w:rPr>
          <w:rFonts w:ascii="宋体" w:hAnsi="宋体" w:cs="宋体"/>
          <w:sz w:val="24"/>
        </w:rPr>
      </w:pPr>
      <w:r>
        <w:rPr>
          <w:rFonts w:hint="eastAsia" w:ascii="宋体" w:hAnsi="宋体" w:cs="宋体"/>
          <w:sz w:val="24"/>
        </w:rPr>
        <w:t>1.1服务内容</w:t>
      </w:r>
    </w:p>
    <w:p w14:paraId="60465420">
      <w:pPr>
        <w:pStyle w:val="11"/>
        <w:shd w:val="clear" w:color="auto" w:fill="FFFFFF"/>
        <w:spacing w:beforeAutospacing="0" w:afterAutospacing="0" w:line="360" w:lineRule="auto"/>
        <w:ind w:firstLine="480" w:firstLineChars="200"/>
        <w:jc w:val="both"/>
        <w:rPr>
          <w:rFonts w:hAnsi="宋体"/>
          <w:color w:val="auto"/>
          <w:shd w:val="clear" w:color="auto" w:fill="FFFFFF"/>
        </w:rPr>
      </w:pPr>
      <w:r>
        <w:rPr>
          <w:rFonts w:hint="eastAsia" w:hAnsi="宋体"/>
        </w:rPr>
        <w:t>本合同规定的项目内容即服务范围是指乙方根据本合同的约定在本合同有效期内对甲方[</w:t>
      </w:r>
      <w:bookmarkStart w:id="119" w:name="ICT_MAIN_OBJECT"/>
      <w:bookmarkEnd w:id="119"/>
      <w:r>
        <w:rPr>
          <w:rFonts w:hint="eastAsia" w:hAnsi="宋体"/>
        </w:rPr>
        <w:t>南通市通州区市场监督管理局惠民工程（一期、二期、三期）运行维护项目]</w:t>
      </w:r>
      <w:r>
        <w:rPr>
          <w:rFonts w:hint="eastAsia" w:hAnsi="宋体"/>
          <w:color w:val="auto"/>
        </w:rPr>
        <w:t>系统中所涉及的硬、软件的保修维护及系统运行中的日常维护、各种技术性问题的解决。</w:t>
      </w:r>
      <w:r>
        <w:rPr>
          <w:rFonts w:hint="eastAsia" w:hAnsi="宋体"/>
          <w:color w:val="auto"/>
          <w:shd w:val="clear" w:color="auto" w:fill="FFFFFF"/>
        </w:rPr>
        <w:t>维保服务包括人工费、材料费、交通费、维修费、住宿费、税费等所有费用（后端服务器类除外），故障检查排除、例行巡检、线路故障检测、线路迁建等工作。</w:t>
      </w:r>
    </w:p>
    <w:p w14:paraId="070B4BF6">
      <w:pPr>
        <w:spacing w:line="360" w:lineRule="auto"/>
        <w:ind w:firstLine="480" w:firstLineChars="200"/>
        <w:rPr>
          <w:rFonts w:ascii="宋体" w:hAnsi="宋体" w:cs="宋体"/>
          <w:color w:val="auto"/>
          <w:sz w:val="24"/>
        </w:rPr>
      </w:pPr>
      <w:r>
        <w:rPr>
          <w:rFonts w:hint="eastAsia" w:ascii="宋体" w:hAnsi="宋体" w:cs="宋体"/>
          <w:color w:val="auto"/>
          <w:sz w:val="24"/>
        </w:rPr>
        <w:t>具体的服务内容见附件。</w:t>
      </w:r>
    </w:p>
    <w:p w14:paraId="5494C415">
      <w:pPr>
        <w:spacing w:line="560" w:lineRule="exact"/>
        <w:ind w:firstLine="480" w:firstLineChars="200"/>
        <w:rPr>
          <w:rFonts w:ascii="宋体" w:hAnsi="宋体" w:cs="宋体"/>
          <w:sz w:val="24"/>
        </w:rPr>
      </w:pPr>
      <w:r>
        <w:rPr>
          <w:rFonts w:hint="eastAsia" w:ascii="宋体" w:hAnsi="宋体" w:cs="宋体"/>
          <w:sz w:val="24"/>
        </w:rPr>
        <w:t>1.2服务期限：</w:t>
      </w:r>
      <w:r>
        <w:rPr>
          <w:rFonts w:hint="eastAsia" w:hAnsi="宋体"/>
          <w:b/>
          <w:bCs/>
          <w:sz w:val="24"/>
        </w:rPr>
        <w:t>一年，自本项目实际维保之日起计算。本项目在预算有保障的前提下，采取一次招标三年沿用，实行一年一考核一签订合同的办法。考核共计100分，90分以上为优秀。年度考核平均分在90分（含）以上的，可续签下一年合同，但续签最多不超过两次。合同价按第一年中标的合同价续签。若年度考核平均分在90分以下的，双方不再续签合同，甲方在下一年度重新组织招标。</w:t>
      </w:r>
    </w:p>
    <w:p w14:paraId="13CFE56D">
      <w:pPr>
        <w:spacing w:line="360" w:lineRule="auto"/>
        <w:ind w:firstLine="482" w:firstLineChars="200"/>
        <w:rPr>
          <w:rFonts w:ascii="宋体" w:hAnsi="宋体" w:cs="宋体"/>
          <w:b/>
          <w:sz w:val="24"/>
        </w:rPr>
      </w:pPr>
      <w:r>
        <w:rPr>
          <w:rFonts w:hint="eastAsia" w:ascii="宋体" w:hAnsi="宋体" w:cs="宋体"/>
          <w:b/>
          <w:sz w:val="24"/>
        </w:rPr>
        <w:t>第二条 服务方式</w:t>
      </w:r>
    </w:p>
    <w:p w14:paraId="79A6F28D">
      <w:pPr>
        <w:spacing w:line="360" w:lineRule="auto"/>
        <w:ind w:firstLine="480" w:firstLineChars="200"/>
        <w:rPr>
          <w:rFonts w:ascii="宋体" w:hAnsi="宋体" w:cs="宋体"/>
          <w:sz w:val="24"/>
        </w:rPr>
      </w:pPr>
      <w:r>
        <w:rPr>
          <w:rFonts w:hint="eastAsia" w:ascii="宋体" w:hAnsi="宋体" w:cs="宋体"/>
          <w:sz w:val="24"/>
        </w:rPr>
        <w:t>2.1乙方应按本合同约定的规范和标准向甲方客户提供维保服务。</w:t>
      </w:r>
    </w:p>
    <w:p w14:paraId="57E9D885">
      <w:pPr>
        <w:spacing w:line="360" w:lineRule="auto"/>
        <w:ind w:firstLine="480" w:firstLineChars="200"/>
        <w:rPr>
          <w:rFonts w:ascii="宋体" w:hAnsi="宋体" w:cs="宋体"/>
          <w:sz w:val="24"/>
        </w:rPr>
      </w:pPr>
      <w:r>
        <w:rPr>
          <w:rFonts w:hint="eastAsia" w:ascii="宋体" w:hAnsi="宋体" w:cs="宋体"/>
          <w:sz w:val="24"/>
        </w:rPr>
        <w:t>2.3乙方保证指派拥有丰富经验、熟悉网络系统及其设备和软硬件、具有独立处理相关技术问题能力的资深工程师为甲方提供本合同规定的服务。</w:t>
      </w:r>
    </w:p>
    <w:p w14:paraId="5AA11F94">
      <w:pPr>
        <w:spacing w:line="360" w:lineRule="auto"/>
        <w:ind w:firstLine="482" w:firstLineChars="200"/>
        <w:rPr>
          <w:rFonts w:ascii="宋体" w:hAnsi="宋体" w:cs="宋体"/>
          <w:b/>
          <w:sz w:val="24"/>
        </w:rPr>
      </w:pPr>
      <w:r>
        <w:rPr>
          <w:rFonts w:hint="eastAsia" w:ascii="宋体" w:hAnsi="宋体" w:cs="宋体"/>
          <w:b/>
          <w:sz w:val="24"/>
        </w:rPr>
        <w:t>第三条 合同金额与支付</w:t>
      </w:r>
    </w:p>
    <w:p w14:paraId="2BA74793">
      <w:pPr>
        <w:spacing w:line="360" w:lineRule="auto"/>
        <w:ind w:firstLine="480" w:firstLineChars="200"/>
        <w:rPr>
          <w:rFonts w:ascii="宋体" w:hAnsi="宋体" w:cs="宋体"/>
          <w:color w:val="auto"/>
          <w:sz w:val="24"/>
        </w:rPr>
      </w:pPr>
      <w:r>
        <w:rPr>
          <w:rFonts w:hint="eastAsia" w:ascii="宋体" w:hAnsi="宋体" w:cs="宋体"/>
          <w:color w:val="auto"/>
          <w:sz w:val="24"/>
        </w:rPr>
        <w:t>3.1 本合同项下的服务价款总金额：小写金额[     ]元；大写金额人民币[ 万元整]，开具</w:t>
      </w:r>
      <w:r>
        <w:rPr>
          <w:rFonts w:hint="eastAsia" w:ascii="宋体" w:hAnsi="宋体" w:cs="宋体"/>
          <w:color w:val="auto"/>
          <w:sz w:val="24"/>
          <w:lang w:eastAsia="zh-CN"/>
        </w:rPr>
        <w:t>正式</w:t>
      </w:r>
      <w:r>
        <w:rPr>
          <w:rFonts w:hint="eastAsia" w:ascii="宋体" w:hAnsi="宋体" w:cs="宋体"/>
          <w:color w:val="auto"/>
          <w:sz w:val="24"/>
        </w:rPr>
        <w:t>发票。</w:t>
      </w:r>
    </w:p>
    <w:p w14:paraId="7F99EB11">
      <w:pPr>
        <w:spacing w:line="360" w:lineRule="auto"/>
        <w:ind w:firstLine="480" w:firstLineChars="200"/>
        <w:rPr>
          <w:rFonts w:ascii="宋体" w:hAnsi="宋体" w:cs="宋体"/>
          <w:sz w:val="24"/>
        </w:rPr>
      </w:pPr>
      <w:r>
        <w:rPr>
          <w:rFonts w:hint="eastAsia" w:ascii="宋体" w:hAnsi="宋体" w:cs="宋体"/>
          <w:sz w:val="24"/>
        </w:rPr>
        <w:t>3.2合同服务期内，乙方向甲方提供约定的服务，其费用均包含在合同金额中，甲方不需另行承担费用。</w:t>
      </w:r>
    </w:p>
    <w:p w14:paraId="2E7DF703">
      <w:pPr>
        <w:spacing w:line="360" w:lineRule="auto"/>
        <w:ind w:firstLine="480" w:firstLineChars="200"/>
        <w:rPr>
          <w:rFonts w:ascii="宋体" w:hAnsi="宋体" w:cs="宋体"/>
          <w:sz w:val="24"/>
        </w:rPr>
      </w:pPr>
      <w:r>
        <w:rPr>
          <w:rFonts w:hint="eastAsia" w:ascii="宋体" w:hAnsi="宋体" w:cs="宋体"/>
          <w:sz w:val="24"/>
        </w:rPr>
        <w:t>3.3合同服务期内，若甲方需要乙方提供合同约定范围外的相关服务或变更服务时，由甲方承担费用，费用金额由甲乙双方根据增加或变更的服务内容协商约定，乙方给予适当的优惠。</w:t>
      </w:r>
    </w:p>
    <w:p w14:paraId="0B52101C">
      <w:pPr>
        <w:spacing w:line="360" w:lineRule="auto"/>
        <w:ind w:firstLine="480" w:firstLineChars="200"/>
        <w:rPr>
          <w:rFonts w:ascii="宋体" w:hAnsi="宋体" w:cs="宋体"/>
          <w:sz w:val="24"/>
        </w:rPr>
      </w:pPr>
      <w:r>
        <w:rPr>
          <w:rFonts w:hint="eastAsia" w:ascii="宋体" w:hAnsi="宋体" w:cs="宋体"/>
          <w:sz w:val="24"/>
        </w:rPr>
        <w:t>3.4甲方变更系统环境和现场时，至少应提前一个月通知乙方，因此给乙方增加的服务支出由甲方另行承担。因甲方变更系统环境或现场造成的产生的任何故障或损失由甲方自行承担，不在本合同金额范围内。</w:t>
      </w:r>
    </w:p>
    <w:p w14:paraId="43C2ABBF">
      <w:pPr>
        <w:spacing w:line="360" w:lineRule="auto"/>
        <w:ind w:firstLine="480" w:firstLineChars="200"/>
        <w:rPr>
          <w:rFonts w:ascii="宋体" w:hAnsi="宋体" w:cs="宋体"/>
          <w:sz w:val="24"/>
        </w:rPr>
      </w:pPr>
      <w:r>
        <w:rPr>
          <w:rFonts w:hint="eastAsia" w:ascii="宋体" w:hAnsi="宋体" w:cs="宋体"/>
          <w:sz w:val="24"/>
        </w:rPr>
        <w:t>3.5</w:t>
      </w:r>
      <w:bookmarkStart w:id="120" w:name="_Toc515247700"/>
      <w:bookmarkStart w:id="121" w:name="_Toc514489411"/>
      <w:r>
        <w:rPr>
          <w:rFonts w:hint="eastAsia" w:ascii="宋体" w:hAnsi="宋体" w:cs="宋体"/>
          <w:sz w:val="24"/>
        </w:rPr>
        <w:t>甲方按下列支付方式和时间分期支付乙方：</w:t>
      </w:r>
    </w:p>
    <w:p w14:paraId="457F4DCB">
      <w:pPr>
        <w:spacing w:line="360" w:lineRule="auto"/>
        <w:ind w:firstLine="482" w:firstLineChars="200"/>
        <w:rPr>
          <w:rFonts w:ascii="宋体" w:hAnsi="宋体" w:cs="宋体"/>
          <w:b/>
          <w:bCs/>
          <w:color w:val="auto"/>
          <w:sz w:val="24"/>
        </w:rPr>
      </w:pPr>
      <w:r>
        <w:rPr>
          <w:rFonts w:hint="eastAsia" w:hAnsi="宋体"/>
          <w:b/>
          <w:bCs/>
          <w:color w:val="auto"/>
          <w:sz w:val="24"/>
        </w:rPr>
        <w:t>按照每三个月一次考核合格后付款，每次支付合同总价25%（如有扣款当次扣除），第四次支付余款。支付前，供应商应出具税务部门开具的正规税务发票，否则采购人有权拒付且不承担任何违约责</w:t>
      </w:r>
      <w:r>
        <w:rPr>
          <w:rFonts w:hint="eastAsia" w:ascii="宋体" w:hAnsi="宋体" w:cs="宋体"/>
          <w:b/>
          <w:bCs/>
          <w:color w:val="auto"/>
          <w:sz w:val="24"/>
        </w:rPr>
        <w:t>任。</w:t>
      </w:r>
    </w:p>
    <w:p w14:paraId="251E194F">
      <w:pPr>
        <w:spacing w:line="360" w:lineRule="auto"/>
        <w:ind w:firstLine="480" w:firstLineChars="200"/>
        <w:rPr>
          <w:rFonts w:ascii="宋体" w:hAnsi="宋体" w:cs="宋体"/>
          <w:color w:val="auto"/>
          <w:sz w:val="24"/>
        </w:rPr>
      </w:pPr>
      <w:r>
        <w:rPr>
          <w:rFonts w:hint="eastAsia" w:ascii="宋体" w:hAnsi="宋体" w:cs="宋体"/>
          <w:color w:val="auto"/>
          <w:sz w:val="24"/>
        </w:rPr>
        <w:t>3.6本项目建立考核机制（考核细则见附件），考核总分100分，按照每三个月一次进行考核，每次考核得分90（含）分以上可按合同要求付款；90分以下至70分（含）按照考核得分和90分的分差进行扣款，每低一分扣款500元，低两分扣款1000元，以此类推；每三个月一次考核得分低于70分，不予支付当期款项，连续两次考核得分低于70分，甲方有权解除合同。</w:t>
      </w:r>
    </w:p>
    <w:p w14:paraId="5F520796">
      <w:pPr>
        <w:spacing w:line="360" w:lineRule="auto"/>
        <w:ind w:firstLine="480" w:firstLineChars="200"/>
        <w:rPr>
          <w:rFonts w:ascii="宋体" w:hAnsi="宋体" w:cs="宋体"/>
          <w:sz w:val="24"/>
        </w:rPr>
      </w:pPr>
      <w:r>
        <w:rPr>
          <w:rFonts w:hint="eastAsia" w:ascii="宋体" w:hAnsi="宋体" w:cs="宋体"/>
          <w:sz w:val="24"/>
        </w:rPr>
        <w:t>3.7本合同费用总额的所有支付由甲方以[南通市通州区市场监督管理局]（银行转账、电汇、支票等方式）付至乙方。甲乙双方银行账户信息和纳税人信息如下：</w:t>
      </w:r>
    </w:p>
    <w:p w14:paraId="6800CFF5">
      <w:pPr>
        <w:spacing w:line="360" w:lineRule="auto"/>
        <w:ind w:firstLine="480" w:firstLineChars="200"/>
        <w:rPr>
          <w:rFonts w:ascii="宋体" w:hAnsi="宋体" w:cs="宋体"/>
          <w:sz w:val="24"/>
        </w:rPr>
      </w:pPr>
      <w:r>
        <w:rPr>
          <w:rFonts w:hint="eastAsia" w:ascii="宋体" w:hAnsi="宋体" w:cs="宋体"/>
          <w:sz w:val="24"/>
        </w:rPr>
        <w:t>甲方信息如下：</w:t>
      </w:r>
    </w:p>
    <w:p w14:paraId="27DCF9B4">
      <w:pPr>
        <w:spacing w:line="360" w:lineRule="auto"/>
        <w:ind w:firstLine="480" w:firstLineChars="200"/>
        <w:rPr>
          <w:rFonts w:ascii="宋体" w:hAnsi="宋体" w:cs="宋体"/>
          <w:sz w:val="24"/>
        </w:rPr>
      </w:pPr>
      <w:r>
        <w:rPr>
          <w:rFonts w:hint="eastAsia" w:ascii="宋体" w:hAnsi="宋体" w:cs="宋体"/>
          <w:sz w:val="24"/>
        </w:rPr>
        <w:t>开户行：[ ]</w:t>
      </w:r>
    </w:p>
    <w:p w14:paraId="33F29F26">
      <w:pPr>
        <w:spacing w:line="360" w:lineRule="auto"/>
        <w:ind w:firstLine="480" w:firstLineChars="200"/>
        <w:rPr>
          <w:rFonts w:ascii="宋体" w:hAnsi="宋体" w:cs="宋体"/>
          <w:sz w:val="24"/>
        </w:rPr>
      </w:pPr>
      <w:r>
        <w:rPr>
          <w:rFonts w:hint="eastAsia" w:ascii="宋体" w:hAnsi="宋体" w:cs="宋体"/>
          <w:sz w:val="24"/>
        </w:rPr>
        <w:t>户名：[南通市通州区市场监督管理局]</w:t>
      </w:r>
    </w:p>
    <w:p w14:paraId="374460B3">
      <w:pPr>
        <w:spacing w:line="360" w:lineRule="auto"/>
        <w:ind w:firstLine="480" w:firstLineChars="200"/>
        <w:rPr>
          <w:rFonts w:ascii="宋体" w:hAnsi="宋体" w:cs="宋体"/>
          <w:sz w:val="24"/>
        </w:rPr>
      </w:pPr>
      <w:r>
        <w:rPr>
          <w:rFonts w:hint="eastAsia" w:ascii="宋体" w:hAnsi="宋体" w:cs="宋体"/>
          <w:sz w:val="24"/>
        </w:rPr>
        <w:t>账号：[  ]</w:t>
      </w:r>
    </w:p>
    <w:p w14:paraId="32FDAA2C">
      <w:pPr>
        <w:spacing w:line="360" w:lineRule="auto"/>
        <w:ind w:firstLine="480" w:firstLineChars="200"/>
        <w:rPr>
          <w:rFonts w:ascii="宋体" w:hAnsi="宋体" w:cs="宋体"/>
          <w:sz w:val="24"/>
        </w:rPr>
      </w:pPr>
      <w:r>
        <w:rPr>
          <w:rFonts w:hint="eastAsia" w:ascii="宋体" w:hAnsi="宋体" w:cs="宋体"/>
          <w:sz w:val="24"/>
        </w:rPr>
        <w:t>纳税人识别号/统一社会信用代码：[ ]</w:t>
      </w:r>
    </w:p>
    <w:p w14:paraId="1DB66D37">
      <w:pPr>
        <w:spacing w:line="360" w:lineRule="auto"/>
        <w:ind w:firstLine="480" w:firstLineChars="200"/>
        <w:rPr>
          <w:rFonts w:ascii="宋体" w:hAnsi="宋体" w:cs="宋体"/>
          <w:sz w:val="24"/>
        </w:rPr>
      </w:pPr>
      <w:r>
        <w:rPr>
          <w:rFonts w:hint="eastAsia" w:ascii="宋体" w:hAnsi="宋体" w:cs="宋体"/>
          <w:sz w:val="24"/>
        </w:rPr>
        <w:t>乙方信息如下：</w:t>
      </w:r>
    </w:p>
    <w:p w14:paraId="25CD9CFC">
      <w:pPr>
        <w:spacing w:line="360" w:lineRule="auto"/>
        <w:ind w:firstLine="480" w:firstLineChars="200"/>
        <w:rPr>
          <w:rFonts w:ascii="宋体" w:hAnsi="宋体" w:cs="宋体"/>
          <w:sz w:val="24"/>
        </w:rPr>
      </w:pPr>
      <w:r>
        <w:rPr>
          <w:rFonts w:hint="eastAsia" w:ascii="宋体" w:hAnsi="宋体" w:cs="宋体"/>
          <w:sz w:val="24"/>
        </w:rPr>
        <w:t>开户行：[         ]</w:t>
      </w:r>
    </w:p>
    <w:p w14:paraId="68C07456">
      <w:pPr>
        <w:spacing w:line="360" w:lineRule="auto"/>
        <w:ind w:firstLine="480" w:firstLineChars="200"/>
        <w:rPr>
          <w:rFonts w:ascii="宋体" w:hAnsi="宋体" w:cs="宋体"/>
          <w:sz w:val="24"/>
        </w:rPr>
      </w:pPr>
      <w:r>
        <w:rPr>
          <w:rFonts w:hint="eastAsia" w:ascii="宋体" w:hAnsi="宋体" w:cs="宋体"/>
          <w:sz w:val="24"/>
        </w:rPr>
        <w:t>户名：[                ]</w:t>
      </w:r>
    </w:p>
    <w:p w14:paraId="44814F33">
      <w:pPr>
        <w:spacing w:line="360" w:lineRule="auto"/>
        <w:ind w:firstLine="480" w:firstLineChars="200"/>
        <w:rPr>
          <w:rFonts w:ascii="宋体" w:hAnsi="宋体" w:cs="宋体"/>
          <w:sz w:val="24"/>
        </w:rPr>
      </w:pPr>
      <w:r>
        <w:rPr>
          <w:rFonts w:hint="eastAsia" w:ascii="宋体" w:hAnsi="宋体" w:cs="宋体"/>
          <w:sz w:val="24"/>
        </w:rPr>
        <w:t>账号：[               ]</w:t>
      </w:r>
    </w:p>
    <w:p w14:paraId="54C46416">
      <w:pPr>
        <w:spacing w:line="360" w:lineRule="auto"/>
        <w:ind w:firstLine="480" w:firstLineChars="200"/>
        <w:rPr>
          <w:rFonts w:ascii="宋体" w:hAnsi="宋体" w:cs="宋体"/>
          <w:sz w:val="24"/>
        </w:rPr>
      </w:pPr>
      <w:r>
        <w:rPr>
          <w:rFonts w:hint="eastAsia" w:ascii="宋体" w:hAnsi="宋体" w:cs="宋体"/>
          <w:sz w:val="24"/>
        </w:rPr>
        <w:t>纳税人识别号/统一社会信用代码：[             ]</w:t>
      </w:r>
    </w:p>
    <w:bookmarkEnd w:id="120"/>
    <w:bookmarkEnd w:id="121"/>
    <w:p w14:paraId="5DBEBCBA">
      <w:pPr>
        <w:spacing w:line="360" w:lineRule="auto"/>
        <w:ind w:firstLine="482" w:firstLineChars="200"/>
        <w:rPr>
          <w:rFonts w:ascii="宋体" w:hAnsi="宋体" w:cs="宋体"/>
          <w:b/>
          <w:sz w:val="24"/>
        </w:rPr>
      </w:pPr>
      <w:bookmarkStart w:id="122" w:name="_Toc514489412"/>
      <w:bookmarkStart w:id="123" w:name="_Toc515247701"/>
      <w:r>
        <w:rPr>
          <w:rFonts w:hint="eastAsia" w:ascii="宋体" w:hAnsi="宋体" w:cs="宋体"/>
          <w:b/>
          <w:sz w:val="24"/>
        </w:rPr>
        <w:t xml:space="preserve">第四条 </w:t>
      </w:r>
      <w:bookmarkEnd w:id="122"/>
      <w:bookmarkEnd w:id="123"/>
      <w:r>
        <w:rPr>
          <w:rFonts w:hint="eastAsia" w:ascii="宋体" w:hAnsi="宋体" w:cs="宋体"/>
          <w:b/>
          <w:sz w:val="24"/>
        </w:rPr>
        <w:t>双方权利义务</w:t>
      </w:r>
    </w:p>
    <w:p w14:paraId="47E3885D">
      <w:pPr>
        <w:spacing w:line="360" w:lineRule="auto"/>
        <w:ind w:firstLine="480" w:firstLineChars="200"/>
        <w:rPr>
          <w:rFonts w:ascii="宋体" w:hAnsi="宋体" w:cs="宋体"/>
          <w:sz w:val="24"/>
        </w:rPr>
      </w:pPr>
      <w:r>
        <w:rPr>
          <w:rFonts w:hint="eastAsia" w:ascii="宋体" w:hAnsi="宋体" w:cs="宋体"/>
          <w:sz w:val="24"/>
        </w:rPr>
        <w:t>4.1甲方权利义务</w:t>
      </w:r>
    </w:p>
    <w:p w14:paraId="50EC1642">
      <w:pPr>
        <w:spacing w:line="360" w:lineRule="auto"/>
        <w:ind w:firstLine="480" w:firstLineChars="200"/>
        <w:rPr>
          <w:rFonts w:ascii="宋体" w:hAnsi="宋体" w:cs="宋体"/>
          <w:sz w:val="24"/>
        </w:rPr>
      </w:pPr>
      <w:r>
        <w:rPr>
          <w:rFonts w:hint="eastAsia" w:ascii="宋体" w:hAnsi="宋体" w:cs="宋体"/>
          <w:sz w:val="24"/>
        </w:rPr>
        <w:t>（1）甲方有权要求乙方为本合同和附件中所列出的运维系统中的软硬件提供约定的运维服务。</w:t>
      </w:r>
    </w:p>
    <w:p w14:paraId="55CFD1EC">
      <w:pPr>
        <w:spacing w:line="360" w:lineRule="auto"/>
        <w:ind w:firstLine="480" w:firstLineChars="200"/>
        <w:rPr>
          <w:rFonts w:ascii="宋体" w:hAnsi="宋体" w:cs="宋体"/>
          <w:sz w:val="24"/>
        </w:rPr>
      </w:pPr>
      <w:r>
        <w:rPr>
          <w:rFonts w:hint="eastAsia" w:ascii="宋体" w:hAnsi="宋体" w:cs="宋体"/>
          <w:sz w:val="24"/>
        </w:rPr>
        <w:t>（2）甲方有权对乙方的服务内容和服务质量进行监督和考核，并根据考核的结果要求乙方改进。</w:t>
      </w:r>
    </w:p>
    <w:p w14:paraId="29E7A34A">
      <w:pPr>
        <w:spacing w:line="360" w:lineRule="auto"/>
        <w:ind w:firstLine="480" w:firstLineChars="200"/>
        <w:rPr>
          <w:rFonts w:ascii="宋体" w:hAnsi="宋体" w:cs="宋体"/>
          <w:sz w:val="24"/>
        </w:rPr>
      </w:pPr>
      <w:r>
        <w:rPr>
          <w:rFonts w:hint="eastAsia" w:ascii="宋体" w:hAnsi="宋体" w:cs="宋体"/>
          <w:sz w:val="24"/>
        </w:rPr>
        <w:t>（3）甲方发现乙方服务人员不遵守甲方工作场所规章制度并拒绝改正，或乙方服务人员技能不能满足技术服务的需要时，经过与乙方核实确认后，有权要求乙方替换合格的服务人员。</w:t>
      </w:r>
    </w:p>
    <w:p w14:paraId="3026E7CC">
      <w:pPr>
        <w:spacing w:line="360" w:lineRule="auto"/>
        <w:ind w:firstLine="480" w:firstLineChars="200"/>
        <w:rPr>
          <w:rFonts w:ascii="宋体" w:hAnsi="宋体" w:cs="宋体"/>
          <w:sz w:val="24"/>
        </w:rPr>
      </w:pPr>
      <w:r>
        <w:rPr>
          <w:rFonts w:hint="eastAsia" w:ascii="宋体" w:hAnsi="宋体" w:cs="宋体"/>
          <w:sz w:val="24"/>
        </w:rPr>
        <w:t>（4）在乙方依据合同的约定提供服务时，甲方应当给予必要的配合，包括但不限于服务现场准入、服务文档确认等。</w:t>
      </w:r>
    </w:p>
    <w:p w14:paraId="261A1BCA">
      <w:pPr>
        <w:spacing w:line="360" w:lineRule="auto"/>
        <w:ind w:firstLine="480" w:firstLineChars="200"/>
        <w:rPr>
          <w:rFonts w:ascii="宋体" w:hAnsi="宋体" w:cs="宋体"/>
          <w:sz w:val="24"/>
        </w:rPr>
      </w:pPr>
      <w:r>
        <w:rPr>
          <w:rFonts w:hint="eastAsia" w:ascii="宋体" w:hAnsi="宋体" w:cs="宋体"/>
          <w:sz w:val="24"/>
        </w:rPr>
        <w:t>（5）运维系统中的软硬件系统运行环境应当符合相关软硬件说明书及其他技术文件要求的机房环境，该环境要求包括但不限于供电、温度、湿度等多方面的要求，对于因甲方机房环境不符而造成的故障或损坏，不在乙方服务范围之内，由甲方对其损失承担责任。</w:t>
      </w:r>
    </w:p>
    <w:p w14:paraId="266BBC6B">
      <w:pPr>
        <w:spacing w:line="360" w:lineRule="auto"/>
        <w:ind w:firstLine="480" w:firstLineChars="200"/>
        <w:rPr>
          <w:rFonts w:ascii="宋体" w:hAnsi="宋体" w:cs="宋体"/>
          <w:sz w:val="24"/>
          <w:highlight w:val="yellow"/>
        </w:rPr>
      </w:pPr>
      <w:r>
        <w:rPr>
          <w:rFonts w:hint="eastAsia" w:ascii="宋体" w:hAnsi="宋体" w:cs="宋体"/>
          <w:sz w:val="24"/>
        </w:rPr>
        <w:t>（6）甲方不能自行调整或拆卸服务系统内的硬件，不自行更改系统软件设置。若确实需要进行改动，应及时通知乙方，并在管理档案中记录。因甲方自行调整或拆卸服务系统内的硬件或自行更改系统软件而造成的系统、软硬件故障或损坏的，由甲方自行承担费用及责任。如甲方需在系统中新装板卡、硬板等附属设备，则此附属物由甲方提供、安装，乙方对新增的设备系统故障无解决义务。</w:t>
      </w:r>
    </w:p>
    <w:p w14:paraId="27F59E50">
      <w:pPr>
        <w:spacing w:line="360" w:lineRule="auto"/>
        <w:ind w:firstLine="480" w:firstLineChars="200"/>
        <w:rPr>
          <w:rFonts w:ascii="宋体" w:hAnsi="宋体" w:cs="宋体"/>
          <w:sz w:val="24"/>
        </w:rPr>
      </w:pPr>
      <w:r>
        <w:rPr>
          <w:rFonts w:hint="eastAsia" w:ascii="宋体" w:hAnsi="宋体" w:cs="宋体"/>
          <w:sz w:val="24"/>
        </w:rPr>
        <w:t>（7）经甲、乙双方检测确认，如所服务标的物不能正常运行或发生损坏是由于甲方工作人员未按照操作说明书要求引起，乙方可以进行维护，但因此产生的费用以及造成的损失由甲方另行承担。</w:t>
      </w:r>
    </w:p>
    <w:p w14:paraId="737138E5">
      <w:pPr>
        <w:spacing w:line="360" w:lineRule="auto"/>
        <w:ind w:firstLine="480" w:firstLineChars="200"/>
        <w:rPr>
          <w:rFonts w:ascii="宋体" w:hAnsi="宋体" w:cs="宋体"/>
          <w:sz w:val="24"/>
        </w:rPr>
      </w:pPr>
      <w:r>
        <w:rPr>
          <w:rFonts w:hint="eastAsia" w:ascii="宋体" w:hAnsi="宋体" w:cs="宋体"/>
          <w:sz w:val="24"/>
        </w:rPr>
        <w:t>（8）甲方应当按照本合同的约定按时向乙方支付服务费。</w:t>
      </w:r>
    </w:p>
    <w:p w14:paraId="090E7CE6">
      <w:pPr>
        <w:spacing w:line="360" w:lineRule="auto"/>
        <w:ind w:firstLine="480" w:firstLineChars="200"/>
        <w:rPr>
          <w:rFonts w:ascii="宋体" w:hAnsi="宋体" w:cs="宋体"/>
          <w:sz w:val="24"/>
        </w:rPr>
      </w:pPr>
      <w:r>
        <w:rPr>
          <w:rFonts w:hint="eastAsia" w:ascii="宋体" w:hAnsi="宋体" w:cs="宋体"/>
          <w:sz w:val="24"/>
        </w:rPr>
        <w:t>（9）本合同有效期及合同期限结束后一年内，甲方不得以自己的名义或借用其他任何第三方的名义，聘请、雇佣或以其他方式使用乙方在职员工，或聘请、雇佣或以其他方式使用从乙方离职期限不满1年的、与乙方签署过保密合同或竞业禁止承诺的离职人员。</w:t>
      </w:r>
    </w:p>
    <w:p w14:paraId="204AA171">
      <w:pPr>
        <w:spacing w:line="360" w:lineRule="auto"/>
        <w:ind w:firstLine="480" w:firstLineChars="200"/>
        <w:rPr>
          <w:rFonts w:ascii="宋体" w:hAnsi="宋体" w:cs="宋体"/>
          <w:sz w:val="24"/>
        </w:rPr>
      </w:pPr>
      <w:r>
        <w:rPr>
          <w:rFonts w:hint="eastAsia" w:ascii="宋体" w:hAnsi="宋体" w:cs="宋体"/>
          <w:sz w:val="24"/>
        </w:rPr>
        <w:t>（10）系统及系统内所有数据归甲方所有。</w:t>
      </w:r>
    </w:p>
    <w:p w14:paraId="41E991DC">
      <w:pPr>
        <w:spacing w:line="360" w:lineRule="auto"/>
        <w:ind w:firstLine="480" w:firstLineChars="200"/>
        <w:rPr>
          <w:rFonts w:ascii="宋体" w:hAnsi="宋体" w:cs="宋体"/>
          <w:sz w:val="24"/>
        </w:rPr>
      </w:pPr>
      <w:r>
        <w:rPr>
          <w:rFonts w:hint="eastAsia" w:ascii="宋体" w:hAnsi="宋体" w:cs="宋体"/>
          <w:sz w:val="24"/>
        </w:rPr>
        <w:t>（11）甲方因上级业务调整需停用或终止使用该系统时，乙方应无条件配合，并保证系统和数据完好。维保费用结算至系统停用当月，合同终止。</w:t>
      </w:r>
    </w:p>
    <w:p w14:paraId="7D0A6223">
      <w:pPr>
        <w:spacing w:line="360" w:lineRule="auto"/>
        <w:ind w:firstLine="480" w:firstLineChars="200"/>
        <w:rPr>
          <w:rFonts w:ascii="宋体" w:hAnsi="宋体" w:cs="宋体"/>
          <w:sz w:val="24"/>
        </w:rPr>
      </w:pPr>
      <w:r>
        <w:rPr>
          <w:rFonts w:hint="eastAsia" w:ascii="宋体" w:hAnsi="宋体" w:cs="宋体"/>
          <w:sz w:val="24"/>
        </w:rPr>
        <w:t>4.2乙方权利义务</w:t>
      </w:r>
    </w:p>
    <w:p w14:paraId="5203B0BF">
      <w:pPr>
        <w:spacing w:line="360" w:lineRule="auto"/>
        <w:ind w:firstLine="480" w:firstLineChars="200"/>
        <w:rPr>
          <w:rFonts w:ascii="宋体" w:hAnsi="宋体" w:cs="宋体"/>
          <w:sz w:val="24"/>
        </w:rPr>
      </w:pPr>
      <w:r>
        <w:rPr>
          <w:rFonts w:hint="eastAsia" w:ascii="宋体" w:hAnsi="宋体" w:cs="宋体"/>
          <w:sz w:val="24"/>
        </w:rPr>
        <w:t>（1）乙方应当按照本合同及附件的约定向甲方提供合格的服务，保障甲方系统稳定运行。</w:t>
      </w:r>
    </w:p>
    <w:p w14:paraId="16DD3259">
      <w:pPr>
        <w:spacing w:line="360" w:lineRule="auto"/>
        <w:ind w:firstLine="480" w:firstLineChars="200"/>
        <w:rPr>
          <w:rFonts w:ascii="宋体" w:hAnsi="宋体" w:cs="宋体"/>
          <w:sz w:val="24"/>
        </w:rPr>
      </w:pPr>
      <w:r>
        <w:rPr>
          <w:rFonts w:hint="eastAsia" w:ascii="宋体" w:hAnsi="宋体" w:cs="宋体"/>
          <w:sz w:val="24"/>
        </w:rPr>
        <w:t>（2）乙方保证所安排的技术人员具备合同约定服务所必须的技能，获得相关认证，工作态度认真负责，在项目执行中能与甲方正常沟通。</w:t>
      </w:r>
    </w:p>
    <w:p w14:paraId="765233A9">
      <w:pPr>
        <w:spacing w:line="360" w:lineRule="auto"/>
        <w:ind w:firstLine="480" w:firstLineChars="200"/>
        <w:rPr>
          <w:rFonts w:ascii="宋体" w:hAnsi="宋体" w:cs="宋体"/>
          <w:sz w:val="24"/>
        </w:rPr>
      </w:pPr>
      <w:r>
        <w:rPr>
          <w:rFonts w:hint="eastAsia" w:ascii="宋体" w:hAnsi="宋体" w:cs="宋体"/>
          <w:sz w:val="24"/>
        </w:rPr>
        <w:t>（3）乙方定期对甲方系统进行预防性检查。</w:t>
      </w:r>
    </w:p>
    <w:p w14:paraId="66FE7E0D">
      <w:pPr>
        <w:spacing w:line="360" w:lineRule="auto"/>
        <w:ind w:firstLine="480" w:firstLineChars="200"/>
        <w:rPr>
          <w:rFonts w:ascii="宋体" w:hAnsi="宋体" w:cs="宋体"/>
          <w:sz w:val="24"/>
        </w:rPr>
      </w:pPr>
      <w:r>
        <w:rPr>
          <w:rFonts w:hint="eastAsia" w:ascii="宋体" w:hAnsi="宋体" w:cs="宋体"/>
          <w:sz w:val="24"/>
        </w:rPr>
        <w:t>（4）乙方对服务过程中的技术文档应妥善保存，对于服务过程中的重要事项如实记录，并经双方人员签字确认。</w:t>
      </w:r>
    </w:p>
    <w:p w14:paraId="7E8A2A0F">
      <w:pPr>
        <w:spacing w:line="360" w:lineRule="auto"/>
        <w:ind w:firstLine="480" w:firstLineChars="200"/>
        <w:rPr>
          <w:rFonts w:ascii="宋体" w:hAnsi="宋体" w:cs="宋体"/>
          <w:sz w:val="24"/>
        </w:rPr>
      </w:pPr>
      <w:r>
        <w:rPr>
          <w:rFonts w:hint="eastAsia" w:ascii="宋体" w:hAnsi="宋体" w:cs="宋体"/>
          <w:sz w:val="24"/>
        </w:rPr>
        <w:t>（5）乙方在服务中接受甲方的监督，与甲方通力合作，接纳甲方的合理建议，提高服务质量。</w:t>
      </w:r>
    </w:p>
    <w:p w14:paraId="290DEFBA">
      <w:pPr>
        <w:spacing w:line="360" w:lineRule="auto"/>
        <w:ind w:firstLine="480" w:firstLineChars="200"/>
        <w:rPr>
          <w:rFonts w:ascii="宋体" w:hAnsi="宋体" w:cs="宋体"/>
          <w:sz w:val="24"/>
        </w:rPr>
      </w:pPr>
      <w:r>
        <w:rPr>
          <w:rFonts w:hint="eastAsia" w:ascii="宋体" w:hAnsi="宋体" w:cs="宋体"/>
          <w:sz w:val="24"/>
        </w:rPr>
        <w:t>（6）乙方在服务过程中发现非本合同服务范围内的软硬件问题导致系统故障，应及时向甲方汇报，在获得甲方的许可和费用确认后另行处理。</w:t>
      </w:r>
    </w:p>
    <w:p w14:paraId="7615D24A">
      <w:pPr>
        <w:spacing w:line="360" w:lineRule="auto"/>
        <w:ind w:firstLine="480" w:firstLineChars="200"/>
        <w:rPr>
          <w:rFonts w:ascii="宋体" w:hAnsi="宋体" w:cs="宋体"/>
          <w:sz w:val="24"/>
        </w:rPr>
      </w:pPr>
      <w:r>
        <w:rPr>
          <w:rFonts w:hint="eastAsia" w:ascii="宋体" w:hAnsi="宋体" w:cs="宋体"/>
          <w:sz w:val="24"/>
        </w:rPr>
        <w:t>（7）乙方在服务期届满前[ 30 ]日提醒甲方及时续约，以使甲方获得连续的运维服务。根据乙方上一年度各项服务履行及考核情况，甲方有权续签下一年度服务合同。</w:t>
      </w:r>
    </w:p>
    <w:p w14:paraId="10FA4C2B">
      <w:pPr>
        <w:spacing w:line="360" w:lineRule="auto"/>
        <w:ind w:firstLine="482" w:firstLineChars="200"/>
        <w:rPr>
          <w:rFonts w:ascii="宋体" w:hAnsi="宋体" w:cs="宋体"/>
          <w:b/>
          <w:sz w:val="24"/>
        </w:rPr>
      </w:pPr>
      <w:r>
        <w:rPr>
          <w:rFonts w:hint="eastAsia" w:ascii="宋体" w:hAnsi="宋体" w:cs="宋体"/>
          <w:b/>
          <w:sz w:val="24"/>
        </w:rPr>
        <w:t>第五条 知识产权</w:t>
      </w:r>
    </w:p>
    <w:p w14:paraId="1560BF1B">
      <w:pPr>
        <w:spacing w:line="360" w:lineRule="auto"/>
        <w:ind w:firstLine="480" w:firstLineChars="200"/>
        <w:rPr>
          <w:rFonts w:ascii="宋体" w:hAnsi="宋体" w:cs="宋体"/>
          <w:sz w:val="24"/>
        </w:rPr>
      </w:pPr>
      <w:r>
        <w:rPr>
          <w:rFonts w:hint="eastAsia" w:ascii="宋体" w:hAnsi="宋体" w:cs="宋体"/>
          <w:sz w:val="24"/>
        </w:rPr>
        <w:t>5.1乙方保证在项目服务过程中，不存在侵犯第三方专利权、商标权、著作权等知识产权的行为，在涉及到第三方知识产权使用时，乙方通过转让获得了所有权或者获得了所有权人或其他权利人的合法授权。</w:t>
      </w:r>
    </w:p>
    <w:p w14:paraId="23266A93">
      <w:pPr>
        <w:spacing w:line="360" w:lineRule="auto"/>
        <w:ind w:firstLine="480" w:firstLineChars="200"/>
        <w:rPr>
          <w:rFonts w:ascii="宋体" w:hAnsi="宋体" w:cs="宋体"/>
          <w:sz w:val="24"/>
        </w:rPr>
      </w:pPr>
      <w:r>
        <w:rPr>
          <w:rFonts w:hint="eastAsia" w:ascii="宋体" w:hAnsi="宋体" w:cs="宋体"/>
          <w:sz w:val="24"/>
        </w:rPr>
        <w:t>甲方保证项目服务过程中提交乙方信息、资料的真实性、完整性。因甲方提供的信息资料有误或不完整造成的系统、软硬件故障，由甲方自行承担相关费用及责任。甲方保证项目服务过程中提交乙方信息、资料不侵犯任何人的任何权利。因甲方提交乙方信息、资料违法、违规或构成侵犯他人权利而引起行政处罚、索赔或诉讼，则甲方应承担全部责任，并赔偿乙方由此遭受的一切损失；如发生乙方先行赔付之情形，甲方应在收到乙方书面通知后[十]日内，将乙方赔付的等额款项付至乙方，并承担因此造成的乙方的其他一切损失。</w:t>
      </w:r>
    </w:p>
    <w:p w14:paraId="4CC13A6E">
      <w:pPr>
        <w:spacing w:line="360" w:lineRule="auto"/>
        <w:ind w:firstLine="480" w:firstLineChars="200"/>
        <w:rPr>
          <w:rFonts w:ascii="宋体" w:hAnsi="宋体" w:cs="宋体"/>
          <w:sz w:val="24"/>
        </w:rPr>
      </w:pPr>
      <w:r>
        <w:rPr>
          <w:rFonts w:hint="eastAsia" w:ascii="宋体" w:hAnsi="宋体" w:cs="宋体"/>
          <w:sz w:val="24"/>
        </w:rPr>
        <w:t>5.2在服务过程中接受技术资料的一方承认提供方对该资料的知识产权或第三方的知识产权，不得非法披露、侵占、损害提供方或第三方的知识产权。</w:t>
      </w:r>
    </w:p>
    <w:p w14:paraId="62D7DAF7">
      <w:pPr>
        <w:spacing w:line="360" w:lineRule="auto"/>
        <w:ind w:firstLine="480" w:firstLineChars="200"/>
        <w:rPr>
          <w:rFonts w:ascii="宋体" w:hAnsi="宋体" w:cs="宋体"/>
          <w:sz w:val="24"/>
        </w:rPr>
      </w:pPr>
      <w:r>
        <w:rPr>
          <w:rFonts w:hint="eastAsia" w:ascii="宋体" w:hAnsi="宋体" w:cs="宋体"/>
          <w:sz w:val="24"/>
        </w:rPr>
        <w:t>5.3在服务过程中产生的新知识产权，归双方共有，任何一方均可依据本合同获得非独占的、永久的使用权，有权在此知识产权基础上进行二次开发。</w:t>
      </w:r>
    </w:p>
    <w:p w14:paraId="35C5ECE6">
      <w:pPr>
        <w:spacing w:line="360" w:lineRule="auto"/>
        <w:ind w:firstLine="482" w:firstLineChars="200"/>
        <w:rPr>
          <w:rFonts w:ascii="宋体" w:hAnsi="宋体" w:cs="宋体"/>
          <w:b/>
          <w:sz w:val="24"/>
        </w:rPr>
      </w:pPr>
      <w:r>
        <w:rPr>
          <w:rFonts w:hint="eastAsia" w:ascii="宋体" w:hAnsi="宋体" w:cs="宋体"/>
          <w:b/>
          <w:sz w:val="24"/>
        </w:rPr>
        <w:t>第六条 保密条款</w:t>
      </w:r>
    </w:p>
    <w:p w14:paraId="5BC174DD">
      <w:pPr>
        <w:spacing w:line="360" w:lineRule="auto"/>
        <w:ind w:firstLine="480" w:firstLineChars="200"/>
        <w:rPr>
          <w:rFonts w:ascii="宋体" w:hAnsi="宋体" w:cs="宋体"/>
          <w:sz w:val="24"/>
        </w:rPr>
      </w:pPr>
      <w:r>
        <w:rPr>
          <w:rFonts w:hint="eastAsia" w:ascii="宋体" w:hAnsi="宋体" w:cs="宋体"/>
          <w:sz w:val="24"/>
        </w:rPr>
        <w:t>6.1乙方有义务对保密资料采取不低于对其自身商业秘密所采取的保护手段予以保护。甲方仅可为本合同及具体合同的目的向其确有知悉必要的雇员披露对方提供的保密资料，但同时须指示其雇员遵守本合同约定的保密和不披露义务。</w:t>
      </w:r>
    </w:p>
    <w:p w14:paraId="72D4AB2E">
      <w:pPr>
        <w:spacing w:line="360" w:lineRule="auto"/>
        <w:ind w:firstLine="480" w:firstLineChars="200"/>
        <w:rPr>
          <w:rFonts w:ascii="宋体" w:hAnsi="宋体" w:cs="宋体"/>
          <w:sz w:val="24"/>
        </w:rPr>
      </w:pPr>
      <w:r>
        <w:rPr>
          <w:rFonts w:hint="eastAsia" w:ascii="宋体" w:hAnsi="宋体" w:cs="宋体"/>
          <w:sz w:val="24"/>
        </w:rPr>
        <w:t>6.2乙方应当建立保密机制、制定保密制度、采取保密措施，对保密资料予以严格保密。</w:t>
      </w:r>
    </w:p>
    <w:p w14:paraId="38F30FF4">
      <w:pPr>
        <w:spacing w:line="360" w:lineRule="auto"/>
        <w:ind w:firstLine="480" w:firstLineChars="200"/>
        <w:rPr>
          <w:rFonts w:ascii="宋体" w:hAnsi="宋体" w:cs="宋体"/>
          <w:sz w:val="24"/>
        </w:rPr>
      </w:pPr>
      <w:r>
        <w:rPr>
          <w:rFonts w:hint="eastAsia" w:ascii="宋体" w:hAnsi="宋体" w:cs="宋体"/>
          <w:sz w:val="24"/>
        </w:rPr>
        <w:t>6.3乙方仅得为执行本合同下义务的目的对保密资料进行复制，不得以任何方式（包括但不限于硬盘、图纸、采样、照片、光盘）留存保密资料（包括但不限于素材、半成品、成品）。乙方应当在本合同解除或终止后[10]日内将相应保密资料原件退还甲方，并销毁复印件。</w:t>
      </w:r>
    </w:p>
    <w:p w14:paraId="02CB33C2">
      <w:pPr>
        <w:spacing w:line="360" w:lineRule="auto"/>
        <w:ind w:firstLine="480" w:firstLineChars="200"/>
        <w:rPr>
          <w:rFonts w:ascii="宋体" w:hAnsi="宋体" w:cs="宋体"/>
          <w:sz w:val="24"/>
        </w:rPr>
      </w:pPr>
      <w:r>
        <w:rPr>
          <w:rFonts w:hint="eastAsia" w:ascii="宋体" w:hAnsi="宋体" w:cs="宋体"/>
          <w:sz w:val="24"/>
        </w:rPr>
        <w:t>6.4如乙方违反本合同关于保密的约定，乙方应赔偿给甲方造成的一切损失。</w:t>
      </w:r>
    </w:p>
    <w:p w14:paraId="46DB3F05">
      <w:pPr>
        <w:spacing w:line="360" w:lineRule="auto"/>
        <w:ind w:firstLine="480" w:firstLineChars="200"/>
        <w:rPr>
          <w:rFonts w:ascii="宋体" w:hAnsi="宋体" w:cs="宋体"/>
          <w:sz w:val="24"/>
        </w:rPr>
      </w:pPr>
      <w:r>
        <w:rPr>
          <w:rFonts w:hint="eastAsia" w:ascii="宋体" w:hAnsi="宋体" w:cs="宋体"/>
          <w:sz w:val="24"/>
        </w:rPr>
        <w:t>6.5出现下述情况时，本条对保密资料的限制不适用。当保密资料：</w:t>
      </w:r>
    </w:p>
    <w:p w14:paraId="3DBD3307">
      <w:pPr>
        <w:spacing w:line="360" w:lineRule="auto"/>
        <w:ind w:firstLine="480" w:firstLineChars="200"/>
        <w:rPr>
          <w:rFonts w:ascii="宋体" w:hAnsi="宋体" w:cs="宋体"/>
          <w:sz w:val="24"/>
        </w:rPr>
      </w:pPr>
      <w:r>
        <w:rPr>
          <w:rFonts w:hint="eastAsia" w:ascii="宋体" w:hAnsi="宋体" w:cs="宋体"/>
          <w:sz w:val="24"/>
        </w:rPr>
        <w:t>（1）并非接受方的过错而已经进入公有领域的。</w:t>
      </w:r>
    </w:p>
    <w:p w14:paraId="66918D31">
      <w:pPr>
        <w:spacing w:line="360" w:lineRule="auto"/>
        <w:ind w:firstLine="480" w:firstLineChars="200"/>
        <w:rPr>
          <w:rFonts w:ascii="宋体" w:hAnsi="宋体" w:cs="宋体"/>
          <w:sz w:val="24"/>
        </w:rPr>
      </w:pPr>
      <w:r>
        <w:rPr>
          <w:rFonts w:hint="eastAsia" w:ascii="宋体" w:hAnsi="宋体" w:cs="宋体"/>
          <w:sz w:val="24"/>
        </w:rPr>
        <w:t>（2）已通过该方的有关记录证明是由接受方独立开发的。</w:t>
      </w:r>
    </w:p>
    <w:p w14:paraId="3680D74F">
      <w:pPr>
        <w:spacing w:line="360" w:lineRule="auto"/>
        <w:ind w:firstLine="480" w:firstLineChars="200"/>
        <w:rPr>
          <w:rFonts w:ascii="宋体" w:hAnsi="宋体" w:cs="宋体"/>
          <w:sz w:val="24"/>
        </w:rPr>
      </w:pPr>
      <w:r>
        <w:rPr>
          <w:rFonts w:hint="eastAsia" w:ascii="宋体" w:hAnsi="宋体" w:cs="宋体"/>
          <w:sz w:val="24"/>
        </w:rPr>
        <w:t>（3）由接受方从没有违反对披露方的保密义务的人合法取得的。</w:t>
      </w:r>
    </w:p>
    <w:p w14:paraId="776151C0">
      <w:pPr>
        <w:spacing w:line="360" w:lineRule="auto"/>
        <w:ind w:firstLine="480" w:firstLineChars="200"/>
        <w:rPr>
          <w:rFonts w:ascii="宋体" w:hAnsi="宋体" w:cs="宋体"/>
          <w:sz w:val="24"/>
        </w:rPr>
      </w:pPr>
      <w:r>
        <w:rPr>
          <w:rFonts w:hint="eastAsia" w:ascii="宋体" w:hAnsi="宋体" w:cs="宋体"/>
          <w:sz w:val="24"/>
        </w:rPr>
        <w:t>（4）法律要求接受方披露的，但接受方应在合理的时间提前通知披露方，使其得以采取其认为必要的保护措施。</w:t>
      </w:r>
    </w:p>
    <w:p w14:paraId="002AFA20">
      <w:pPr>
        <w:spacing w:line="360" w:lineRule="auto"/>
        <w:ind w:firstLine="482" w:firstLineChars="200"/>
        <w:rPr>
          <w:rFonts w:ascii="宋体" w:hAnsi="宋体" w:cs="宋体"/>
          <w:b/>
          <w:sz w:val="24"/>
        </w:rPr>
      </w:pPr>
      <w:r>
        <w:rPr>
          <w:rFonts w:hint="eastAsia" w:ascii="宋体" w:hAnsi="宋体" w:cs="宋体"/>
          <w:b/>
          <w:sz w:val="24"/>
        </w:rPr>
        <w:t>第七条 违约责任</w:t>
      </w:r>
    </w:p>
    <w:p w14:paraId="48AA85F4">
      <w:pPr>
        <w:spacing w:line="360" w:lineRule="auto"/>
        <w:ind w:firstLine="480" w:firstLineChars="200"/>
        <w:rPr>
          <w:rFonts w:ascii="宋体" w:hAnsi="宋体" w:cs="宋体"/>
          <w:sz w:val="24"/>
        </w:rPr>
      </w:pPr>
      <w:r>
        <w:rPr>
          <w:rFonts w:hint="eastAsia" w:ascii="宋体" w:hAnsi="宋体" w:cs="宋体"/>
          <w:sz w:val="24"/>
        </w:rPr>
        <w:t>7.1甲乙双方任何一方不履行合同义务或者履行合同义务不符合合同约定的，均视为违约。违约方应当承担继续履行、采取补救措施或者赔偿损失等违约责任。</w:t>
      </w:r>
    </w:p>
    <w:p w14:paraId="67044F7E">
      <w:pPr>
        <w:spacing w:line="360" w:lineRule="auto"/>
        <w:ind w:firstLine="480" w:firstLineChars="200"/>
        <w:rPr>
          <w:rFonts w:ascii="宋体" w:hAnsi="宋体" w:cs="宋体"/>
          <w:sz w:val="24"/>
        </w:rPr>
      </w:pPr>
      <w:r>
        <w:rPr>
          <w:rFonts w:hint="eastAsia" w:ascii="宋体" w:hAnsi="宋体" w:cs="宋体"/>
          <w:sz w:val="24"/>
        </w:rPr>
        <w:t>7.2 除甲方原因或不可抗力影响外，乙方未能按照合同约定的条件提供服务或迟延提供服务，每迟延一天乙方须向甲方支付迟延服务部分价款的千分之一作为违约金，最高不超过合同总金额的百分之五。一旦达到百分之五时，甲方有权解除合同。</w:t>
      </w:r>
    </w:p>
    <w:p w14:paraId="279BE569">
      <w:pPr>
        <w:spacing w:line="360" w:lineRule="auto"/>
        <w:ind w:firstLine="480" w:firstLineChars="200"/>
        <w:rPr>
          <w:rFonts w:ascii="宋体" w:hAnsi="宋体" w:cs="宋体"/>
          <w:sz w:val="24"/>
        </w:rPr>
      </w:pPr>
      <w:r>
        <w:rPr>
          <w:rFonts w:hint="eastAsia" w:ascii="宋体" w:hAnsi="宋体" w:cs="宋体"/>
          <w:sz w:val="24"/>
        </w:rPr>
        <w:t>7.3除乙方原因或不可抗力影响外，甲方未能按照合同约定支付合同金额的，每迟延一天，甲方须向乙方支付迟延付款部分金额的千分之一作为违约金，一旦达到合同金额的百分之五，乙方有权解除合同。</w:t>
      </w:r>
    </w:p>
    <w:p w14:paraId="277FD592">
      <w:pPr>
        <w:spacing w:line="360" w:lineRule="auto"/>
        <w:ind w:firstLine="480" w:firstLineChars="200"/>
        <w:rPr>
          <w:rFonts w:ascii="宋体" w:hAnsi="宋体" w:cs="宋体"/>
          <w:sz w:val="24"/>
        </w:rPr>
      </w:pPr>
      <w:r>
        <w:rPr>
          <w:rFonts w:hint="eastAsia" w:ascii="宋体" w:hAnsi="宋体" w:cs="宋体"/>
          <w:sz w:val="24"/>
        </w:rPr>
        <w:t>7.4如乙方违反《技术服务规范书》的操作规定造成甲方系统信息数据出现问题，则乙方应承担甲方的直接经济损失。</w:t>
      </w:r>
    </w:p>
    <w:p w14:paraId="2131A060">
      <w:pPr>
        <w:spacing w:line="360" w:lineRule="auto"/>
        <w:ind w:firstLine="482" w:firstLineChars="200"/>
        <w:rPr>
          <w:rFonts w:ascii="宋体" w:hAnsi="宋体" w:cs="宋体"/>
          <w:b/>
          <w:sz w:val="24"/>
        </w:rPr>
      </w:pPr>
      <w:r>
        <w:rPr>
          <w:rFonts w:hint="eastAsia" w:ascii="宋体" w:hAnsi="宋体" w:cs="宋体"/>
          <w:b/>
          <w:sz w:val="24"/>
        </w:rPr>
        <w:t>第八条 不可抗力</w:t>
      </w:r>
    </w:p>
    <w:p w14:paraId="581190DC">
      <w:pPr>
        <w:spacing w:line="360" w:lineRule="auto"/>
        <w:ind w:firstLine="480" w:firstLineChars="200"/>
        <w:rPr>
          <w:rFonts w:ascii="宋体" w:hAnsi="宋体" w:cs="宋体"/>
          <w:sz w:val="24"/>
        </w:rPr>
      </w:pPr>
      <w:r>
        <w:rPr>
          <w:rFonts w:hint="eastAsia" w:ascii="宋体" w:hAnsi="宋体" w:cs="宋体"/>
          <w:sz w:val="24"/>
        </w:rPr>
        <w:t>8.1任何一方面临不可抗力事件，包括但不限于火灾、水灾、地震、台风、自然灾害等不可预见、不可避免且无法控制的情况，致使合同履行迟延或履行不能，受不可抗力影响的一方应以电报或传真的方式在[3]日内将该情况及时通知另一方，本合同约定履约期限应自动顺延。并于发生不可抗力事件后的[15]个工作日内向对方提供有关部门出具的发生不可抗力及其持续期的证明。</w:t>
      </w:r>
    </w:p>
    <w:p w14:paraId="1110A59A">
      <w:pPr>
        <w:spacing w:line="360" w:lineRule="auto"/>
        <w:ind w:firstLine="480" w:firstLineChars="200"/>
        <w:rPr>
          <w:rFonts w:ascii="宋体" w:hAnsi="宋体" w:cs="宋体"/>
          <w:sz w:val="24"/>
        </w:rPr>
      </w:pPr>
      <w:r>
        <w:rPr>
          <w:rFonts w:hint="eastAsia" w:ascii="宋体" w:hAnsi="宋体" w:cs="宋体"/>
          <w:sz w:val="24"/>
        </w:rPr>
        <w:t>8.2因不可抗力不能履行合同的，根据不可抗力的影响，部分或全部免除责任，但法律另有规定的除外。因延迟履行合同而在延迟期发生的不可抗力，不能免除责任。</w:t>
      </w:r>
    </w:p>
    <w:p w14:paraId="3556B113">
      <w:pPr>
        <w:spacing w:line="360" w:lineRule="auto"/>
        <w:ind w:firstLine="480" w:firstLineChars="200"/>
        <w:rPr>
          <w:rFonts w:ascii="宋体" w:hAnsi="宋体" w:cs="宋体"/>
          <w:sz w:val="24"/>
        </w:rPr>
      </w:pPr>
      <w:r>
        <w:rPr>
          <w:rFonts w:hint="eastAsia" w:ascii="宋体" w:hAnsi="宋体" w:cs="宋体"/>
          <w:sz w:val="24"/>
        </w:rPr>
        <w:t>8.3 如前述不可抗力致使合同履行迟延或履行不能的情况持续达[90]日或以上，且双方未能就合同变更达成一致意见的，任何一方可单方终止合同。因不可抗力原因导致一方未能履约造成对方损失的，不承担违约及损害赔偿责任。</w:t>
      </w:r>
    </w:p>
    <w:p w14:paraId="66EBAB0E">
      <w:pPr>
        <w:spacing w:line="360" w:lineRule="auto"/>
        <w:ind w:firstLine="480" w:firstLineChars="200"/>
        <w:rPr>
          <w:rFonts w:ascii="宋体" w:hAnsi="宋体" w:cs="宋体"/>
          <w:sz w:val="24"/>
        </w:rPr>
      </w:pPr>
      <w:r>
        <w:rPr>
          <w:rFonts w:hint="eastAsia" w:ascii="宋体" w:hAnsi="宋体" w:cs="宋体"/>
          <w:sz w:val="24"/>
        </w:rPr>
        <w:t>8.4对于因不可抗力事件，包括但不限于火灾、水灾、地震、台风、自然灾害、机房断电等不可预见、不可避免且无法控制的情况，致使本合同所约定的设备系统损害，乙方不承担运维责任。</w:t>
      </w:r>
    </w:p>
    <w:p w14:paraId="3B7FAF22">
      <w:pPr>
        <w:spacing w:line="360" w:lineRule="auto"/>
        <w:ind w:firstLine="482" w:firstLineChars="200"/>
        <w:rPr>
          <w:rFonts w:ascii="宋体" w:hAnsi="宋体" w:cs="宋体"/>
          <w:b/>
          <w:sz w:val="24"/>
        </w:rPr>
      </w:pPr>
      <w:r>
        <w:rPr>
          <w:rFonts w:hint="eastAsia" w:ascii="宋体" w:hAnsi="宋体" w:cs="宋体"/>
          <w:b/>
          <w:sz w:val="24"/>
        </w:rPr>
        <w:t>第九条 争议解决</w:t>
      </w:r>
    </w:p>
    <w:p w14:paraId="1AED1DF4">
      <w:pPr>
        <w:spacing w:line="360" w:lineRule="auto"/>
        <w:ind w:firstLine="480" w:firstLineChars="200"/>
        <w:rPr>
          <w:rFonts w:ascii="宋体" w:hAnsi="宋体" w:cs="宋体"/>
          <w:sz w:val="24"/>
        </w:rPr>
      </w:pPr>
      <w:r>
        <w:rPr>
          <w:rFonts w:hint="eastAsia" w:ascii="宋体" w:hAnsi="宋体" w:cs="宋体"/>
          <w:sz w:val="24"/>
        </w:rPr>
        <w:t>9.1本合同适用中华人民共和国法律。</w:t>
      </w:r>
    </w:p>
    <w:p w14:paraId="4D7FD8FF">
      <w:pPr>
        <w:spacing w:line="360" w:lineRule="auto"/>
        <w:ind w:firstLine="480" w:firstLineChars="200"/>
        <w:rPr>
          <w:rFonts w:ascii="宋体" w:hAnsi="宋体" w:cs="宋体"/>
          <w:sz w:val="24"/>
        </w:rPr>
      </w:pPr>
      <w:r>
        <w:rPr>
          <w:rFonts w:hint="eastAsia" w:ascii="宋体" w:hAnsi="宋体" w:cs="宋体"/>
          <w:sz w:val="24"/>
        </w:rPr>
        <w:t>9.2所有因本合同引起的或与本合同有关的任何争议将通过双方友好协商解决。如果双方不能通过友好协商解决争议，则任何一方均可向所在地有管辖权的人民法院起诉。</w:t>
      </w:r>
    </w:p>
    <w:p w14:paraId="5B4909C5">
      <w:pPr>
        <w:spacing w:line="360" w:lineRule="auto"/>
        <w:ind w:firstLine="480" w:firstLineChars="200"/>
        <w:rPr>
          <w:rFonts w:ascii="宋体" w:hAnsi="宋体" w:cs="宋体"/>
          <w:sz w:val="24"/>
        </w:rPr>
      </w:pPr>
      <w:r>
        <w:rPr>
          <w:rFonts w:hint="eastAsia" w:ascii="宋体" w:hAnsi="宋体" w:cs="宋体"/>
          <w:sz w:val="24"/>
        </w:rPr>
        <w:t>9.3诉讼进行过程中，双方将继续履行本合同未涉诉讼的其它部分。</w:t>
      </w:r>
    </w:p>
    <w:p w14:paraId="7B6761EA">
      <w:pPr>
        <w:spacing w:line="360" w:lineRule="auto"/>
        <w:ind w:firstLine="482" w:firstLineChars="200"/>
        <w:rPr>
          <w:rFonts w:ascii="宋体" w:hAnsi="宋体" w:cs="宋体"/>
          <w:b/>
          <w:sz w:val="24"/>
        </w:rPr>
      </w:pPr>
      <w:r>
        <w:rPr>
          <w:rFonts w:hint="eastAsia" w:ascii="宋体" w:hAnsi="宋体" w:cs="宋体"/>
          <w:b/>
          <w:sz w:val="24"/>
        </w:rPr>
        <w:t>第十条 合同生效、变更、转让及其他事项</w:t>
      </w:r>
    </w:p>
    <w:p w14:paraId="331E7C55">
      <w:pPr>
        <w:spacing w:line="360" w:lineRule="auto"/>
        <w:ind w:firstLine="480" w:firstLineChars="200"/>
        <w:rPr>
          <w:rFonts w:ascii="宋体" w:hAnsi="宋体" w:cs="宋体"/>
          <w:sz w:val="24"/>
        </w:rPr>
      </w:pPr>
      <w:r>
        <w:rPr>
          <w:rFonts w:hint="eastAsia" w:ascii="宋体" w:hAnsi="宋体" w:cs="宋体"/>
          <w:sz w:val="24"/>
        </w:rPr>
        <w:t>10.1合同书一式[四]份，双方各执[两]份，自双方法定代表人或授权代表签字并加盖双方印章之日起生效。</w:t>
      </w:r>
    </w:p>
    <w:p w14:paraId="10CD5888">
      <w:pPr>
        <w:spacing w:line="360" w:lineRule="auto"/>
        <w:ind w:firstLine="480" w:firstLineChars="200"/>
        <w:rPr>
          <w:rFonts w:ascii="宋体" w:hAnsi="宋体" w:cs="宋体"/>
          <w:sz w:val="24"/>
        </w:rPr>
      </w:pPr>
      <w:r>
        <w:rPr>
          <w:rFonts w:hint="eastAsia" w:ascii="宋体" w:hAnsi="宋体" w:cs="宋体"/>
          <w:sz w:val="24"/>
        </w:rPr>
        <w:t>10.2本合同的任何变更、修改、增补，需经双方签署书面补充合同方为有效。根据变更要求的范围和复杂程度，甲、乙双方可对实现变更要求所发生的费用进行磋商。经双方授权代表对变更事项进行确认后，将签署相应的《补充合同》或《更改备忘录》。经双方授权代表签字并双方盖章后的《补充合同》或《更改备忘录》将作为本合同的有效附件和执行变更的依据。</w:t>
      </w:r>
    </w:p>
    <w:p w14:paraId="7FDD5624">
      <w:pPr>
        <w:spacing w:line="360" w:lineRule="auto"/>
        <w:ind w:firstLine="480" w:firstLineChars="200"/>
        <w:rPr>
          <w:rFonts w:ascii="宋体" w:hAnsi="宋体" w:cs="宋体"/>
          <w:sz w:val="24"/>
        </w:rPr>
      </w:pPr>
      <w:r>
        <w:rPr>
          <w:rFonts w:hint="eastAsia" w:ascii="宋体" w:hAnsi="宋体" w:cs="宋体"/>
          <w:sz w:val="24"/>
        </w:rPr>
        <w:t>10.3合同任何一方未得到对方同意前，不得向第三方转让或转移本合同的权利、义务。</w:t>
      </w:r>
    </w:p>
    <w:p w14:paraId="26F06DEB">
      <w:pPr>
        <w:spacing w:line="360" w:lineRule="auto"/>
        <w:ind w:firstLine="480" w:firstLineChars="200"/>
        <w:rPr>
          <w:rFonts w:ascii="宋体" w:hAnsi="宋体" w:cs="宋体"/>
          <w:sz w:val="24"/>
        </w:rPr>
      </w:pPr>
      <w:r>
        <w:rPr>
          <w:rFonts w:hint="eastAsia" w:ascii="宋体" w:hAnsi="宋体" w:cs="宋体"/>
          <w:sz w:val="24"/>
        </w:rPr>
        <w:t>10.4本合同的任何条款如经司法机关判定无效或不可执行，不应影响本合同其他条款或规定的效力或可执行性。</w:t>
      </w:r>
    </w:p>
    <w:p w14:paraId="6D6B1B17">
      <w:pPr>
        <w:spacing w:line="360" w:lineRule="auto"/>
        <w:ind w:firstLine="480" w:firstLineChars="200"/>
        <w:rPr>
          <w:rFonts w:ascii="宋体" w:hAnsi="宋体" w:cs="宋体"/>
          <w:sz w:val="24"/>
        </w:rPr>
      </w:pPr>
      <w:r>
        <w:rPr>
          <w:rFonts w:hint="eastAsia" w:ascii="宋体" w:hAnsi="宋体" w:cs="宋体"/>
          <w:sz w:val="24"/>
        </w:rPr>
        <w:t>10.5未得到本合同它方的书面许可，各方均不得以广告或在公共场合使用或摹仿它方的商业名称、商标、图案、服务标志、符号、代码、型号或缩写，任何一方均不得声称对它方的商业名称、商标、图案、服务标志、符号、代码、型号或缩写拥有所有权。</w:t>
      </w:r>
    </w:p>
    <w:p w14:paraId="116ABA2C">
      <w:pPr>
        <w:spacing w:line="360" w:lineRule="auto"/>
        <w:ind w:firstLine="480" w:firstLineChars="200"/>
        <w:rPr>
          <w:rFonts w:ascii="宋体" w:hAnsi="宋体" w:cs="宋体"/>
          <w:sz w:val="24"/>
        </w:rPr>
      </w:pPr>
      <w:r>
        <w:rPr>
          <w:rFonts w:hint="eastAsia" w:ascii="宋体" w:hAnsi="宋体" w:cs="宋体"/>
          <w:sz w:val="24"/>
        </w:rPr>
        <w:t>10.6本合同替代此前双方所有关于本合同事项的口头或书面的纪要、备忘录和合同。</w:t>
      </w:r>
    </w:p>
    <w:p w14:paraId="480BBD24">
      <w:pPr>
        <w:spacing w:line="360" w:lineRule="auto"/>
        <w:ind w:firstLine="480" w:firstLineChars="200"/>
        <w:rPr>
          <w:rFonts w:ascii="宋体" w:hAnsi="宋体" w:cs="宋体"/>
          <w:sz w:val="24"/>
        </w:rPr>
      </w:pPr>
      <w:r>
        <w:rPr>
          <w:rFonts w:hint="eastAsia" w:ascii="宋体" w:hAnsi="宋体" w:cs="宋体"/>
          <w:sz w:val="24"/>
        </w:rPr>
        <w:t>10.7本合同的任何内容不应被视为或解释为双方之间具有合资、合伙、代理关系。</w:t>
      </w:r>
    </w:p>
    <w:p w14:paraId="61FFC360">
      <w:pPr>
        <w:spacing w:line="360" w:lineRule="auto"/>
        <w:ind w:firstLine="480" w:firstLineChars="200"/>
        <w:rPr>
          <w:rFonts w:ascii="宋体" w:hAnsi="宋体" w:cs="宋体"/>
          <w:sz w:val="24"/>
        </w:rPr>
      </w:pPr>
      <w:r>
        <w:rPr>
          <w:rFonts w:hint="eastAsia" w:ascii="宋体" w:hAnsi="宋体" w:cs="宋体"/>
          <w:sz w:val="24"/>
        </w:rPr>
        <w:t>10.8双方因履行本合同或与本合同有关的一切通知都必须按照本合同中的地址，以书面信函形式或双方确认的通讯方式进行。采用信函形式的应使用挂号信或者具有良好信誉的特快专递送达。如使用挂号信件或特快专递，通知日期即为邮件寄出日期并以邮戳为准。</w:t>
      </w:r>
      <w:r>
        <w:rPr>
          <w:rFonts w:hint="eastAsia" w:ascii="宋体" w:hAnsi="宋体" w:cs="宋体"/>
          <w:color w:val="000000"/>
          <w:sz w:val="24"/>
        </w:rPr>
        <w:t>如使用挂号信件或特快专递方式</w:t>
      </w:r>
      <w:r>
        <w:rPr>
          <w:rFonts w:hint="eastAsia" w:ascii="宋体" w:hAnsi="宋体" w:cs="宋体"/>
          <w:sz w:val="24"/>
        </w:rPr>
        <w:t>，接受方签收挂号信或特快专递的时间（以邮局或快递公司系统记录为准）为通知送达时间；如果因接受方原因（包括但不限于接受方拒收书面信函、接受方电子邮箱地址不存在或者邮箱已满或者设置拒收等）导致通知发送失败，视为通知已经送达（发送方载明的书面信函寄出时间或者电子邮件发送时间视为通知送达时间）。</w:t>
      </w:r>
    </w:p>
    <w:p w14:paraId="30D656F0">
      <w:pPr>
        <w:spacing w:line="360" w:lineRule="auto"/>
        <w:ind w:firstLine="480" w:firstLineChars="200"/>
        <w:rPr>
          <w:rFonts w:ascii="宋体" w:hAnsi="宋体" w:cs="宋体"/>
          <w:sz w:val="24"/>
        </w:rPr>
      </w:pPr>
      <w:r>
        <w:rPr>
          <w:rFonts w:hint="eastAsia" w:ascii="宋体" w:hAnsi="宋体" w:cs="宋体"/>
          <w:sz w:val="24"/>
        </w:rPr>
        <w:t>双方联系信息：</w:t>
      </w:r>
    </w:p>
    <w:p w14:paraId="53B59D4B">
      <w:pPr>
        <w:spacing w:line="360" w:lineRule="auto"/>
        <w:ind w:firstLine="480" w:firstLineChars="200"/>
        <w:rPr>
          <w:rFonts w:ascii="宋体" w:hAnsi="宋体" w:cs="宋体"/>
          <w:sz w:val="24"/>
        </w:rPr>
      </w:pPr>
      <w:r>
        <w:rPr>
          <w:rFonts w:hint="eastAsia" w:ascii="宋体" w:hAnsi="宋体" w:cs="宋体"/>
          <w:sz w:val="24"/>
        </w:rPr>
        <w:t>甲方：[南通市通州区市场监督管理局]</w:t>
      </w:r>
    </w:p>
    <w:p w14:paraId="0D79E314">
      <w:pPr>
        <w:spacing w:line="360" w:lineRule="auto"/>
        <w:ind w:firstLine="480" w:firstLineChars="200"/>
        <w:rPr>
          <w:rFonts w:ascii="宋体" w:hAnsi="宋体" w:cs="宋体"/>
          <w:sz w:val="24"/>
        </w:rPr>
      </w:pPr>
      <w:r>
        <w:rPr>
          <w:rFonts w:hint="eastAsia" w:ascii="宋体" w:hAnsi="宋体" w:cs="宋体"/>
          <w:sz w:val="24"/>
        </w:rPr>
        <w:t xml:space="preserve">    地  址：[ ]</w:t>
      </w:r>
    </w:p>
    <w:p w14:paraId="11C3835D">
      <w:pPr>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 ]</w:t>
      </w:r>
    </w:p>
    <w:p w14:paraId="3E67C3D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电  话：[ ]</w:t>
      </w:r>
    </w:p>
    <w:p w14:paraId="1EF2B30C">
      <w:pPr>
        <w:spacing w:line="360" w:lineRule="auto"/>
        <w:ind w:firstLine="480" w:firstLineChars="200"/>
        <w:rPr>
          <w:rFonts w:ascii="宋体" w:hAnsi="宋体" w:cs="宋体"/>
          <w:sz w:val="24"/>
        </w:rPr>
      </w:pPr>
      <w:r>
        <w:rPr>
          <w:rFonts w:hint="eastAsia" w:ascii="宋体" w:hAnsi="宋体" w:cs="宋体"/>
          <w:sz w:val="24"/>
        </w:rPr>
        <w:t xml:space="preserve">    电子邮件：[  ]</w:t>
      </w:r>
    </w:p>
    <w:p w14:paraId="11654691">
      <w:pPr>
        <w:spacing w:line="360" w:lineRule="auto"/>
        <w:ind w:firstLine="480" w:firstLineChars="200"/>
        <w:rPr>
          <w:rFonts w:ascii="宋体" w:hAnsi="宋体" w:cs="宋体"/>
          <w:sz w:val="24"/>
        </w:rPr>
      </w:pPr>
      <w:r>
        <w:rPr>
          <w:rFonts w:hint="eastAsia" w:ascii="宋体" w:hAnsi="宋体" w:cs="宋体"/>
          <w:sz w:val="24"/>
        </w:rPr>
        <w:t>乙方：[               ]</w:t>
      </w:r>
    </w:p>
    <w:p w14:paraId="1A770ABD">
      <w:pPr>
        <w:spacing w:line="360" w:lineRule="auto"/>
        <w:ind w:firstLine="480" w:firstLineChars="200"/>
        <w:rPr>
          <w:rFonts w:ascii="宋体" w:hAnsi="宋体" w:cs="宋体"/>
          <w:sz w:val="24"/>
        </w:rPr>
      </w:pPr>
      <w:r>
        <w:rPr>
          <w:rFonts w:hint="eastAsia" w:ascii="宋体" w:hAnsi="宋体" w:cs="宋体"/>
          <w:sz w:val="24"/>
        </w:rPr>
        <w:t xml:space="preserve">    地  址：[                ]</w:t>
      </w:r>
    </w:p>
    <w:p w14:paraId="2AF78162">
      <w:pPr>
        <w:spacing w:line="360" w:lineRule="auto"/>
        <w:ind w:firstLine="480" w:firstLineChars="200"/>
        <w:rPr>
          <w:rFonts w:ascii="宋体" w:hAnsi="宋体" w:cs="宋体"/>
          <w:sz w:val="24"/>
        </w:rPr>
      </w:pPr>
      <w:r>
        <w:rPr>
          <w:rFonts w:hint="eastAsia" w:ascii="宋体" w:hAnsi="宋体" w:cs="宋体"/>
          <w:sz w:val="24"/>
        </w:rPr>
        <w:t xml:space="preserve">    联系人：[              ]</w:t>
      </w:r>
    </w:p>
    <w:p w14:paraId="634FD871">
      <w:pPr>
        <w:spacing w:line="360" w:lineRule="auto"/>
        <w:ind w:firstLine="480" w:firstLineChars="200"/>
        <w:rPr>
          <w:rFonts w:ascii="宋体" w:hAnsi="宋体" w:cs="宋体"/>
          <w:sz w:val="24"/>
        </w:rPr>
      </w:pPr>
      <w:r>
        <w:rPr>
          <w:rFonts w:hint="eastAsia" w:ascii="宋体" w:hAnsi="宋体" w:cs="宋体"/>
          <w:sz w:val="24"/>
        </w:rPr>
        <w:t xml:space="preserve">    电  话：[             ]</w:t>
      </w:r>
    </w:p>
    <w:p w14:paraId="441B1E79">
      <w:pPr>
        <w:spacing w:line="360" w:lineRule="auto"/>
        <w:ind w:firstLine="480" w:firstLineChars="200"/>
        <w:rPr>
          <w:rFonts w:ascii="宋体" w:hAnsi="宋体" w:cs="宋体"/>
          <w:sz w:val="24"/>
        </w:rPr>
      </w:pPr>
      <w:r>
        <w:rPr>
          <w:rFonts w:hint="eastAsia" w:ascii="宋体" w:hAnsi="宋体" w:cs="宋体"/>
          <w:sz w:val="24"/>
        </w:rPr>
        <w:t>电子邮件：[                     ]</w:t>
      </w:r>
    </w:p>
    <w:p w14:paraId="6D8A62BE">
      <w:pPr>
        <w:spacing w:line="360" w:lineRule="auto"/>
        <w:ind w:firstLine="480" w:firstLineChars="200"/>
        <w:rPr>
          <w:rFonts w:ascii="宋体" w:hAnsi="宋体" w:cs="宋体"/>
          <w:sz w:val="24"/>
        </w:rPr>
      </w:pPr>
      <w:r>
        <w:rPr>
          <w:rFonts w:hint="eastAsia" w:ascii="宋体" w:hAnsi="宋体" w:cs="宋体"/>
          <w:sz w:val="24"/>
        </w:rPr>
        <w:t>10.10任何一方通讯地址、住址、电话或传真号发生变更，应在变更后7日内书面通知其他各方。</w:t>
      </w:r>
    </w:p>
    <w:p w14:paraId="316A76D4">
      <w:pPr>
        <w:spacing w:line="360" w:lineRule="auto"/>
        <w:ind w:firstLine="480" w:firstLineChars="200"/>
        <w:rPr>
          <w:rFonts w:ascii="宋体" w:hAnsi="宋体" w:cs="宋体"/>
          <w:sz w:val="24"/>
        </w:rPr>
      </w:pPr>
      <w:r>
        <w:rPr>
          <w:rFonts w:hint="eastAsia" w:ascii="宋体" w:hAnsi="宋体" w:cs="宋体"/>
          <w:sz w:val="24"/>
        </w:rPr>
        <w:t>10.11本合同的附件为本合同不可分割的组成部分，如本合同附件与本合同正文有不一致之处，以[合同正文]的规定为准。</w:t>
      </w:r>
    </w:p>
    <w:p w14:paraId="48404FFC">
      <w:pPr>
        <w:spacing w:line="360" w:lineRule="auto"/>
        <w:ind w:firstLine="480" w:firstLineChars="200"/>
        <w:rPr>
          <w:rFonts w:ascii="宋体" w:hAnsi="宋体" w:cs="宋体"/>
          <w:sz w:val="24"/>
        </w:rPr>
      </w:pPr>
      <w:bookmarkStart w:id="124" w:name="_Toc3029"/>
      <w:bookmarkStart w:id="125" w:name="_Toc24059"/>
      <w:bookmarkStart w:id="126" w:name="_Toc2232"/>
      <w:r>
        <w:rPr>
          <w:rFonts w:hint="eastAsia" w:ascii="宋体" w:hAnsi="宋体" w:cs="宋体"/>
          <w:sz w:val="24"/>
        </w:rPr>
        <w:t>10.12合同组成部分</w:t>
      </w:r>
      <w:bookmarkEnd w:id="124"/>
      <w:bookmarkEnd w:id="125"/>
      <w:bookmarkEnd w:id="126"/>
    </w:p>
    <w:p w14:paraId="3123769D">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BE327F5">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72BEC1D7">
      <w:pPr>
        <w:spacing w:line="360" w:lineRule="auto"/>
        <w:ind w:firstLine="480" w:firstLineChars="200"/>
        <w:rPr>
          <w:rFonts w:ascii="宋体" w:hAnsi="宋体" w:cs="宋体"/>
          <w:sz w:val="24"/>
        </w:rPr>
      </w:pPr>
      <w:r>
        <w:rPr>
          <w:rFonts w:hint="eastAsia" w:ascii="宋体" w:hAnsi="宋体" w:cs="宋体"/>
          <w:sz w:val="24"/>
        </w:rPr>
        <w:t>（2）中标通知书（如果有）;</w:t>
      </w:r>
    </w:p>
    <w:p w14:paraId="35E614B8">
      <w:pPr>
        <w:spacing w:line="360" w:lineRule="auto"/>
        <w:ind w:firstLine="480" w:firstLineChars="200"/>
        <w:rPr>
          <w:rFonts w:ascii="宋体" w:hAnsi="宋体" w:cs="宋体"/>
          <w:sz w:val="24"/>
        </w:rPr>
      </w:pPr>
      <w:r>
        <w:rPr>
          <w:rFonts w:hint="eastAsia" w:ascii="宋体" w:hAnsi="宋体" w:cs="宋体"/>
          <w:sz w:val="24"/>
        </w:rPr>
        <w:t>（3）投标文件(含澄清或者说明文件);</w:t>
      </w:r>
    </w:p>
    <w:p w14:paraId="7AE1317E">
      <w:pPr>
        <w:spacing w:line="360" w:lineRule="auto"/>
        <w:ind w:firstLine="480" w:firstLineChars="200"/>
        <w:rPr>
          <w:rFonts w:ascii="宋体" w:hAnsi="宋体" w:cs="宋体"/>
          <w:sz w:val="24"/>
        </w:rPr>
      </w:pPr>
      <w:r>
        <w:rPr>
          <w:rFonts w:hint="eastAsia" w:ascii="宋体" w:hAnsi="宋体" w:cs="宋体"/>
          <w:sz w:val="24"/>
        </w:rPr>
        <w:t>（4）招标文件(含澄清或者修改文件);</w:t>
      </w:r>
    </w:p>
    <w:p w14:paraId="1EA5D694">
      <w:pPr>
        <w:spacing w:line="360" w:lineRule="auto"/>
        <w:ind w:firstLine="480" w:firstLineChars="200"/>
        <w:rPr>
          <w:rFonts w:ascii="宋体" w:hAnsi="宋体" w:cs="宋体"/>
          <w:sz w:val="24"/>
        </w:rPr>
      </w:pPr>
      <w:r>
        <w:rPr>
          <w:rFonts w:hint="eastAsia" w:ascii="宋体" w:hAnsi="宋体" w:cs="宋体"/>
          <w:sz w:val="24"/>
        </w:rPr>
        <w:t>（5）其他相关采购文件。</w:t>
      </w:r>
    </w:p>
    <w:p w14:paraId="75861D43">
      <w:pPr>
        <w:spacing w:line="360" w:lineRule="auto"/>
        <w:ind w:firstLine="480" w:firstLineChars="200"/>
        <w:rPr>
          <w:rFonts w:ascii="宋体" w:hAnsi="宋体" w:cs="宋体"/>
          <w:sz w:val="24"/>
        </w:rPr>
      </w:pPr>
    </w:p>
    <w:p w14:paraId="25855684">
      <w:pPr>
        <w:spacing w:line="360" w:lineRule="auto"/>
        <w:ind w:firstLine="480" w:firstLineChars="200"/>
        <w:rPr>
          <w:rFonts w:ascii="宋体" w:hAnsi="宋体" w:cs="宋体"/>
          <w:sz w:val="24"/>
        </w:rPr>
      </w:pPr>
      <w:r>
        <w:rPr>
          <w:rFonts w:hint="eastAsia" w:ascii="宋体" w:hAnsi="宋体" w:cs="宋体"/>
          <w:sz w:val="24"/>
        </w:rPr>
        <w:t>甲方：[南通市通州区市场监督管理局]</w:t>
      </w:r>
    </w:p>
    <w:p w14:paraId="399EA99D">
      <w:pPr>
        <w:spacing w:line="360" w:lineRule="auto"/>
        <w:ind w:firstLine="480" w:firstLineChars="200"/>
        <w:rPr>
          <w:rFonts w:ascii="宋体" w:hAnsi="宋体" w:cs="宋体"/>
          <w:sz w:val="24"/>
        </w:rPr>
      </w:pPr>
      <w:r>
        <w:rPr>
          <w:rFonts w:hint="eastAsia" w:ascii="宋体" w:hAnsi="宋体" w:cs="宋体"/>
          <w:sz w:val="24"/>
        </w:rPr>
        <w:t>法定代表人/负责人</w:t>
      </w:r>
    </w:p>
    <w:p w14:paraId="27235A12">
      <w:pPr>
        <w:spacing w:line="360" w:lineRule="auto"/>
        <w:ind w:firstLine="480" w:firstLineChars="200"/>
        <w:rPr>
          <w:rFonts w:ascii="宋体" w:hAnsi="宋体" w:cs="宋体"/>
          <w:sz w:val="24"/>
        </w:rPr>
      </w:pPr>
      <w:r>
        <w:rPr>
          <w:rFonts w:hint="eastAsia" w:ascii="宋体" w:hAnsi="宋体" w:cs="宋体"/>
          <w:sz w:val="24"/>
        </w:rPr>
        <w:t>或授权代表：</w:t>
      </w:r>
    </w:p>
    <w:p w14:paraId="0C3C4D09">
      <w:pPr>
        <w:spacing w:line="360" w:lineRule="auto"/>
        <w:ind w:firstLine="480" w:firstLineChars="200"/>
        <w:rPr>
          <w:rFonts w:ascii="宋体" w:hAnsi="宋体" w:cs="宋体"/>
          <w:sz w:val="24"/>
        </w:rPr>
      </w:pPr>
      <w:r>
        <w:rPr>
          <w:rFonts w:hint="eastAsia" w:ascii="宋体" w:hAnsi="宋体" w:cs="宋体"/>
          <w:sz w:val="24"/>
        </w:rPr>
        <w:t>日期：</w:t>
      </w:r>
    </w:p>
    <w:p w14:paraId="26A93EB3">
      <w:pPr>
        <w:spacing w:line="360" w:lineRule="auto"/>
        <w:ind w:firstLine="480" w:firstLineChars="200"/>
        <w:rPr>
          <w:rFonts w:ascii="宋体" w:hAnsi="宋体" w:cs="宋体"/>
          <w:sz w:val="24"/>
        </w:rPr>
      </w:pPr>
      <w:r>
        <w:rPr>
          <w:rFonts w:hint="eastAsia" w:ascii="宋体" w:hAnsi="宋体" w:cs="宋体"/>
          <w:sz w:val="24"/>
        </w:rPr>
        <w:t>乙方：[                 ]</w:t>
      </w:r>
    </w:p>
    <w:p w14:paraId="0EDCC847">
      <w:pPr>
        <w:spacing w:line="360" w:lineRule="auto"/>
        <w:ind w:firstLine="480" w:firstLineChars="200"/>
        <w:rPr>
          <w:rFonts w:ascii="宋体" w:hAnsi="宋体" w:cs="宋体"/>
          <w:sz w:val="24"/>
        </w:rPr>
      </w:pPr>
      <w:r>
        <w:rPr>
          <w:rFonts w:hint="eastAsia" w:ascii="宋体" w:hAnsi="宋体" w:cs="宋体"/>
          <w:sz w:val="24"/>
        </w:rPr>
        <w:t>法定代表人/负责人或授权代表：</w:t>
      </w:r>
    </w:p>
    <w:p w14:paraId="1DEFFCA1">
      <w:pPr>
        <w:spacing w:line="360" w:lineRule="auto"/>
        <w:ind w:firstLine="480" w:firstLineChars="200"/>
        <w:rPr>
          <w:rFonts w:ascii="宋体" w:hAnsi="宋体" w:cs="宋体"/>
          <w:sz w:val="24"/>
        </w:rPr>
      </w:pPr>
      <w:r>
        <w:rPr>
          <w:rFonts w:hint="eastAsia" w:ascii="宋体" w:hAnsi="宋体" w:cs="宋体"/>
          <w:sz w:val="24"/>
        </w:rPr>
        <w:t>日期：</w:t>
      </w:r>
    </w:p>
    <w:p w14:paraId="43CF2860">
      <w:pPr>
        <w:pStyle w:val="11"/>
        <w:shd w:val="clear" w:color="auto" w:fill="FFFFFF"/>
        <w:spacing w:beforeAutospacing="0" w:afterAutospacing="0" w:line="360" w:lineRule="auto"/>
        <w:ind w:firstLine="480" w:firstLineChars="200"/>
        <w:jc w:val="both"/>
        <w:rPr>
          <w:rFonts w:hAnsi="宋体"/>
          <w:color w:val="0F1115"/>
          <w:shd w:val="clear" w:color="auto" w:fill="FFFFFF"/>
        </w:rPr>
      </w:pPr>
      <w:r>
        <w:rPr>
          <w:rFonts w:hint="eastAsia"/>
        </w:rPr>
        <w:t>附：</w:t>
      </w:r>
      <w:r>
        <w:rPr>
          <w:rFonts w:hint="eastAsia" w:hAnsi="宋体"/>
          <w:color w:val="0F1115"/>
          <w:shd w:val="clear" w:color="auto" w:fill="FFFFFF"/>
        </w:rPr>
        <w:t>考核细则：</w:t>
      </w:r>
    </w:p>
    <w:tbl>
      <w:tblPr>
        <w:tblStyle w:val="12"/>
        <w:tblW w:w="4998" w:type="pct"/>
        <w:jc w:val="center"/>
        <w:tblLayout w:type="autofit"/>
        <w:tblCellMar>
          <w:top w:w="15" w:type="dxa"/>
          <w:left w:w="15" w:type="dxa"/>
          <w:bottom w:w="15" w:type="dxa"/>
          <w:right w:w="15" w:type="dxa"/>
        </w:tblCellMar>
      </w:tblPr>
      <w:tblGrid>
        <w:gridCol w:w="1151"/>
        <w:gridCol w:w="7245"/>
        <w:gridCol w:w="660"/>
      </w:tblGrid>
      <w:tr w14:paraId="16CA4921">
        <w:tblPrEx>
          <w:tblCellMar>
            <w:top w:w="15" w:type="dxa"/>
            <w:left w:w="15" w:type="dxa"/>
            <w:bottom w:w="15" w:type="dxa"/>
            <w:right w:w="15" w:type="dxa"/>
          </w:tblCellMar>
        </w:tblPrEx>
        <w:trPr>
          <w:trHeight w:val="358" w:hRule="atLeast"/>
          <w:jc w:val="center"/>
        </w:trPr>
        <w:tc>
          <w:tcPr>
            <w:tcW w:w="825" w:type="pct"/>
            <w:tcBorders>
              <w:top w:val="single" w:color="000000" w:sz="4" w:space="0"/>
              <w:left w:val="single" w:color="000000" w:sz="4" w:space="0"/>
              <w:bottom w:val="single" w:color="000000" w:sz="4" w:space="0"/>
              <w:right w:val="single" w:color="000000" w:sz="4" w:space="0"/>
            </w:tcBorders>
            <w:noWrap/>
            <w:vAlign w:val="center"/>
          </w:tcPr>
          <w:p w14:paraId="3FACFAD0">
            <w:pPr>
              <w:spacing w:line="360" w:lineRule="auto"/>
              <w:ind w:left="210" w:leftChars="100" w:firstLine="210" w:firstLineChars="100"/>
              <w:rPr>
                <w:rFonts w:hint="eastAsia" w:ascii="宋体" w:hAnsi="宋体"/>
                <w:color w:val="000000"/>
              </w:rPr>
            </w:pPr>
            <w:r>
              <w:rPr>
                <w:rFonts w:hint="eastAsia" w:ascii="宋体" w:hAnsi="宋体"/>
                <w:color w:val="000000"/>
              </w:rPr>
              <w:t>考核项目</w:t>
            </w:r>
          </w:p>
        </w:tc>
        <w:tc>
          <w:tcPr>
            <w:tcW w:w="3410" w:type="pct"/>
            <w:tcBorders>
              <w:top w:val="single" w:color="000000" w:sz="4" w:space="0"/>
              <w:left w:val="nil"/>
              <w:bottom w:val="single" w:color="000000" w:sz="4" w:space="0"/>
              <w:right w:val="single" w:color="000000" w:sz="4" w:space="0"/>
            </w:tcBorders>
            <w:noWrap/>
            <w:vAlign w:val="center"/>
          </w:tcPr>
          <w:p w14:paraId="45986ABA">
            <w:pPr>
              <w:spacing w:line="360" w:lineRule="auto"/>
              <w:ind w:left="210" w:leftChars="100" w:firstLine="210" w:firstLineChars="100"/>
              <w:rPr>
                <w:rFonts w:hint="eastAsia" w:ascii="宋体" w:hAnsi="宋体"/>
                <w:color w:val="000000"/>
              </w:rPr>
            </w:pPr>
            <w:r>
              <w:rPr>
                <w:rFonts w:hint="eastAsia" w:ascii="宋体" w:hAnsi="宋体"/>
                <w:color w:val="000000"/>
              </w:rPr>
              <w:t>考核内容</w:t>
            </w:r>
          </w:p>
        </w:tc>
        <w:tc>
          <w:tcPr>
            <w:tcW w:w="764" w:type="pct"/>
            <w:tcBorders>
              <w:top w:val="single" w:color="000000" w:sz="4" w:space="0"/>
              <w:left w:val="nil"/>
              <w:bottom w:val="single" w:color="000000" w:sz="4" w:space="0"/>
              <w:right w:val="single" w:color="000000" w:sz="4" w:space="0"/>
            </w:tcBorders>
            <w:noWrap/>
            <w:vAlign w:val="center"/>
          </w:tcPr>
          <w:p w14:paraId="656E1F8B">
            <w:pPr>
              <w:spacing w:line="360" w:lineRule="auto"/>
              <w:rPr>
                <w:rFonts w:hint="eastAsia" w:ascii="宋体" w:hAnsi="宋体"/>
                <w:color w:val="000000"/>
              </w:rPr>
            </w:pPr>
            <w:r>
              <w:rPr>
                <w:rFonts w:hint="eastAsia" w:ascii="宋体" w:hAnsi="宋体"/>
                <w:color w:val="000000"/>
              </w:rPr>
              <w:t>考核分</w:t>
            </w:r>
            <w:r>
              <w:rPr>
                <w:rFonts w:hint="eastAsia" w:ascii="宋体" w:hAnsi="宋体"/>
                <w:color w:val="000000"/>
                <w:lang w:val="en-US" w:eastAsia="zh-CN"/>
              </w:rPr>
              <w:t xml:space="preserve"> </w:t>
            </w:r>
            <w:r>
              <w:rPr>
                <w:rFonts w:hint="eastAsia" w:ascii="宋体" w:hAnsi="宋体"/>
                <w:color w:val="000000"/>
              </w:rPr>
              <w:t>值</w:t>
            </w:r>
          </w:p>
        </w:tc>
      </w:tr>
      <w:tr w14:paraId="767FA8E6">
        <w:tblPrEx>
          <w:tblCellMar>
            <w:top w:w="15" w:type="dxa"/>
            <w:left w:w="15" w:type="dxa"/>
            <w:bottom w:w="15" w:type="dxa"/>
            <w:right w:w="15" w:type="dxa"/>
          </w:tblCellMar>
        </w:tblPrEx>
        <w:trPr>
          <w:trHeight w:val="90" w:hRule="atLeast"/>
          <w:jc w:val="center"/>
        </w:trPr>
        <w:tc>
          <w:tcPr>
            <w:tcW w:w="825" w:type="pct"/>
            <w:vMerge w:val="restart"/>
            <w:tcBorders>
              <w:top w:val="nil"/>
              <w:left w:val="single" w:color="000000" w:sz="4" w:space="0"/>
              <w:bottom w:val="single" w:color="000000" w:sz="4" w:space="0"/>
              <w:right w:val="single" w:color="000000" w:sz="4" w:space="0"/>
            </w:tcBorders>
            <w:noWrap/>
            <w:vAlign w:val="center"/>
          </w:tcPr>
          <w:p w14:paraId="034394D2">
            <w:pPr>
              <w:spacing w:line="360" w:lineRule="auto"/>
              <w:ind w:left="210" w:leftChars="100" w:firstLine="210" w:firstLineChars="100"/>
              <w:rPr>
                <w:rFonts w:hint="eastAsia" w:ascii="宋体" w:hAnsi="宋体"/>
                <w:color w:val="000000"/>
              </w:rPr>
            </w:pPr>
            <w:r>
              <w:rPr>
                <w:rFonts w:hint="eastAsia" w:ascii="宋体" w:hAnsi="宋体"/>
                <w:color w:val="000000"/>
              </w:rPr>
              <w:t>日常运维服务</w:t>
            </w:r>
          </w:p>
        </w:tc>
        <w:tc>
          <w:tcPr>
            <w:tcW w:w="3410" w:type="pct"/>
            <w:tcBorders>
              <w:top w:val="single" w:color="000000" w:sz="4" w:space="0"/>
              <w:left w:val="nil"/>
              <w:bottom w:val="single" w:color="000000" w:sz="4" w:space="0"/>
              <w:right w:val="single" w:color="000000" w:sz="4" w:space="0"/>
            </w:tcBorders>
            <w:noWrap/>
            <w:vAlign w:val="center"/>
          </w:tcPr>
          <w:p w14:paraId="2CB97126">
            <w:pPr>
              <w:spacing w:line="360" w:lineRule="auto"/>
              <w:rPr>
                <w:rFonts w:hint="eastAsia" w:ascii="宋体" w:hAnsi="宋体"/>
                <w:color w:val="000000"/>
              </w:rPr>
            </w:pPr>
            <w:r>
              <w:rPr>
                <w:rFonts w:hint="eastAsia" w:ascii="宋体" w:hAnsi="宋体"/>
                <w:color w:val="000000"/>
              </w:rPr>
              <w:t>监控点每周通过平台巡查做好记录，每月平台监控在线率不低于90%，每次未达标扣4分。季度总计12分</w:t>
            </w:r>
          </w:p>
        </w:tc>
        <w:tc>
          <w:tcPr>
            <w:tcW w:w="764" w:type="pct"/>
            <w:tcBorders>
              <w:top w:val="single" w:color="000000" w:sz="4" w:space="0"/>
              <w:left w:val="nil"/>
              <w:bottom w:val="single" w:color="000000" w:sz="4" w:space="0"/>
              <w:right w:val="single" w:color="000000" w:sz="4" w:space="0"/>
            </w:tcBorders>
            <w:noWrap/>
            <w:vAlign w:val="center"/>
          </w:tcPr>
          <w:p w14:paraId="5924DCF3">
            <w:pPr>
              <w:spacing w:line="360" w:lineRule="auto"/>
              <w:rPr>
                <w:rFonts w:hint="eastAsia" w:ascii="宋体" w:hAnsi="宋体"/>
                <w:color w:val="000000"/>
              </w:rPr>
            </w:pPr>
            <w:r>
              <w:rPr>
                <w:rFonts w:hint="eastAsia" w:ascii="宋体" w:hAnsi="宋体"/>
                <w:color w:val="000000"/>
              </w:rPr>
              <w:t>12</w:t>
            </w:r>
          </w:p>
        </w:tc>
      </w:tr>
      <w:tr w14:paraId="6D582B2A">
        <w:tblPrEx>
          <w:tblCellMar>
            <w:top w:w="15" w:type="dxa"/>
            <w:left w:w="15" w:type="dxa"/>
            <w:bottom w:w="15" w:type="dxa"/>
            <w:right w:w="15" w:type="dxa"/>
          </w:tblCellMar>
        </w:tblPrEx>
        <w:trPr>
          <w:trHeight w:val="358" w:hRule="atLeast"/>
          <w:jc w:val="center"/>
        </w:trPr>
        <w:tc>
          <w:tcPr>
            <w:tcW w:w="825" w:type="pct"/>
            <w:vMerge w:val="continue"/>
            <w:tcBorders>
              <w:top w:val="nil"/>
              <w:left w:val="single" w:color="000000" w:sz="4" w:space="0"/>
              <w:bottom w:val="single" w:color="000000" w:sz="4" w:space="0"/>
              <w:right w:val="single" w:color="000000" w:sz="4" w:space="0"/>
            </w:tcBorders>
            <w:noWrap/>
            <w:vAlign w:val="center"/>
          </w:tcPr>
          <w:p w14:paraId="7A1DB358">
            <w:pPr>
              <w:spacing w:line="360" w:lineRule="auto"/>
              <w:ind w:left="210" w:leftChars="100" w:firstLine="210" w:firstLineChars="100"/>
              <w:rPr>
                <w:rFonts w:hint="eastAsia" w:ascii="宋体" w:hAnsi="宋体"/>
                <w:color w:val="000000"/>
              </w:rPr>
            </w:pPr>
          </w:p>
        </w:tc>
        <w:tc>
          <w:tcPr>
            <w:tcW w:w="3410" w:type="pct"/>
            <w:tcBorders>
              <w:top w:val="single" w:color="000000" w:sz="4" w:space="0"/>
              <w:left w:val="nil"/>
              <w:bottom w:val="single" w:color="000000" w:sz="4" w:space="0"/>
              <w:right w:val="single" w:color="000000" w:sz="4" w:space="0"/>
            </w:tcBorders>
            <w:noWrap/>
            <w:vAlign w:val="center"/>
          </w:tcPr>
          <w:p w14:paraId="3FD7E3B4">
            <w:pPr>
              <w:spacing w:line="360" w:lineRule="auto"/>
              <w:rPr>
                <w:rFonts w:hint="eastAsia" w:ascii="宋体" w:hAnsi="宋体"/>
                <w:color w:val="000000"/>
              </w:rPr>
            </w:pPr>
            <w:r>
              <w:rPr>
                <w:rFonts w:hint="eastAsia" w:ascii="宋体" w:hAnsi="宋体"/>
                <w:color w:val="000000"/>
              </w:rPr>
              <w:t>发生故障24小时未发现并报备我方和属地分局，每次扣2分。季度总计10分</w:t>
            </w:r>
          </w:p>
        </w:tc>
        <w:tc>
          <w:tcPr>
            <w:tcW w:w="764" w:type="pct"/>
            <w:tcBorders>
              <w:top w:val="single" w:color="000000" w:sz="4" w:space="0"/>
              <w:left w:val="nil"/>
              <w:bottom w:val="single" w:color="000000" w:sz="4" w:space="0"/>
              <w:right w:val="single" w:color="000000" w:sz="4" w:space="0"/>
            </w:tcBorders>
            <w:noWrap/>
            <w:vAlign w:val="center"/>
          </w:tcPr>
          <w:p w14:paraId="10371A64">
            <w:pPr>
              <w:spacing w:line="360" w:lineRule="auto"/>
              <w:rPr>
                <w:rFonts w:hint="eastAsia" w:ascii="宋体" w:hAnsi="宋体"/>
                <w:color w:val="000000"/>
              </w:rPr>
            </w:pPr>
            <w:r>
              <w:rPr>
                <w:rFonts w:hint="eastAsia" w:ascii="宋体" w:hAnsi="宋体"/>
                <w:color w:val="000000"/>
              </w:rPr>
              <w:t>10</w:t>
            </w:r>
          </w:p>
        </w:tc>
      </w:tr>
      <w:tr w14:paraId="03E4E396">
        <w:tblPrEx>
          <w:tblCellMar>
            <w:top w:w="15" w:type="dxa"/>
            <w:left w:w="15" w:type="dxa"/>
            <w:bottom w:w="15" w:type="dxa"/>
            <w:right w:w="15" w:type="dxa"/>
          </w:tblCellMar>
        </w:tblPrEx>
        <w:trPr>
          <w:trHeight w:val="358" w:hRule="atLeast"/>
          <w:jc w:val="center"/>
        </w:trPr>
        <w:tc>
          <w:tcPr>
            <w:tcW w:w="825" w:type="pct"/>
            <w:vMerge w:val="continue"/>
            <w:tcBorders>
              <w:top w:val="nil"/>
              <w:left w:val="single" w:color="000000" w:sz="4" w:space="0"/>
              <w:bottom w:val="single" w:color="000000" w:sz="4" w:space="0"/>
              <w:right w:val="single" w:color="000000" w:sz="4" w:space="0"/>
            </w:tcBorders>
            <w:noWrap/>
            <w:vAlign w:val="center"/>
          </w:tcPr>
          <w:p w14:paraId="4490C307">
            <w:pPr>
              <w:spacing w:line="360" w:lineRule="auto"/>
              <w:ind w:left="210" w:leftChars="100" w:firstLine="210" w:firstLineChars="100"/>
              <w:rPr>
                <w:rFonts w:hint="eastAsia" w:ascii="宋体" w:hAnsi="宋体"/>
                <w:color w:val="000000"/>
              </w:rPr>
            </w:pPr>
          </w:p>
        </w:tc>
        <w:tc>
          <w:tcPr>
            <w:tcW w:w="3410" w:type="pct"/>
            <w:tcBorders>
              <w:top w:val="single" w:color="000000" w:sz="4" w:space="0"/>
              <w:left w:val="nil"/>
              <w:bottom w:val="single" w:color="000000" w:sz="4" w:space="0"/>
              <w:right w:val="single" w:color="000000" w:sz="4" w:space="0"/>
            </w:tcBorders>
            <w:noWrap/>
            <w:vAlign w:val="center"/>
          </w:tcPr>
          <w:p w14:paraId="73F83926">
            <w:pPr>
              <w:spacing w:line="360" w:lineRule="auto"/>
              <w:rPr>
                <w:rFonts w:hint="eastAsia" w:ascii="宋体" w:hAnsi="宋体"/>
                <w:color w:val="000000"/>
              </w:rPr>
            </w:pPr>
            <w:r>
              <w:rPr>
                <w:rFonts w:hint="eastAsia" w:ascii="宋体" w:hAnsi="宋体"/>
                <w:color w:val="000000"/>
              </w:rPr>
              <w:t>维修更换设备的性能参数低于服务标准的，每件扣1分。季度总计10分</w:t>
            </w:r>
          </w:p>
        </w:tc>
        <w:tc>
          <w:tcPr>
            <w:tcW w:w="764" w:type="pct"/>
            <w:tcBorders>
              <w:top w:val="single" w:color="000000" w:sz="4" w:space="0"/>
              <w:left w:val="nil"/>
              <w:bottom w:val="single" w:color="000000" w:sz="4" w:space="0"/>
              <w:right w:val="single" w:color="000000" w:sz="4" w:space="0"/>
            </w:tcBorders>
            <w:noWrap/>
            <w:vAlign w:val="center"/>
          </w:tcPr>
          <w:p w14:paraId="1454AF7B">
            <w:pPr>
              <w:spacing w:line="360" w:lineRule="auto"/>
              <w:rPr>
                <w:rFonts w:hint="eastAsia" w:ascii="宋体" w:hAnsi="宋体"/>
                <w:color w:val="000000"/>
              </w:rPr>
            </w:pPr>
            <w:r>
              <w:rPr>
                <w:rFonts w:hint="eastAsia" w:ascii="宋体" w:hAnsi="宋体"/>
                <w:color w:val="000000"/>
              </w:rPr>
              <w:t>10</w:t>
            </w:r>
          </w:p>
        </w:tc>
      </w:tr>
      <w:tr w14:paraId="7C459E75">
        <w:tblPrEx>
          <w:tblCellMar>
            <w:top w:w="15" w:type="dxa"/>
            <w:left w:w="15" w:type="dxa"/>
            <w:bottom w:w="15" w:type="dxa"/>
            <w:right w:w="15" w:type="dxa"/>
          </w:tblCellMar>
        </w:tblPrEx>
        <w:trPr>
          <w:trHeight w:val="358" w:hRule="atLeast"/>
          <w:jc w:val="center"/>
        </w:trPr>
        <w:tc>
          <w:tcPr>
            <w:tcW w:w="825" w:type="pct"/>
            <w:vMerge w:val="continue"/>
            <w:tcBorders>
              <w:top w:val="nil"/>
              <w:left w:val="single" w:color="000000" w:sz="4" w:space="0"/>
              <w:bottom w:val="single" w:color="000000" w:sz="4" w:space="0"/>
              <w:right w:val="single" w:color="000000" w:sz="4" w:space="0"/>
            </w:tcBorders>
            <w:noWrap/>
            <w:vAlign w:val="center"/>
          </w:tcPr>
          <w:p w14:paraId="2E3C7917">
            <w:pPr>
              <w:spacing w:line="360" w:lineRule="auto"/>
              <w:ind w:left="210" w:leftChars="100" w:firstLine="210" w:firstLineChars="100"/>
              <w:rPr>
                <w:rFonts w:hint="eastAsia" w:ascii="宋体" w:hAnsi="宋体"/>
                <w:color w:val="000000"/>
              </w:rPr>
            </w:pPr>
          </w:p>
        </w:tc>
        <w:tc>
          <w:tcPr>
            <w:tcW w:w="3410" w:type="pct"/>
            <w:tcBorders>
              <w:top w:val="single" w:color="000000" w:sz="4" w:space="0"/>
              <w:left w:val="nil"/>
              <w:bottom w:val="single" w:color="000000" w:sz="4" w:space="0"/>
              <w:right w:val="single" w:color="000000" w:sz="4" w:space="0"/>
            </w:tcBorders>
            <w:noWrap/>
            <w:vAlign w:val="center"/>
          </w:tcPr>
          <w:p w14:paraId="3FF0EFA2">
            <w:pPr>
              <w:spacing w:line="360" w:lineRule="auto"/>
              <w:rPr>
                <w:rFonts w:hint="eastAsia" w:ascii="宋体" w:hAnsi="宋体"/>
                <w:color w:val="000000"/>
              </w:rPr>
            </w:pPr>
            <w:r>
              <w:rPr>
                <w:rFonts w:hint="eastAsia" w:ascii="宋体" w:hAnsi="宋体"/>
                <w:color w:val="000000"/>
              </w:rPr>
              <w:t>未完成全年轮换企业摄像头拆、装、移任务的，按时间要求未达标每月扣1-5分。季度总计15分</w:t>
            </w:r>
          </w:p>
        </w:tc>
        <w:tc>
          <w:tcPr>
            <w:tcW w:w="764" w:type="pct"/>
            <w:tcBorders>
              <w:top w:val="single" w:color="000000" w:sz="4" w:space="0"/>
              <w:left w:val="nil"/>
              <w:bottom w:val="single" w:color="000000" w:sz="4" w:space="0"/>
              <w:right w:val="single" w:color="000000" w:sz="4" w:space="0"/>
            </w:tcBorders>
            <w:noWrap/>
            <w:vAlign w:val="center"/>
          </w:tcPr>
          <w:p w14:paraId="0DDEF63F">
            <w:pPr>
              <w:spacing w:line="360" w:lineRule="auto"/>
              <w:rPr>
                <w:rFonts w:hint="eastAsia" w:ascii="宋体" w:hAnsi="宋体"/>
                <w:color w:val="000000"/>
              </w:rPr>
            </w:pPr>
            <w:r>
              <w:rPr>
                <w:rFonts w:hint="eastAsia" w:ascii="宋体" w:hAnsi="宋体"/>
                <w:color w:val="000000"/>
              </w:rPr>
              <w:t>15</w:t>
            </w:r>
          </w:p>
        </w:tc>
      </w:tr>
      <w:tr w14:paraId="18F96380">
        <w:tblPrEx>
          <w:tblCellMar>
            <w:top w:w="15" w:type="dxa"/>
            <w:left w:w="15" w:type="dxa"/>
            <w:bottom w:w="15" w:type="dxa"/>
            <w:right w:w="15" w:type="dxa"/>
          </w:tblCellMar>
        </w:tblPrEx>
        <w:trPr>
          <w:trHeight w:val="358" w:hRule="atLeast"/>
          <w:jc w:val="center"/>
        </w:trPr>
        <w:tc>
          <w:tcPr>
            <w:tcW w:w="825" w:type="pct"/>
            <w:vMerge w:val="continue"/>
            <w:tcBorders>
              <w:top w:val="nil"/>
              <w:left w:val="single" w:color="000000" w:sz="4" w:space="0"/>
              <w:bottom w:val="single" w:color="000000" w:sz="4" w:space="0"/>
              <w:right w:val="single" w:color="000000" w:sz="4" w:space="0"/>
            </w:tcBorders>
            <w:noWrap/>
            <w:vAlign w:val="center"/>
          </w:tcPr>
          <w:p w14:paraId="10394C2C">
            <w:pPr>
              <w:spacing w:line="360" w:lineRule="auto"/>
              <w:ind w:left="210" w:leftChars="100" w:firstLine="210" w:firstLineChars="100"/>
              <w:rPr>
                <w:rFonts w:hint="eastAsia" w:ascii="宋体" w:hAnsi="宋体"/>
                <w:color w:val="000000"/>
              </w:rPr>
            </w:pPr>
          </w:p>
        </w:tc>
        <w:tc>
          <w:tcPr>
            <w:tcW w:w="3410" w:type="pct"/>
            <w:tcBorders>
              <w:top w:val="single" w:color="000000" w:sz="4" w:space="0"/>
              <w:left w:val="nil"/>
              <w:bottom w:val="single" w:color="000000" w:sz="4" w:space="0"/>
              <w:right w:val="single" w:color="000000" w:sz="4" w:space="0"/>
            </w:tcBorders>
            <w:noWrap/>
            <w:vAlign w:val="center"/>
          </w:tcPr>
          <w:p w14:paraId="5ECB8AAE">
            <w:pPr>
              <w:spacing w:line="360" w:lineRule="auto"/>
              <w:rPr>
                <w:rFonts w:hint="eastAsia" w:ascii="宋体" w:hAnsi="宋体"/>
                <w:color w:val="000000"/>
              </w:rPr>
            </w:pPr>
            <w:r>
              <w:rPr>
                <w:rFonts w:hint="eastAsia" w:ascii="宋体" w:hAnsi="宋体"/>
                <w:color w:val="000000"/>
              </w:rPr>
              <w:t>日常运维、各类巡检须有台帐记录，发现问题及解决情况应如实登记，记录不完整每次扣1分。季度总计12分。</w:t>
            </w:r>
          </w:p>
        </w:tc>
        <w:tc>
          <w:tcPr>
            <w:tcW w:w="764" w:type="pct"/>
            <w:tcBorders>
              <w:top w:val="single" w:color="000000" w:sz="4" w:space="0"/>
              <w:left w:val="nil"/>
              <w:bottom w:val="single" w:color="000000" w:sz="4" w:space="0"/>
              <w:right w:val="single" w:color="000000" w:sz="4" w:space="0"/>
            </w:tcBorders>
            <w:noWrap/>
            <w:vAlign w:val="center"/>
          </w:tcPr>
          <w:p w14:paraId="22112267">
            <w:pPr>
              <w:spacing w:line="360" w:lineRule="auto"/>
              <w:rPr>
                <w:rFonts w:hint="eastAsia" w:ascii="宋体" w:hAnsi="宋体"/>
                <w:color w:val="000000"/>
              </w:rPr>
            </w:pPr>
            <w:r>
              <w:rPr>
                <w:rFonts w:hint="eastAsia" w:ascii="宋体" w:hAnsi="宋体"/>
                <w:color w:val="000000"/>
              </w:rPr>
              <w:t>12</w:t>
            </w:r>
          </w:p>
        </w:tc>
      </w:tr>
      <w:tr w14:paraId="70204DAA">
        <w:tblPrEx>
          <w:tblCellMar>
            <w:top w:w="15" w:type="dxa"/>
            <w:left w:w="15" w:type="dxa"/>
            <w:bottom w:w="15" w:type="dxa"/>
            <w:right w:w="15" w:type="dxa"/>
          </w:tblCellMar>
        </w:tblPrEx>
        <w:trPr>
          <w:trHeight w:val="358" w:hRule="atLeast"/>
          <w:jc w:val="center"/>
        </w:trPr>
        <w:tc>
          <w:tcPr>
            <w:tcW w:w="825" w:type="pct"/>
            <w:vMerge w:val="continue"/>
            <w:tcBorders>
              <w:top w:val="nil"/>
              <w:left w:val="single" w:color="000000" w:sz="4" w:space="0"/>
              <w:bottom w:val="single" w:color="000000" w:sz="4" w:space="0"/>
              <w:right w:val="single" w:color="000000" w:sz="4" w:space="0"/>
            </w:tcBorders>
            <w:noWrap/>
            <w:vAlign w:val="center"/>
          </w:tcPr>
          <w:p w14:paraId="2E652EE0">
            <w:pPr>
              <w:spacing w:line="360" w:lineRule="auto"/>
              <w:ind w:left="210" w:leftChars="100" w:firstLine="210" w:firstLineChars="100"/>
              <w:rPr>
                <w:rFonts w:hint="eastAsia" w:ascii="宋体" w:hAnsi="宋体"/>
                <w:color w:val="000000"/>
              </w:rPr>
            </w:pPr>
          </w:p>
        </w:tc>
        <w:tc>
          <w:tcPr>
            <w:tcW w:w="3410" w:type="pct"/>
            <w:tcBorders>
              <w:top w:val="single" w:color="000000" w:sz="4" w:space="0"/>
              <w:left w:val="nil"/>
              <w:bottom w:val="single" w:color="000000" w:sz="4" w:space="0"/>
              <w:right w:val="single" w:color="000000" w:sz="4" w:space="0"/>
            </w:tcBorders>
            <w:noWrap/>
            <w:vAlign w:val="center"/>
          </w:tcPr>
          <w:p w14:paraId="79596189">
            <w:pPr>
              <w:spacing w:line="360" w:lineRule="auto"/>
              <w:rPr>
                <w:rFonts w:hint="eastAsia" w:ascii="宋体" w:hAnsi="宋体"/>
                <w:color w:val="000000"/>
              </w:rPr>
            </w:pPr>
            <w:r>
              <w:rPr>
                <w:rFonts w:hint="eastAsia" w:ascii="宋体" w:hAnsi="宋体"/>
                <w:color w:val="000000"/>
              </w:rPr>
              <w:t>驻点人员应服从相关工作安排，未达要求的扣1-5分。季度总计10分</w:t>
            </w:r>
          </w:p>
        </w:tc>
        <w:tc>
          <w:tcPr>
            <w:tcW w:w="764" w:type="pct"/>
            <w:tcBorders>
              <w:top w:val="single" w:color="000000" w:sz="4" w:space="0"/>
              <w:left w:val="nil"/>
              <w:bottom w:val="single" w:color="000000" w:sz="4" w:space="0"/>
              <w:right w:val="single" w:color="000000" w:sz="4" w:space="0"/>
            </w:tcBorders>
            <w:noWrap/>
            <w:vAlign w:val="center"/>
          </w:tcPr>
          <w:p w14:paraId="69A08721">
            <w:pPr>
              <w:spacing w:line="360" w:lineRule="auto"/>
              <w:rPr>
                <w:rFonts w:hint="eastAsia" w:ascii="宋体" w:hAnsi="宋体"/>
                <w:color w:val="000000"/>
              </w:rPr>
            </w:pPr>
            <w:r>
              <w:rPr>
                <w:rFonts w:hint="eastAsia" w:ascii="宋体" w:hAnsi="宋体"/>
                <w:color w:val="000000"/>
              </w:rPr>
              <w:t>10</w:t>
            </w:r>
          </w:p>
        </w:tc>
      </w:tr>
      <w:tr w14:paraId="58568118">
        <w:tblPrEx>
          <w:tblCellMar>
            <w:top w:w="15" w:type="dxa"/>
            <w:left w:w="15" w:type="dxa"/>
            <w:bottom w:w="15" w:type="dxa"/>
            <w:right w:w="15" w:type="dxa"/>
          </w:tblCellMar>
        </w:tblPrEx>
        <w:trPr>
          <w:trHeight w:val="358" w:hRule="atLeast"/>
          <w:jc w:val="center"/>
        </w:trPr>
        <w:tc>
          <w:tcPr>
            <w:tcW w:w="825" w:type="pct"/>
            <w:vMerge w:val="restart"/>
            <w:tcBorders>
              <w:top w:val="nil"/>
              <w:left w:val="single" w:color="000000" w:sz="4" w:space="0"/>
              <w:bottom w:val="single" w:color="000000" w:sz="4" w:space="0"/>
              <w:right w:val="single" w:color="000000" w:sz="4" w:space="0"/>
            </w:tcBorders>
            <w:noWrap/>
            <w:vAlign w:val="center"/>
          </w:tcPr>
          <w:p w14:paraId="458537DF">
            <w:pPr>
              <w:spacing w:line="360" w:lineRule="auto"/>
              <w:ind w:left="210" w:leftChars="100" w:firstLine="210" w:firstLineChars="100"/>
              <w:rPr>
                <w:rFonts w:hint="eastAsia" w:ascii="宋体" w:hAnsi="宋体"/>
                <w:color w:val="000000"/>
              </w:rPr>
            </w:pPr>
            <w:r>
              <w:rPr>
                <w:rFonts w:hint="eastAsia" w:ascii="宋体" w:hAnsi="宋体"/>
                <w:color w:val="000000"/>
              </w:rPr>
              <w:t>应急保障</w:t>
            </w:r>
          </w:p>
        </w:tc>
        <w:tc>
          <w:tcPr>
            <w:tcW w:w="3410" w:type="pct"/>
            <w:tcBorders>
              <w:top w:val="single" w:color="000000" w:sz="4" w:space="0"/>
              <w:left w:val="nil"/>
              <w:bottom w:val="single" w:color="000000" w:sz="4" w:space="0"/>
              <w:right w:val="single" w:color="000000" w:sz="4" w:space="0"/>
            </w:tcBorders>
            <w:noWrap/>
            <w:vAlign w:val="center"/>
          </w:tcPr>
          <w:p w14:paraId="183AD531">
            <w:pPr>
              <w:spacing w:line="360" w:lineRule="auto"/>
              <w:rPr>
                <w:rFonts w:hint="eastAsia" w:ascii="宋体" w:hAnsi="宋体"/>
                <w:color w:val="000000"/>
              </w:rPr>
            </w:pPr>
            <w:r>
              <w:rPr>
                <w:rFonts w:hint="eastAsia" w:ascii="宋体" w:hAnsi="宋体"/>
                <w:color w:val="000000"/>
              </w:rPr>
              <w:t>未按售后服务故障响应要求执行的，每次扣2分。季度总计12分</w:t>
            </w:r>
          </w:p>
        </w:tc>
        <w:tc>
          <w:tcPr>
            <w:tcW w:w="764" w:type="pct"/>
            <w:tcBorders>
              <w:top w:val="single" w:color="000000" w:sz="4" w:space="0"/>
              <w:left w:val="nil"/>
              <w:bottom w:val="single" w:color="000000" w:sz="4" w:space="0"/>
              <w:right w:val="single" w:color="000000" w:sz="4" w:space="0"/>
            </w:tcBorders>
            <w:noWrap/>
            <w:vAlign w:val="center"/>
          </w:tcPr>
          <w:p w14:paraId="03DCA345">
            <w:pPr>
              <w:spacing w:line="360" w:lineRule="auto"/>
              <w:rPr>
                <w:rFonts w:hint="eastAsia" w:ascii="宋体" w:hAnsi="宋体"/>
                <w:color w:val="000000"/>
              </w:rPr>
            </w:pPr>
            <w:r>
              <w:rPr>
                <w:rFonts w:hint="eastAsia" w:ascii="宋体" w:hAnsi="宋体"/>
                <w:color w:val="000000"/>
              </w:rPr>
              <w:t>12</w:t>
            </w:r>
          </w:p>
        </w:tc>
      </w:tr>
      <w:tr w14:paraId="6CFDF0CC">
        <w:tblPrEx>
          <w:tblCellMar>
            <w:top w:w="15" w:type="dxa"/>
            <w:left w:w="15" w:type="dxa"/>
            <w:bottom w:w="15" w:type="dxa"/>
            <w:right w:w="15" w:type="dxa"/>
          </w:tblCellMar>
        </w:tblPrEx>
        <w:trPr>
          <w:trHeight w:val="358" w:hRule="atLeast"/>
          <w:jc w:val="center"/>
        </w:trPr>
        <w:tc>
          <w:tcPr>
            <w:tcW w:w="825" w:type="pct"/>
            <w:vMerge w:val="continue"/>
            <w:tcBorders>
              <w:top w:val="nil"/>
              <w:left w:val="single" w:color="000000" w:sz="4" w:space="0"/>
              <w:bottom w:val="single" w:color="000000" w:sz="4" w:space="0"/>
              <w:right w:val="single" w:color="000000" w:sz="4" w:space="0"/>
            </w:tcBorders>
            <w:noWrap/>
            <w:vAlign w:val="center"/>
          </w:tcPr>
          <w:p w14:paraId="31A2D7B7">
            <w:pPr>
              <w:spacing w:line="360" w:lineRule="auto"/>
              <w:ind w:left="210" w:leftChars="100" w:firstLine="210" w:firstLineChars="100"/>
              <w:rPr>
                <w:rFonts w:hint="eastAsia" w:ascii="宋体" w:hAnsi="宋体"/>
                <w:color w:val="000000"/>
              </w:rPr>
            </w:pPr>
          </w:p>
        </w:tc>
        <w:tc>
          <w:tcPr>
            <w:tcW w:w="3410" w:type="pct"/>
            <w:tcBorders>
              <w:top w:val="single" w:color="000000" w:sz="4" w:space="0"/>
              <w:left w:val="nil"/>
              <w:bottom w:val="single" w:color="000000" w:sz="4" w:space="0"/>
              <w:right w:val="single" w:color="000000" w:sz="4" w:space="0"/>
            </w:tcBorders>
            <w:noWrap/>
            <w:vAlign w:val="center"/>
          </w:tcPr>
          <w:p w14:paraId="53F16798">
            <w:pPr>
              <w:spacing w:line="360" w:lineRule="auto"/>
              <w:rPr>
                <w:rFonts w:hint="eastAsia" w:ascii="宋体" w:hAnsi="宋体"/>
                <w:color w:val="000000"/>
              </w:rPr>
            </w:pPr>
            <w:r>
              <w:rPr>
                <w:rFonts w:hint="eastAsia" w:ascii="宋体" w:hAnsi="宋体"/>
                <w:color w:val="000000"/>
              </w:rPr>
              <w:t>一般设备故障接报24小时内响应（节假日等特殊情况经我方同意可适当延长）未响应的，每次扣1分。季度总计9分</w:t>
            </w:r>
          </w:p>
        </w:tc>
        <w:tc>
          <w:tcPr>
            <w:tcW w:w="764" w:type="pct"/>
            <w:tcBorders>
              <w:top w:val="single" w:color="000000" w:sz="4" w:space="0"/>
              <w:left w:val="nil"/>
              <w:bottom w:val="single" w:color="000000" w:sz="4" w:space="0"/>
              <w:right w:val="single" w:color="000000" w:sz="4" w:space="0"/>
            </w:tcBorders>
            <w:noWrap/>
            <w:vAlign w:val="center"/>
          </w:tcPr>
          <w:p w14:paraId="548CC21D">
            <w:pPr>
              <w:spacing w:line="360" w:lineRule="auto"/>
              <w:rPr>
                <w:rFonts w:hint="eastAsia" w:ascii="宋体" w:hAnsi="宋体"/>
                <w:color w:val="000000"/>
              </w:rPr>
            </w:pPr>
            <w:r>
              <w:rPr>
                <w:rFonts w:hint="eastAsia" w:ascii="宋体" w:hAnsi="宋体"/>
                <w:color w:val="000000"/>
              </w:rPr>
              <w:t>9</w:t>
            </w:r>
          </w:p>
        </w:tc>
      </w:tr>
      <w:tr w14:paraId="5DD2838C">
        <w:tblPrEx>
          <w:tblCellMar>
            <w:top w:w="15" w:type="dxa"/>
            <w:left w:w="15" w:type="dxa"/>
            <w:bottom w:w="15" w:type="dxa"/>
            <w:right w:w="15" w:type="dxa"/>
          </w:tblCellMar>
        </w:tblPrEx>
        <w:trPr>
          <w:trHeight w:val="358" w:hRule="atLeast"/>
          <w:jc w:val="center"/>
        </w:trPr>
        <w:tc>
          <w:tcPr>
            <w:tcW w:w="825" w:type="pct"/>
            <w:vMerge w:val="continue"/>
            <w:tcBorders>
              <w:top w:val="nil"/>
              <w:left w:val="single" w:color="000000" w:sz="4" w:space="0"/>
              <w:bottom w:val="single" w:color="000000" w:sz="4" w:space="0"/>
              <w:right w:val="single" w:color="000000" w:sz="4" w:space="0"/>
            </w:tcBorders>
            <w:noWrap/>
            <w:vAlign w:val="center"/>
          </w:tcPr>
          <w:p w14:paraId="1D0A433E">
            <w:pPr>
              <w:spacing w:line="360" w:lineRule="auto"/>
              <w:ind w:left="210" w:leftChars="100" w:firstLine="210" w:firstLineChars="100"/>
              <w:rPr>
                <w:rFonts w:hint="eastAsia" w:ascii="宋体" w:hAnsi="宋体"/>
                <w:color w:val="000000"/>
              </w:rPr>
            </w:pPr>
          </w:p>
        </w:tc>
        <w:tc>
          <w:tcPr>
            <w:tcW w:w="3410" w:type="pct"/>
            <w:tcBorders>
              <w:top w:val="single" w:color="000000" w:sz="4" w:space="0"/>
              <w:left w:val="nil"/>
              <w:bottom w:val="single" w:color="000000" w:sz="4" w:space="0"/>
              <w:right w:val="single" w:color="000000" w:sz="4" w:space="0"/>
            </w:tcBorders>
            <w:noWrap/>
            <w:vAlign w:val="center"/>
          </w:tcPr>
          <w:p w14:paraId="6BC514C6">
            <w:pPr>
              <w:spacing w:line="360" w:lineRule="auto"/>
              <w:rPr>
                <w:rFonts w:hint="eastAsia" w:ascii="宋体" w:hAnsi="宋体"/>
                <w:color w:val="000000"/>
              </w:rPr>
            </w:pPr>
            <w:r>
              <w:rPr>
                <w:rFonts w:hint="eastAsia" w:ascii="宋体" w:hAnsi="宋体"/>
                <w:color w:val="000000"/>
              </w:rPr>
              <w:t>重大活动和任务期间，对我方的巡查、快修、值守任务要求不响应、不落实的，每次扣1-5分。季度总计10分</w:t>
            </w:r>
          </w:p>
        </w:tc>
        <w:tc>
          <w:tcPr>
            <w:tcW w:w="764" w:type="pct"/>
            <w:tcBorders>
              <w:top w:val="single" w:color="000000" w:sz="4" w:space="0"/>
              <w:left w:val="nil"/>
              <w:bottom w:val="single" w:color="000000" w:sz="4" w:space="0"/>
              <w:right w:val="single" w:color="000000" w:sz="4" w:space="0"/>
            </w:tcBorders>
            <w:noWrap/>
            <w:vAlign w:val="center"/>
          </w:tcPr>
          <w:p w14:paraId="02246414">
            <w:pPr>
              <w:spacing w:line="360" w:lineRule="auto"/>
              <w:rPr>
                <w:rFonts w:hint="eastAsia" w:ascii="宋体" w:hAnsi="宋体"/>
                <w:color w:val="000000"/>
              </w:rPr>
            </w:pPr>
            <w:r>
              <w:rPr>
                <w:rFonts w:hint="eastAsia" w:ascii="宋体" w:hAnsi="宋体"/>
                <w:color w:val="000000"/>
              </w:rPr>
              <w:t>10</w:t>
            </w:r>
          </w:p>
        </w:tc>
      </w:tr>
    </w:tbl>
    <w:p w14:paraId="796C2B1F">
      <w:pPr>
        <w:spacing w:line="360" w:lineRule="auto"/>
        <w:ind w:left="210" w:leftChars="100" w:firstLine="210" w:firstLineChars="100"/>
        <w:rPr>
          <w:rFonts w:hint="eastAsia" w:ascii="宋体" w:hAnsi="宋体"/>
          <w:color w:val="000000"/>
        </w:rPr>
      </w:pPr>
    </w:p>
    <w:p w14:paraId="4C04C3E0">
      <w:pPr>
        <w:spacing w:line="360" w:lineRule="exact"/>
        <w:rPr>
          <w:b/>
          <w:sz w:val="24"/>
        </w:rPr>
      </w:pPr>
      <w:r>
        <w:rPr>
          <w:rFonts w:hint="eastAsia"/>
          <w:b/>
          <w:sz w:val="24"/>
        </w:rPr>
        <w:t>招标人保留对合同文本的修改和完善的权利。</w:t>
      </w:r>
    </w:p>
    <w:p w14:paraId="34C32F8C">
      <w:pPr>
        <w:spacing w:line="360" w:lineRule="auto"/>
        <w:ind w:right="-334" w:rightChars="-159"/>
        <w:jc w:val="center"/>
        <w:rPr>
          <w:rFonts w:ascii="宋体" w:hAnsi="宋体" w:cs="宋体"/>
          <w:b/>
          <w:bCs/>
          <w:color w:val="595959"/>
          <w:sz w:val="36"/>
          <w:szCs w:val="36"/>
        </w:rPr>
      </w:pPr>
    </w:p>
    <w:p w14:paraId="026B36FA">
      <w:pPr>
        <w:spacing w:line="360" w:lineRule="auto"/>
        <w:ind w:right="-334" w:rightChars="-159"/>
        <w:jc w:val="center"/>
        <w:rPr>
          <w:rFonts w:ascii="宋体" w:hAnsi="宋体" w:cs="宋体"/>
          <w:b/>
          <w:bCs/>
          <w:color w:val="595959"/>
          <w:sz w:val="36"/>
          <w:szCs w:val="36"/>
        </w:rPr>
      </w:pPr>
    </w:p>
    <w:p w14:paraId="5834877F">
      <w:pPr>
        <w:spacing w:line="360" w:lineRule="auto"/>
        <w:ind w:right="-334" w:rightChars="-159"/>
        <w:jc w:val="center"/>
        <w:rPr>
          <w:rFonts w:ascii="宋体" w:hAnsi="宋体" w:cs="宋体"/>
          <w:b/>
          <w:bCs/>
          <w:color w:val="595959"/>
          <w:sz w:val="36"/>
          <w:szCs w:val="36"/>
        </w:rPr>
      </w:pPr>
    </w:p>
    <w:p w14:paraId="7AE19B00">
      <w:pPr>
        <w:spacing w:line="360" w:lineRule="auto"/>
        <w:ind w:right="-334" w:rightChars="-159"/>
        <w:jc w:val="center"/>
        <w:rPr>
          <w:rFonts w:ascii="宋体" w:hAnsi="宋体" w:cs="宋体"/>
          <w:b/>
          <w:bCs/>
          <w:color w:val="595959"/>
          <w:sz w:val="36"/>
          <w:szCs w:val="36"/>
        </w:rPr>
      </w:pPr>
    </w:p>
    <w:p w14:paraId="01D994DF">
      <w:pPr>
        <w:spacing w:line="360" w:lineRule="auto"/>
        <w:ind w:right="-334" w:rightChars="-159"/>
        <w:jc w:val="center"/>
        <w:rPr>
          <w:rFonts w:ascii="宋体" w:hAnsi="宋体" w:cs="宋体"/>
          <w:b/>
          <w:bCs/>
          <w:color w:val="595959"/>
          <w:sz w:val="36"/>
          <w:szCs w:val="36"/>
        </w:rPr>
      </w:pPr>
    </w:p>
    <w:p w14:paraId="2ADE800D">
      <w:pPr>
        <w:spacing w:line="360" w:lineRule="auto"/>
        <w:ind w:right="-334" w:rightChars="-159"/>
        <w:jc w:val="center"/>
        <w:rPr>
          <w:rFonts w:ascii="宋体" w:hAnsi="宋体" w:cs="宋体"/>
          <w:b/>
          <w:bCs/>
          <w:color w:val="595959"/>
          <w:sz w:val="36"/>
          <w:szCs w:val="36"/>
        </w:rPr>
      </w:pPr>
    </w:p>
    <w:p w14:paraId="76B9985E">
      <w:pPr>
        <w:spacing w:line="360" w:lineRule="auto"/>
        <w:ind w:right="-334" w:rightChars="-159"/>
        <w:jc w:val="center"/>
        <w:rPr>
          <w:rFonts w:ascii="宋体" w:hAnsi="宋体" w:cs="宋体"/>
          <w:b/>
          <w:bCs/>
          <w:color w:val="595959"/>
          <w:sz w:val="36"/>
          <w:szCs w:val="36"/>
        </w:rPr>
      </w:pPr>
    </w:p>
    <w:p w14:paraId="183FEF59">
      <w:pPr>
        <w:spacing w:line="360" w:lineRule="auto"/>
        <w:ind w:right="-334" w:rightChars="-159"/>
        <w:jc w:val="center"/>
        <w:rPr>
          <w:rFonts w:ascii="宋体" w:hAnsi="宋体" w:cs="宋体"/>
          <w:b/>
          <w:bCs/>
          <w:color w:val="595959"/>
          <w:sz w:val="36"/>
          <w:szCs w:val="36"/>
        </w:rPr>
      </w:pPr>
    </w:p>
    <w:p w14:paraId="34B2180D">
      <w:pPr>
        <w:spacing w:line="360" w:lineRule="auto"/>
        <w:ind w:right="-334" w:rightChars="-159"/>
        <w:jc w:val="center"/>
        <w:rPr>
          <w:rFonts w:ascii="宋体" w:hAnsi="宋体" w:cs="宋体"/>
          <w:b/>
          <w:bCs/>
          <w:color w:val="595959"/>
          <w:sz w:val="36"/>
          <w:szCs w:val="36"/>
        </w:rPr>
      </w:pPr>
    </w:p>
    <w:p w14:paraId="4CF854E3">
      <w:pPr>
        <w:spacing w:line="360" w:lineRule="auto"/>
        <w:ind w:right="-334" w:rightChars="-159"/>
        <w:jc w:val="center"/>
        <w:rPr>
          <w:rFonts w:ascii="宋体" w:hAnsi="宋体" w:cs="宋体"/>
          <w:b/>
          <w:bCs/>
          <w:color w:val="595959"/>
          <w:sz w:val="36"/>
          <w:szCs w:val="36"/>
        </w:rPr>
      </w:pPr>
    </w:p>
    <w:p w14:paraId="1CB21383">
      <w:pPr>
        <w:spacing w:line="360" w:lineRule="auto"/>
        <w:ind w:right="-334" w:rightChars="-159"/>
        <w:jc w:val="center"/>
        <w:rPr>
          <w:rFonts w:ascii="宋体" w:hAnsi="宋体" w:cs="宋体"/>
          <w:b/>
          <w:bCs/>
          <w:color w:val="595959"/>
          <w:sz w:val="36"/>
          <w:szCs w:val="36"/>
        </w:rPr>
      </w:pPr>
    </w:p>
    <w:p w14:paraId="7B15D221">
      <w:pPr>
        <w:spacing w:line="360" w:lineRule="auto"/>
        <w:ind w:right="-334" w:rightChars="-159"/>
        <w:jc w:val="center"/>
        <w:rPr>
          <w:rFonts w:ascii="宋体" w:hAnsi="宋体" w:cs="宋体"/>
          <w:b/>
          <w:bCs/>
          <w:color w:val="595959"/>
          <w:sz w:val="36"/>
          <w:szCs w:val="36"/>
        </w:rPr>
      </w:pPr>
    </w:p>
    <w:p w14:paraId="1E0A67AC">
      <w:pPr>
        <w:spacing w:line="360" w:lineRule="auto"/>
        <w:ind w:right="-334" w:rightChars="-159"/>
        <w:jc w:val="center"/>
        <w:rPr>
          <w:rFonts w:ascii="宋体" w:hAnsi="宋体" w:cs="宋体"/>
          <w:b/>
          <w:bCs/>
          <w:color w:val="595959"/>
          <w:sz w:val="36"/>
          <w:szCs w:val="36"/>
        </w:rPr>
      </w:pPr>
    </w:p>
    <w:p w14:paraId="0F4E24D2">
      <w:pPr>
        <w:spacing w:line="360" w:lineRule="auto"/>
        <w:ind w:right="-334" w:rightChars="-159"/>
        <w:jc w:val="center"/>
        <w:rPr>
          <w:rFonts w:ascii="宋体" w:hAnsi="宋体" w:cs="宋体"/>
          <w:b/>
          <w:bCs/>
          <w:color w:val="595959"/>
          <w:sz w:val="36"/>
          <w:szCs w:val="36"/>
        </w:rPr>
      </w:pPr>
    </w:p>
    <w:p w14:paraId="0D83B4D7">
      <w:pPr>
        <w:spacing w:line="360" w:lineRule="auto"/>
        <w:ind w:right="-334" w:rightChars="-159"/>
        <w:jc w:val="center"/>
        <w:rPr>
          <w:rFonts w:ascii="宋体"/>
          <w:b/>
          <w:bCs/>
          <w:color w:val="595959"/>
          <w:sz w:val="36"/>
          <w:szCs w:val="36"/>
        </w:rPr>
      </w:pPr>
      <w:r>
        <w:rPr>
          <w:rFonts w:hint="eastAsia" w:ascii="宋体" w:hAnsi="宋体" w:cs="宋体"/>
          <w:b/>
          <w:bCs/>
          <w:color w:val="595959"/>
          <w:sz w:val="36"/>
          <w:szCs w:val="36"/>
        </w:rPr>
        <w:t>第六章     投标文件格式</w:t>
      </w:r>
    </w:p>
    <w:p w14:paraId="60A15DFE">
      <w:pPr>
        <w:spacing w:line="360" w:lineRule="auto"/>
        <w:ind w:right="-334" w:rightChars="-159"/>
        <w:jc w:val="center"/>
        <w:rPr>
          <w:sz w:val="36"/>
          <w:szCs w:val="36"/>
        </w:rPr>
      </w:pPr>
    </w:p>
    <w:p w14:paraId="443FE65C">
      <w:pPr>
        <w:spacing w:line="360" w:lineRule="auto"/>
        <w:ind w:right="-334" w:rightChars="-159"/>
        <w:jc w:val="center"/>
        <w:rPr>
          <w:sz w:val="36"/>
          <w:szCs w:val="36"/>
        </w:rPr>
      </w:pPr>
      <w:r>
        <w:rPr>
          <w:rFonts w:hint="eastAsia"/>
          <w:sz w:val="36"/>
          <w:szCs w:val="36"/>
        </w:rPr>
        <w:t>南通市通州区市场监督管理局惠民工程（一期、二期、三期）运行维护项目</w:t>
      </w:r>
    </w:p>
    <w:p w14:paraId="387A5443">
      <w:pPr>
        <w:spacing w:line="360" w:lineRule="auto"/>
        <w:ind w:right="-334" w:rightChars="-159"/>
        <w:jc w:val="center"/>
        <w:rPr>
          <w:rFonts w:ascii="宋体"/>
          <w:b/>
          <w:bCs/>
          <w:color w:val="595959"/>
          <w:sz w:val="72"/>
          <w:szCs w:val="72"/>
        </w:rPr>
      </w:pPr>
    </w:p>
    <w:p w14:paraId="152F2D59">
      <w:pPr>
        <w:spacing w:line="360" w:lineRule="auto"/>
        <w:ind w:right="-334" w:rightChars="-159"/>
        <w:jc w:val="center"/>
        <w:rPr>
          <w:rFonts w:ascii="宋体"/>
          <w:b/>
          <w:bCs/>
          <w:color w:val="595959"/>
          <w:sz w:val="72"/>
          <w:szCs w:val="72"/>
        </w:rPr>
      </w:pPr>
      <w:r>
        <w:rPr>
          <w:rFonts w:ascii="宋体"/>
          <w:b/>
          <w:bCs/>
          <w:color w:val="595959"/>
          <w:sz w:val="72"/>
          <w:szCs w:val="72"/>
        </w:rPr>
        <w:t>投标文件</w:t>
      </w:r>
    </w:p>
    <w:p w14:paraId="002FBBE9">
      <w:pPr>
        <w:spacing w:line="360" w:lineRule="auto"/>
        <w:ind w:right="-334" w:rightChars="-159"/>
        <w:rPr>
          <w:rFonts w:ascii="宋体"/>
          <w:b/>
          <w:bCs/>
          <w:color w:val="595959"/>
          <w:sz w:val="44"/>
          <w:szCs w:val="44"/>
        </w:rPr>
      </w:pPr>
    </w:p>
    <w:p w14:paraId="02760C1F">
      <w:pPr>
        <w:spacing w:line="360" w:lineRule="auto"/>
        <w:ind w:right="-334" w:rightChars="-159"/>
        <w:jc w:val="center"/>
      </w:pPr>
      <w:r>
        <w:rPr>
          <w:rFonts w:ascii="宋体" w:hAnsi="宋体" w:cs="宋体"/>
          <w:b/>
          <w:bCs/>
          <w:color w:val="595959"/>
          <w:sz w:val="28"/>
          <w:szCs w:val="28"/>
        </w:rPr>
        <w:t>（</w:t>
      </w:r>
      <w:r>
        <w:rPr>
          <w:rFonts w:hint="eastAsia" w:ascii="宋体" w:hAnsi="宋体" w:cs="宋体"/>
          <w:b/>
          <w:bCs/>
          <w:color w:val="595959"/>
          <w:sz w:val="28"/>
          <w:szCs w:val="28"/>
        </w:rPr>
        <w:t>资格审查文件</w:t>
      </w:r>
      <w:r>
        <w:rPr>
          <w:rFonts w:ascii="宋体" w:hAnsi="宋体" w:cs="宋体"/>
          <w:b/>
          <w:bCs/>
          <w:color w:val="595959"/>
          <w:sz w:val="28"/>
          <w:szCs w:val="28"/>
        </w:rPr>
        <w:t>/</w:t>
      </w:r>
      <w:r>
        <w:rPr>
          <w:rFonts w:hint="eastAsia" w:ascii="宋体" w:hAnsi="宋体" w:cs="宋体"/>
          <w:b/>
          <w:bCs/>
          <w:color w:val="595959"/>
          <w:sz w:val="28"/>
          <w:szCs w:val="28"/>
        </w:rPr>
        <w:t>商务</w:t>
      </w:r>
      <w:r>
        <w:rPr>
          <w:rFonts w:ascii="宋体" w:hAnsi="宋体" w:cs="宋体"/>
          <w:b/>
          <w:bCs/>
          <w:color w:val="595959"/>
          <w:sz w:val="28"/>
          <w:szCs w:val="28"/>
        </w:rPr>
        <w:t>技术</w:t>
      </w:r>
      <w:r>
        <w:rPr>
          <w:rFonts w:hint="eastAsia" w:ascii="宋体" w:hAnsi="宋体" w:cs="宋体"/>
          <w:b/>
          <w:bCs/>
          <w:color w:val="595959"/>
          <w:sz w:val="28"/>
          <w:szCs w:val="28"/>
        </w:rPr>
        <w:t>标</w:t>
      </w:r>
      <w:r>
        <w:rPr>
          <w:rFonts w:ascii="宋体" w:hAnsi="宋体" w:cs="宋体"/>
          <w:b/>
          <w:bCs/>
          <w:color w:val="595959"/>
          <w:sz w:val="28"/>
          <w:szCs w:val="28"/>
        </w:rPr>
        <w:t>/价格标</w:t>
      </w:r>
      <w:r>
        <w:rPr>
          <w:rFonts w:ascii="宋体"/>
          <w:b/>
          <w:bCs/>
          <w:color w:val="595959"/>
          <w:sz w:val="28"/>
          <w:szCs w:val="28"/>
        </w:rPr>
        <w:t>）</w:t>
      </w:r>
    </w:p>
    <w:p w14:paraId="40C2D15B">
      <w:pPr>
        <w:spacing w:line="360" w:lineRule="auto"/>
        <w:ind w:right="-334" w:rightChars="-159" w:firstLine="630" w:firstLineChars="196"/>
        <w:rPr>
          <w:rFonts w:ascii="宋体"/>
          <w:b/>
          <w:bCs/>
          <w:color w:val="595959"/>
          <w:sz w:val="32"/>
          <w:szCs w:val="32"/>
          <w:u w:val="single"/>
        </w:rPr>
      </w:pPr>
      <w:r>
        <w:rPr>
          <w:rFonts w:hint="eastAsia" w:ascii="宋体" w:hAnsi="宋体" w:cs="宋体"/>
          <w:b/>
          <w:bCs/>
          <w:color w:val="595959"/>
          <w:sz w:val="32"/>
          <w:szCs w:val="32"/>
        </w:rPr>
        <w:t>投标人（盖章）：</w:t>
      </w:r>
    </w:p>
    <w:p w14:paraId="5206B24E">
      <w:pPr>
        <w:spacing w:line="360" w:lineRule="auto"/>
        <w:ind w:right="-334" w:rightChars="-159" w:firstLine="630" w:firstLineChars="196"/>
        <w:rPr>
          <w:rFonts w:ascii="宋体"/>
          <w:b/>
          <w:bCs/>
          <w:color w:val="595959"/>
          <w:sz w:val="32"/>
          <w:szCs w:val="32"/>
          <w:u w:val="single"/>
        </w:rPr>
      </w:pPr>
    </w:p>
    <w:p w14:paraId="445C44DE">
      <w:pPr>
        <w:spacing w:line="360" w:lineRule="auto"/>
        <w:ind w:right="-334" w:rightChars="-159" w:firstLine="630" w:firstLineChars="196"/>
        <w:rPr>
          <w:rFonts w:ascii="宋体"/>
          <w:b/>
          <w:bCs/>
          <w:color w:val="595959"/>
          <w:sz w:val="32"/>
          <w:szCs w:val="32"/>
          <w:u w:val="single"/>
        </w:rPr>
      </w:pPr>
      <w:r>
        <w:rPr>
          <w:rFonts w:hint="eastAsia" w:ascii="宋体" w:hAnsi="宋体" w:cs="宋体"/>
          <w:b/>
          <w:bCs/>
          <w:color w:val="595959"/>
          <w:sz w:val="32"/>
          <w:szCs w:val="32"/>
        </w:rPr>
        <w:t>法定代表人或委托代理人（签字或盖章）：</w:t>
      </w:r>
    </w:p>
    <w:p w14:paraId="162435AF">
      <w:pPr>
        <w:spacing w:line="360" w:lineRule="auto"/>
        <w:ind w:right="-334" w:rightChars="-159" w:firstLine="626" w:firstLineChars="195"/>
        <w:rPr>
          <w:rFonts w:ascii="宋体"/>
          <w:b/>
          <w:bCs/>
          <w:color w:val="595959"/>
          <w:sz w:val="32"/>
          <w:szCs w:val="32"/>
        </w:rPr>
      </w:pPr>
      <w:r>
        <w:rPr>
          <w:rFonts w:hint="eastAsia" w:ascii="宋体" w:hAnsi="宋体" w:cs="宋体"/>
          <w:b/>
          <w:bCs/>
          <w:color w:val="595959"/>
          <w:sz w:val="32"/>
          <w:szCs w:val="32"/>
        </w:rPr>
        <w:t>日期：年月日</w:t>
      </w:r>
    </w:p>
    <w:p w14:paraId="2328797C">
      <w:pPr>
        <w:pStyle w:val="2"/>
        <w:jc w:val="center"/>
        <w:rPr>
          <w:rFonts w:ascii="宋体" w:cs="Times New Roman"/>
          <w:color w:val="595959"/>
        </w:rPr>
      </w:pPr>
      <w:bookmarkStart w:id="127" w:name="_Toc329181719"/>
      <w:bookmarkStart w:id="128" w:name="_Toc329181721"/>
      <w:r>
        <w:rPr>
          <w:rFonts w:hint="eastAsia" w:ascii="宋体" w:hAnsi="宋体" w:cs="宋体"/>
          <w:color w:val="595959"/>
        </w:rPr>
        <w:t>一、法定代表人身份证明书</w:t>
      </w:r>
      <w:bookmarkEnd w:id="127"/>
    </w:p>
    <w:p w14:paraId="2A2E643C">
      <w:pPr>
        <w:spacing w:line="520" w:lineRule="exact"/>
        <w:ind w:firstLine="480" w:firstLineChars="200"/>
        <w:rPr>
          <w:rFonts w:ascii="宋体"/>
          <w:color w:val="595959"/>
          <w:sz w:val="24"/>
          <w:szCs w:val="24"/>
        </w:rPr>
      </w:pPr>
      <w:r>
        <w:rPr>
          <w:rFonts w:hint="eastAsia" w:ascii="宋体" w:hAnsi="宋体" w:cs="宋体"/>
          <w:color w:val="595959"/>
          <w:sz w:val="24"/>
          <w:szCs w:val="24"/>
        </w:rPr>
        <w:t>投标人单位名称：</w:t>
      </w:r>
    </w:p>
    <w:p w14:paraId="3C277DC6">
      <w:pPr>
        <w:spacing w:line="520" w:lineRule="exact"/>
        <w:ind w:firstLine="480" w:firstLineChars="200"/>
        <w:rPr>
          <w:rFonts w:ascii="宋体"/>
          <w:color w:val="595959"/>
          <w:sz w:val="24"/>
          <w:szCs w:val="24"/>
        </w:rPr>
      </w:pPr>
      <w:r>
        <w:rPr>
          <w:rFonts w:hint="eastAsia" w:ascii="宋体" w:hAnsi="宋体" w:cs="宋体"/>
          <w:color w:val="595959"/>
          <w:sz w:val="24"/>
          <w:szCs w:val="24"/>
        </w:rPr>
        <w:t>投标人单位地址：</w:t>
      </w:r>
    </w:p>
    <w:p w14:paraId="5AE1BD89">
      <w:pPr>
        <w:spacing w:line="520" w:lineRule="exact"/>
        <w:ind w:firstLine="480" w:firstLineChars="200"/>
        <w:rPr>
          <w:rFonts w:ascii="宋体"/>
          <w:color w:val="595959"/>
          <w:sz w:val="24"/>
          <w:szCs w:val="24"/>
        </w:rPr>
      </w:pPr>
      <w:r>
        <w:rPr>
          <w:rFonts w:hint="eastAsia" w:ascii="宋体" w:hAnsi="宋体" w:cs="宋体"/>
          <w:color w:val="595959"/>
          <w:sz w:val="24"/>
          <w:szCs w:val="24"/>
        </w:rPr>
        <w:t>姓名：性别：年龄：职务：</w:t>
      </w:r>
    </w:p>
    <w:p w14:paraId="249EC7DD">
      <w:pPr>
        <w:spacing w:line="520" w:lineRule="exact"/>
        <w:ind w:firstLine="480" w:firstLineChars="200"/>
        <w:rPr>
          <w:rFonts w:ascii="宋体"/>
          <w:color w:val="595959"/>
          <w:sz w:val="24"/>
          <w:szCs w:val="24"/>
        </w:rPr>
      </w:pPr>
      <w:r>
        <w:rPr>
          <w:rFonts w:hint="eastAsia" w:ascii="宋体" w:hAnsi="宋体" w:cs="宋体"/>
          <w:color w:val="595959"/>
          <w:sz w:val="24"/>
          <w:szCs w:val="24"/>
        </w:rPr>
        <w:t>系</w:t>
      </w:r>
      <w:r>
        <w:rPr>
          <w:rFonts w:ascii="宋体" w:hAnsi="宋体" w:cs="宋体"/>
          <w:color w:val="595959"/>
          <w:sz w:val="24"/>
          <w:szCs w:val="24"/>
        </w:rPr>
        <w:t>______________</w:t>
      </w:r>
      <w:r>
        <w:rPr>
          <w:rFonts w:hint="eastAsia" w:ascii="宋体" w:hAnsi="宋体" w:cs="宋体"/>
          <w:color w:val="595959"/>
          <w:sz w:val="24"/>
          <w:szCs w:val="24"/>
        </w:rPr>
        <w:t>（投标人单位名称）的法定代表人。</w:t>
      </w:r>
    </w:p>
    <w:p w14:paraId="5166DDAD">
      <w:pPr>
        <w:spacing w:line="520" w:lineRule="exact"/>
        <w:ind w:firstLine="480" w:firstLineChars="200"/>
        <w:rPr>
          <w:rFonts w:ascii="宋体"/>
          <w:color w:val="595959"/>
          <w:sz w:val="24"/>
          <w:szCs w:val="24"/>
        </w:rPr>
      </w:pPr>
      <w:r>
        <w:rPr>
          <w:rFonts w:hint="eastAsia" w:ascii="宋体" w:hAnsi="宋体" w:cs="宋体"/>
          <w:color w:val="595959"/>
          <w:sz w:val="24"/>
          <w:szCs w:val="24"/>
        </w:rPr>
        <w:t>特此证明。</w:t>
      </w:r>
    </w:p>
    <w:p w14:paraId="4A00D8FB">
      <w:pPr>
        <w:spacing w:line="520" w:lineRule="exact"/>
        <w:ind w:firstLine="480" w:firstLineChars="200"/>
        <w:rPr>
          <w:rFonts w:ascii="宋体"/>
          <w:color w:val="595959"/>
          <w:sz w:val="24"/>
          <w:szCs w:val="24"/>
        </w:rPr>
      </w:pPr>
      <w:r>
        <w:rPr>
          <w:rFonts w:hint="eastAsia" w:ascii="宋体" w:hAnsi="宋体" w:cs="宋体"/>
          <w:color w:val="595959"/>
          <w:sz w:val="24"/>
          <w:szCs w:val="24"/>
        </w:rPr>
        <w:t>投标人（盖单位章）：</w:t>
      </w:r>
    </w:p>
    <w:p w14:paraId="20EDE86D">
      <w:pPr>
        <w:spacing w:line="520" w:lineRule="exact"/>
        <w:ind w:firstLine="480" w:firstLineChars="200"/>
        <w:rPr>
          <w:rFonts w:ascii="宋体"/>
          <w:color w:val="595959"/>
          <w:sz w:val="24"/>
          <w:szCs w:val="24"/>
        </w:rPr>
      </w:pPr>
    </w:p>
    <w:p w14:paraId="62542A74">
      <w:pPr>
        <w:spacing w:line="520" w:lineRule="exact"/>
        <w:ind w:firstLine="480" w:firstLineChars="200"/>
        <w:rPr>
          <w:rFonts w:ascii="宋体"/>
          <w:color w:val="595959"/>
          <w:sz w:val="24"/>
          <w:szCs w:val="24"/>
        </w:rPr>
      </w:pPr>
      <w:r>
        <w:rPr>
          <w:rFonts w:hint="eastAsia" w:ascii="宋体" w:hAnsi="宋体" w:cs="宋体"/>
          <w:color w:val="595959"/>
          <w:sz w:val="24"/>
          <w:szCs w:val="24"/>
        </w:rPr>
        <w:t>日期：年月日</w:t>
      </w:r>
    </w:p>
    <w:p w14:paraId="52D1A7CA">
      <w:pPr>
        <w:pStyle w:val="5"/>
        <w:spacing w:line="480" w:lineRule="exact"/>
        <w:ind w:firstLine="0"/>
        <w:jc w:val="left"/>
        <w:rPr>
          <w:rFonts w:ascii="宋体" w:hAnsi="宋体" w:cs="宋体"/>
          <w:color w:val="595959"/>
          <w:kern w:val="2"/>
        </w:rPr>
      </w:pPr>
      <w:r>
        <w:rPr>
          <w:rFonts w:hint="eastAsia" w:ascii="宋体" w:hAnsi="宋体" w:cs="宋体"/>
          <w:color w:val="595959"/>
          <w:kern w:val="2"/>
        </w:rPr>
        <w:t>附身份证复印件</w:t>
      </w:r>
    </w:p>
    <w:p w14:paraId="38A91A78">
      <w:pPr>
        <w:pStyle w:val="2"/>
        <w:jc w:val="center"/>
        <w:rPr>
          <w:rFonts w:ascii="宋体" w:cs="Times New Roman"/>
          <w:color w:val="595959"/>
        </w:rPr>
      </w:pPr>
      <w:bookmarkStart w:id="129" w:name="_Toc329181720"/>
      <w:r>
        <w:rPr>
          <w:rFonts w:hint="eastAsia" w:ascii="宋体" w:hAnsi="宋体" w:cs="宋体"/>
          <w:color w:val="595959"/>
        </w:rPr>
        <w:t>二、授权委托书</w:t>
      </w:r>
      <w:bookmarkEnd w:id="129"/>
    </w:p>
    <w:p w14:paraId="119A5708">
      <w:pPr>
        <w:pStyle w:val="5"/>
        <w:spacing w:line="480" w:lineRule="exact"/>
        <w:ind w:firstLine="480"/>
        <w:rPr>
          <w:rFonts w:ascii="宋体"/>
          <w:color w:val="595959"/>
          <w:sz w:val="25"/>
          <w:szCs w:val="25"/>
        </w:rPr>
      </w:pPr>
    </w:p>
    <w:p w14:paraId="5187472F">
      <w:pPr>
        <w:spacing w:line="500" w:lineRule="exact"/>
        <w:ind w:firstLine="573"/>
        <w:rPr>
          <w:rFonts w:ascii="宋体"/>
          <w:color w:val="595959"/>
          <w:sz w:val="24"/>
          <w:szCs w:val="24"/>
        </w:rPr>
      </w:pPr>
      <w:r>
        <w:rPr>
          <w:rFonts w:hint="eastAsia" w:ascii="宋体" w:hAnsi="宋体" w:cs="宋体"/>
          <w:color w:val="595959"/>
          <w:sz w:val="24"/>
          <w:szCs w:val="24"/>
        </w:rPr>
        <w:t>本人</w:t>
      </w:r>
      <w:r>
        <w:rPr>
          <w:rFonts w:ascii="宋体" w:hAnsi="宋体" w:cs="宋体"/>
          <w:color w:val="595959"/>
          <w:sz w:val="24"/>
          <w:szCs w:val="24"/>
        </w:rPr>
        <w:t>_________(</w:t>
      </w:r>
      <w:r>
        <w:rPr>
          <w:rFonts w:hint="eastAsia" w:ascii="宋体" w:hAnsi="宋体" w:cs="宋体"/>
          <w:color w:val="595959"/>
          <w:sz w:val="24"/>
          <w:szCs w:val="24"/>
        </w:rPr>
        <w:t>姓名</w:t>
      </w:r>
      <w:r>
        <w:rPr>
          <w:rFonts w:ascii="宋体" w:hAnsi="宋体" w:cs="宋体"/>
          <w:color w:val="595959"/>
          <w:sz w:val="24"/>
          <w:szCs w:val="24"/>
        </w:rPr>
        <w:t>)</w:t>
      </w:r>
      <w:r>
        <w:rPr>
          <w:rFonts w:hint="eastAsia" w:ascii="宋体" w:hAnsi="宋体" w:cs="宋体"/>
          <w:color w:val="595959"/>
          <w:sz w:val="24"/>
          <w:szCs w:val="24"/>
        </w:rPr>
        <w:t>系</w:t>
      </w:r>
      <w:r>
        <w:rPr>
          <w:rFonts w:ascii="宋体" w:hAnsi="宋体" w:cs="宋体"/>
          <w:color w:val="595959"/>
          <w:sz w:val="24"/>
          <w:szCs w:val="24"/>
        </w:rPr>
        <w:t>___________________(</w:t>
      </w:r>
      <w:r>
        <w:rPr>
          <w:rFonts w:hint="eastAsia" w:ascii="宋体" w:hAnsi="宋体" w:cs="宋体"/>
          <w:color w:val="595959"/>
          <w:sz w:val="24"/>
          <w:szCs w:val="24"/>
        </w:rPr>
        <w:t>投标人单位名称</w:t>
      </w:r>
      <w:r>
        <w:rPr>
          <w:rFonts w:ascii="宋体" w:hAnsi="宋体" w:cs="宋体"/>
          <w:color w:val="595959"/>
          <w:sz w:val="24"/>
          <w:szCs w:val="24"/>
        </w:rPr>
        <w:t>)</w:t>
      </w:r>
      <w:r>
        <w:rPr>
          <w:rFonts w:hint="eastAsia" w:ascii="宋体" w:hAnsi="宋体" w:cs="宋体"/>
          <w:color w:val="595959"/>
          <w:sz w:val="24"/>
          <w:szCs w:val="24"/>
        </w:rPr>
        <w:t>的法定代表人，现委托</w:t>
      </w:r>
      <w:r>
        <w:rPr>
          <w:rFonts w:ascii="宋体" w:hAnsi="宋体" w:cs="宋体"/>
          <w:color w:val="595959"/>
          <w:sz w:val="24"/>
          <w:szCs w:val="24"/>
        </w:rPr>
        <w:t>_____________(</w:t>
      </w:r>
      <w:r>
        <w:rPr>
          <w:rFonts w:hint="eastAsia" w:ascii="宋体" w:hAnsi="宋体" w:cs="宋体"/>
          <w:color w:val="595959"/>
          <w:sz w:val="24"/>
          <w:szCs w:val="24"/>
        </w:rPr>
        <w:t>姓名</w:t>
      </w:r>
      <w:r>
        <w:rPr>
          <w:rFonts w:ascii="宋体" w:hAnsi="宋体" w:cs="宋体"/>
          <w:color w:val="595959"/>
          <w:sz w:val="24"/>
          <w:szCs w:val="24"/>
        </w:rPr>
        <w:t>)</w:t>
      </w:r>
      <w:r>
        <w:rPr>
          <w:rFonts w:hint="eastAsia" w:ascii="宋体" w:hAnsi="宋体" w:cs="宋体"/>
          <w:color w:val="595959"/>
          <w:sz w:val="24"/>
          <w:szCs w:val="24"/>
        </w:rPr>
        <w:t>（身份证号：）为我方代理人。代理人根据授权，以我方名义签署、澄清、说明、补正、递交、撤回、修改（项目名称）投标文件，签订合同和处理有关事宜，其法律后果由我方承担。</w:t>
      </w:r>
    </w:p>
    <w:p w14:paraId="62FCC8C3">
      <w:pPr>
        <w:spacing w:line="500" w:lineRule="exact"/>
        <w:ind w:firstLine="573"/>
        <w:rPr>
          <w:rFonts w:ascii="宋体"/>
          <w:color w:val="595959"/>
          <w:sz w:val="24"/>
          <w:szCs w:val="24"/>
        </w:rPr>
      </w:pPr>
      <w:r>
        <w:rPr>
          <w:rFonts w:hint="eastAsia" w:ascii="宋体" w:hAnsi="宋体" w:cs="宋体"/>
          <w:color w:val="595959"/>
          <w:sz w:val="24"/>
          <w:szCs w:val="24"/>
        </w:rPr>
        <w:t>委托期限：</w:t>
      </w:r>
    </w:p>
    <w:p w14:paraId="3BC2ACC9">
      <w:pPr>
        <w:spacing w:line="500" w:lineRule="exact"/>
        <w:ind w:firstLine="573"/>
        <w:rPr>
          <w:rFonts w:ascii="宋体"/>
          <w:color w:val="595959"/>
          <w:sz w:val="24"/>
          <w:szCs w:val="24"/>
        </w:rPr>
      </w:pPr>
      <w:r>
        <w:rPr>
          <w:rFonts w:hint="eastAsia" w:ascii="宋体" w:hAnsi="宋体" w:cs="宋体"/>
          <w:color w:val="595959"/>
          <w:sz w:val="24"/>
          <w:szCs w:val="24"/>
        </w:rPr>
        <w:t>代理人无转委托权。</w:t>
      </w:r>
    </w:p>
    <w:p w14:paraId="4A50B314">
      <w:pPr>
        <w:spacing w:line="500" w:lineRule="exact"/>
        <w:ind w:firstLine="573"/>
        <w:rPr>
          <w:rFonts w:ascii="宋体"/>
          <w:color w:val="595959"/>
          <w:sz w:val="24"/>
          <w:szCs w:val="24"/>
        </w:rPr>
      </w:pPr>
      <w:r>
        <w:rPr>
          <w:rFonts w:hint="eastAsia" w:ascii="宋体" w:hAnsi="宋体" w:cs="宋体"/>
          <w:color w:val="595959"/>
          <w:sz w:val="24"/>
          <w:szCs w:val="24"/>
        </w:rPr>
        <w:t>代理人：性别：年龄：</w:t>
      </w:r>
    </w:p>
    <w:p w14:paraId="4CEE16DF">
      <w:pPr>
        <w:spacing w:line="500" w:lineRule="exact"/>
        <w:ind w:firstLine="573"/>
        <w:rPr>
          <w:rFonts w:ascii="宋体"/>
          <w:color w:val="595959"/>
          <w:sz w:val="24"/>
          <w:szCs w:val="24"/>
        </w:rPr>
      </w:pPr>
      <w:r>
        <w:rPr>
          <w:rFonts w:hint="eastAsia" w:ascii="宋体" w:hAnsi="宋体" w:cs="宋体"/>
          <w:color w:val="595959"/>
          <w:sz w:val="24"/>
          <w:szCs w:val="24"/>
        </w:rPr>
        <w:t>代理人单位：部门：职务：</w:t>
      </w:r>
    </w:p>
    <w:p w14:paraId="1C5984AB">
      <w:pPr>
        <w:spacing w:line="500" w:lineRule="exact"/>
        <w:ind w:firstLine="573"/>
        <w:rPr>
          <w:rFonts w:ascii="宋体"/>
          <w:color w:val="595959"/>
          <w:sz w:val="24"/>
          <w:szCs w:val="24"/>
        </w:rPr>
      </w:pPr>
      <w:r>
        <w:rPr>
          <w:rFonts w:hint="eastAsia" w:ascii="宋体" w:hAnsi="宋体" w:cs="宋体"/>
          <w:color w:val="595959"/>
          <w:sz w:val="24"/>
          <w:szCs w:val="24"/>
        </w:rPr>
        <w:t>投标人（盖单位章）：</w:t>
      </w:r>
    </w:p>
    <w:p w14:paraId="2224A922">
      <w:pPr>
        <w:spacing w:line="500" w:lineRule="exact"/>
        <w:ind w:firstLine="573"/>
        <w:rPr>
          <w:rFonts w:ascii="宋体"/>
          <w:color w:val="595959"/>
          <w:sz w:val="24"/>
          <w:szCs w:val="24"/>
        </w:rPr>
      </w:pPr>
      <w:r>
        <w:rPr>
          <w:rFonts w:hint="eastAsia" w:ascii="宋体" w:hAnsi="宋体" w:cs="宋体"/>
          <w:color w:val="595959"/>
          <w:sz w:val="24"/>
          <w:szCs w:val="24"/>
        </w:rPr>
        <w:t>法人代表人（签字或印章）：</w:t>
      </w:r>
    </w:p>
    <w:p w14:paraId="7E50C61E">
      <w:pPr>
        <w:spacing w:line="500" w:lineRule="exact"/>
        <w:ind w:firstLine="573"/>
        <w:rPr>
          <w:rFonts w:ascii="宋体"/>
          <w:color w:val="595959"/>
          <w:sz w:val="24"/>
          <w:szCs w:val="24"/>
        </w:rPr>
      </w:pPr>
      <w:r>
        <w:rPr>
          <w:rFonts w:hint="eastAsia" w:ascii="宋体" w:hAnsi="宋体" w:cs="宋体"/>
          <w:color w:val="595959"/>
          <w:sz w:val="24"/>
          <w:szCs w:val="24"/>
        </w:rPr>
        <w:t>日期：</w:t>
      </w:r>
    </w:p>
    <w:bookmarkEnd w:id="128"/>
    <w:p w14:paraId="388BC814">
      <w:pPr>
        <w:pStyle w:val="5"/>
        <w:spacing w:line="480" w:lineRule="exact"/>
        <w:ind w:firstLine="0"/>
        <w:jc w:val="left"/>
        <w:rPr>
          <w:rFonts w:ascii="宋体" w:hAnsi="宋体" w:cs="宋体"/>
          <w:color w:val="595959"/>
          <w:kern w:val="2"/>
        </w:rPr>
      </w:pPr>
      <w:r>
        <w:rPr>
          <w:rFonts w:hint="eastAsia" w:ascii="宋体" w:hAnsi="宋体" w:cs="宋体"/>
          <w:color w:val="595959"/>
          <w:kern w:val="2"/>
        </w:rPr>
        <w:t>附身份证复印件</w:t>
      </w:r>
    </w:p>
    <w:p w14:paraId="06FF83C8">
      <w:pPr>
        <w:spacing w:line="520" w:lineRule="exact"/>
        <w:jc w:val="center"/>
        <w:rPr>
          <w:rFonts w:eastAsia="黑体"/>
          <w:sz w:val="32"/>
          <w:szCs w:val="24"/>
        </w:rPr>
      </w:pPr>
    </w:p>
    <w:p w14:paraId="62FCF1B7">
      <w:pPr>
        <w:spacing w:line="520" w:lineRule="exact"/>
        <w:jc w:val="center"/>
        <w:rPr>
          <w:rFonts w:ascii="宋体" w:hAnsi="宋体" w:cs="宋体"/>
          <w:b/>
          <w:bCs/>
          <w:color w:val="595959"/>
          <w:sz w:val="32"/>
          <w:szCs w:val="32"/>
        </w:rPr>
      </w:pPr>
    </w:p>
    <w:p w14:paraId="5C4EDCED">
      <w:pPr>
        <w:spacing w:line="500" w:lineRule="exact"/>
        <w:ind w:firstLine="573"/>
        <w:jc w:val="center"/>
        <w:rPr>
          <w:rFonts w:ascii="宋体" w:hAnsi="宋体" w:cs="宋体"/>
          <w:b/>
          <w:bCs/>
          <w:color w:val="595959"/>
          <w:sz w:val="32"/>
          <w:szCs w:val="32"/>
        </w:rPr>
      </w:pPr>
      <w:r>
        <w:rPr>
          <w:rFonts w:hint="eastAsia" w:ascii="宋体" w:hAnsi="宋体" w:cs="宋体"/>
          <w:b/>
          <w:bCs/>
          <w:color w:val="595959"/>
          <w:sz w:val="32"/>
          <w:szCs w:val="32"/>
        </w:rPr>
        <w:t>三、投标声明函</w:t>
      </w:r>
    </w:p>
    <w:p w14:paraId="2AC53E9D">
      <w:pPr>
        <w:spacing w:line="500" w:lineRule="exact"/>
        <w:ind w:firstLine="573"/>
        <w:rPr>
          <w:rFonts w:ascii="宋体" w:hAnsi="宋体" w:cs="宋体"/>
          <w:color w:val="595959"/>
          <w:sz w:val="24"/>
          <w:szCs w:val="24"/>
        </w:rPr>
      </w:pPr>
      <w:r>
        <w:rPr>
          <w:rFonts w:hint="eastAsia" w:ascii="宋体" w:hAnsi="宋体" w:cs="宋体"/>
          <w:color w:val="595959"/>
          <w:sz w:val="24"/>
          <w:szCs w:val="24"/>
        </w:rPr>
        <w:t>致：南通市通州区市场监督管理局</w:t>
      </w:r>
    </w:p>
    <w:p w14:paraId="128C2103">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我方承诺完全具备《政府采购法》第二十二条第一款规定的条件以及本项目招标文件规定的投标人须满足的特定条件。</w:t>
      </w:r>
    </w:p>
    <w:p w14:paraId="42DF159A">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我方承诺参加本次采购活动前三年内，在经营活动中没有重大违法记录，否则，可将我方的投标文件按照无效投标文件处理。</w:t>
      </w:r>
    </w:p>
    <w:p w14:paraId="4EED7465">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我方承诺按照本项目招标文件和相关技术标准的条件，提供工程建设和相关货物及相关服务，并承担因建设质量、货物质量或服务等引起的一切责任。</w:t>
      </w:r>
    </w:p>
    <w:p w14:paraId="60B21FB2">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我方对本项目招标文件（包括修改文件及有关附件）完全理解，并承诺在发生争议时，不会以对招标文件存在误解、不明为由，向你方行使任何法律上的抗辩权。</w:t>
      </w:r>
    </w:p>
    <w:p w14:paraId="3D030A53">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我方投标文件有效期为自开标日起60天，若中标，则投标有效期自动延续至合同履行完毕。</w:t>
      </w:r>
    </w:p>
    <w:p w14:paraId="7A8300E4">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我方承诺接受招标文件规定的付款方式。</w:t>
      </w:r>
    </w:p>
    <w:p w14:paraId="1E4ED423">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14:paraId="762A2904">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投标文件中所有的资料及所作各项承诺均真实准确，所提交的营业执照/《事业单位法人证书》已依法向登记管理机关报送相应的年度报告并予以公示（或所提交的《社会团体法人登记证书》/《民办非企业单位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14:paraId="666E50F3">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我方委托授权(姓名：             身份证号:           ，联系电话          ：)作为我方的代理人参加本项目投标，负责提交投标文件以及其它相关资料，参加开标，接受质询并予以澄清，签署、接受招投标过程中的各种法律文件，办理投标过程中的其他相关事务。</w:t>
      </w:r>
    </w:p>
    <w:p w14:paraId="024CAFF9">
      <w:pPr>
        <w:spacing w:line="500" w:lineRule="exact"/>
        <w:ind w:firstLine="573"/>
        <w:rPr>
          <w:rFonts w:ascii="宋体" w:hAnsi="宋体" w:cs="宋体"/>
          <w:color w:val="595959"/>
          <w:sz w:val="24"/>
          <w:szCs w:val="24"/>
        </w:rPr>
      </w:pPr>
      <w:r>
        <w:rPr>
          <w:rFonts w:hint="eastAsia" w:ascii="宋体" w:hAnsi="宋体" w:cs="宋体"/>
          <w:color w:val="595959"/>
          <w:sz w:val="24"/>
          <w:szCs w:val="24"/>
        </w:rPr>
        <w:t>我方承诺将严格遵守《中华人民共和国政府采购法》及相关法规，若存在违法违规行为，将承担相应的法律后果。</w:t>
      </w:r>
    </w:p>
    <w:p w14:paraId="07BBBB3C">
      <w:pPr>
        <w:spacing w:line="520" w:lineRule="exact"/>
        <w:ind w:firstLine="4680" w:firstLineChars="1950"/>
        <w:rPr>
          <w:rFonts w:eastAsia="方正仿宋简体"/>
          <w:sz w:val="24"/>
          <w:szCs w:val="24"/>
        </w:rPr>
      </w:pPr>
    </w:p>
    <w:p w14:paraId="6E5C4AFC">
      <w:pPr>
        <w:spacing w:line="500" w:lineRule="exact"/>
        <w:ind w:firstLine="573"/>
        <w:jc w:val="center"/>
        <w:rPr>
          <w:rFonts w:ascii="宋体" w:hAnsi="宋体" w:cs="宋体"/>
          <w:color w:val="595959"/>
          <w:sz w:val="24"/>
          <w:szCs w:val="24"/>
        </w:rPr>
      </w:pPr>
      <w:r>
        <w:rPr>
          <w:rFonts w:hint="eastAsia" w:ascii="宋体" w:hAnsi="宋体" w:cs="宋体"/>
          <w:color w:val="595959"/>
          <w:sz w:val="24"/>
          <w:szCs w:val="24"/>
        </w:rPr>
        <w:t>法定代表人签字或盖章：</w:t>
      </w:r>
    </w:p>
    <w:p w14:paraId="167659C0">
      <w:pPr>
        <w:spacing w:line="500" w:lineRule="exact"/>
        <w:ind w:firstLine="573"/>
        <w:jc w:val="center"/>
        <w:rPr>
          <w:rFonts w:ascii="宋体" w:hAnsi="宋体" w:cs="宋体"/>
          <w:color w:val="595959"/>
          <w:sz w:val="24"/>
          <w:szCs w:val="24"/>
        </w:rPr>
      </w:pPr>
      <w:r>
        <w:rPr>
          <w:rFonts w:hint="eastAsia" w:ascii="宋体" w:hAnsi="宋体" w:cs="宋体"/>
          <w:color w:val="595959"/>
          <w:sz w:val="24"/>
          <w:szCs w:val="24"/>
        </w:rPr>
        <w:t>投标人公章：</w:t>
      </w:r>
    </w:p>
    <w:p w14:paraId="2BCE7611">
      <w:pPr>
        <w:spacing w:line="500" w:lineRule="exact"/>
        <w:ind w:firstLine="573"/>
        <w:jc w:val="center"/>
        <w:rPr>
          <w:rFonts w:ascii="宋体" w:hAnsi="宋体" w:cs="宋体"/>
          <w:color w:val="595959"/>
          <w:sz w:val="24"/>
          <w:szCs w:val="24"/>
        </w:rPr>
      </w:pPr>
      <w:r>
        <w:rPr>
          <w:rFonts w:hint="eastAsia" w:ascii="宋体" w:hAnsi="宋体" w:cs="宋体"/>
          <w:color w:val="595959"/>
          <w:sz w:val="24"/>
          <w:szCs w:val="24"/>
        </w:rPr>
        <w:t>日期：</w:t>
      </w:r>
    </w:p>
    <w:p w14:paraId="3673BF16">
      <w:pPr>
        <w:jc w:val="center"/>
        <w:rPr>
          <w:rFonts w:ascii="宋体" w:hAnsi="宋体"/>
          <w:b/>
          <w:color w:val="000000"/>
          <w:sz w:val="30"/>
          <w:szCs w:val="30"/>
        </w:rPr>
      </w:pPr>
      <w:r>
        <w:rPr>
          <w:rFonts w:hint="eastAsia" w:ascii="宋体" w:hAnsi="宋体"/>
          <w:b/>
          <w:color w:val="000000"/>
          <w:sz w:val="30"/>
          <w:szCs w:val="30"/>
        </w:rPr>
        <w:t>具备履行合同所必需的设备和专业技术能力的书面声明</w:t>
      </w:r>
    </w:p>
    <w:p w14:paraId="76092F10">
      <w:pPr>
        <w:spacing w:line="460" w:lineRule="exact"/>
        <w:ind w:firstLine="492"/>
        <w:rPr>
          <w:rFonts w:ascii="宋体" w:hAnsi="宋体"/>
          <w:bCs/>
          <w:color w:val="000000"/>
          <w:sz w:val="24"/>
        </w:rPr>
      </w:pPr>
      <w:r>
        <w:rPr>
          <w:rFonts w:hint="eastAsia" w:ascii="宋体" w:hAnsi="宋体"/>
          <w:bCs/>
          <w:color w:val="000000"/>
          <w:sz w:val="24"/>
        </w:rPr>
        <w:t>我单位郑重声明：我单位具备履行本项采购合同所必需的设备和专业技术能力，为履行本项采购合同我公司具备如下主要设备和主要专业技术能力：</w:t>
      </w:r>
    </w:p>
    <w:p w14:paraId="5BE81DE9">
      <w:pPr>
        <w:spacing w:line="460" w:lineRule="exact"/>
        <w:ind w:firstLine="492"/>
        <w:rPr>
          <w:rFonts w:ascii="宋体" w:hAnsi="宋体"/>
          <w:bCs/>
          <w:color w:val="000000"/>
          <w:sz w:val="24"/>
        </w:rPr>
      </w:pPr>
      <w:r>
        <w:rPr>
          <w:rFonts w:hint="eastAsia" w:ascii="宋体" w:hAnsi="宋体"/>
          <w:bCs/>
          <w:color w:val="000000"/>
          <w:sz w:val="24"/>
        </w:rPr>
        <w:t>主要设备有：。</w:t>
      </w:r>
    </w:p>
    <w:p w14:paraId="69CF1A35">
      <w:pPr>
        <w:spacing w:line="460" w:lineRule="exact"/>
        <w:ind w:firstLine="492"/>
        <w:rPr>
          <w:rFonts w:ascii="宋体" w:hAnsi="宋体"/>
          <w:bCs/>
          <w:color w:val="000000"/>
          <w:sz w:val="24"/>
        </w:rPr>
      </w:pPr>
      <w:r>
        <w:rPr>
          <w:rFonts w:hint="eastAsia" w:ascii="宋体" w:hAnsi="宋体"/>
          <w:bCs/>
          <w:color w:val="000000"/>
          <w:sz w:val="24"/>
        </w:rPr>
        <w:t>主要专业技术能力有：。</w:t>
      </w:r>
    </w:p>
    <w:p w14:paraId="066C0DFD">
      <w:pPr>
        <w:spacing w:line="460" w:lineRule="exact"/>
        <w:rPr>
          <w:rFonts w:ascii="宋体" w:hAnsi="宋体"/>
          <w:bCs/>
          <w:color w:val="000000"/>
          <w:sz w:val="24"/>
        </w:rPr>
      </w:pPr>
    </w:p>
    <w:p w14:paraId="5786CC36">
      <w:pPr>
        <w:jc w:val="center"/>
        <w:rPr>
          <w:rFonts w:ascii="宋体" w:hAnsi="宋体"/>
          <w:b/>
          <w:color w:val="000000"/>
          <w:sz w:val="30"/>
          <w:szCs w:val="30"/>
        </w:rPr>
      </w:pPr>
      <w:r>
        <w:rPr>
          <w:rFonts w:hint="eastAsia" w:ascii="宋体" w:hAnsi="宋体"/>
          <w:b/>
          <w:color w:val="000000"/>
          <w:sz w:val="30"/>
          <w:szCs w:val="30"/>
        </w:rPr>
        <w:t>参加政府采购活动前 3 年内在经营活动中没有重大违法记录的书面声明</w:t>
      </w:r>
    </w:p>
    <w:p w14:paraId="6E90CE2C">
      <w:pPr>
        <w:spacing w:line="460" w:lineRule="exact"/>
        <w:rPr>
          <w:rFonts w:ascii="宋体" w:hAnsi="宋体"/>
          <w:b/>
          <w:bCs/>
          <w:color w:val="000000"/>
          <w:sz w:val="44"/>
          <w:szCs w:val="44"/>
        </w:rPr>
      </w:pPr>
    </w:p>
    <w:p w14:paraId="40A39190">
      <w:pPr>
        <w:spacing w:line="460" w:lineRule="exact"/>
        <w:rPr>
          <w:rFonts w:ascii="宋体" w:hAnsi="宋体"/>
          <w:b/>
          <w:bCs/>
          <w:color w:val="000000"/>
          <w:sz w:val="44"/>
          <w:szCs w:val="44"/>
        </w:rPr>
      </w:pPr>
    </w:p>
    <w:p w14:paraId="1193DC5F">
      <w:pPr>
        <w:spacing w:line="460" w:lineRule="exact"/>
        <w:rPr>
          <w:rFonts w:ascii="宋体" w:hAnsi="宋体"/>
          <w:b/>
          <w:bCs/>
          <w:color w:val="000000"/>
          <w:sz w:val="44"/>
          <w:szCs w:val="44"/>
        </w:rPr>
      </w:pPr>
      <w:r>
        <w:rPr>
          <w:rFonts w:hint="eastAsia" w:ascii="宋体" w:hAnsi="宋体"/>
          <w:b/>
          <w:bCs/>
          <w:color w:val="000000"/>
          <w:sz w:val="44"/>
          <w:szCs w:val="44"/>
        </w:rPr>
        <w:t xml:space="preserve">                 声  明</w:t>
      </w:r>
    </w:p>
    <w:p w14:paraId="4C8FFEE7">
      <w:pPr>
        <w:spacing w:line="460" w:lineRule="exact"/>
        <w:rPr>
          <w:rFonts w:ascii="宋体" w:hAnsi="宋体"/>
          <w:bCs/>
          <w:color w:val="000000"/>
          <w:sz w:val="24"/>
        </w:rPr>
      </w:pPr>
      <w:r>
        <w:rPr>
          <w:rFonts w:hint="eastAsia" w:ascii="宋体" w:hAnsi="宋体"/>
          <w:bCs/>
          <w:color w:val="000000"/>
          <w:sz w:val="24"/>
        </w:rPr>
        <w:t>我单位郑重声明：参加本次政府采购活动前 3 年内，我单位在经营活动中没有因违法经营受到刑事处罚或者责令停产停业、吊销许可证或者执照、较大数额罚款等行政处罚。</w:t>
      </w:r>
    </w:p>
    <w:p w14:paraId="4B074A11">
      <w:pPr>
        <w:spacing w:line="520" w:lineRule="exact"/>
        <w:rPr>
          <w:rFonts w:eastAsia="黑体"/>
          <w:sz w:val="32"/>
          <w:szCs w:val="24"/>
        </w:rPr>
      </w:pPr>
    </w:p>
    <w:p w14:paraId="65A47DE6">
      <w:pPr>
        <w:spacing w:line="520" w:lineRule="exact"/>
        <w:jc w:val="center"/>
        <w:rPr>
          <w:rFonts w:ascii="宋体" w:hAnsi="宋体" w:cs="宋体"/>
          <w:b/>
          <w:bCs/>
          <w:color w:val="595959"/>
          <w:sz w:val="32"/>
          <w:szCs w:val="32"/>
        </w:rPr>
      </w:pPr>
    </w:p>
    <w:p w14:paraId="520DCCF4">
      <w:pPr>
        <w:spacing w:line="520" w:lineRule="exact"/>
        <w:jc w:val="center"/>
        <w:rPr>
          <w:rFonts w:ascii="宋体" w:hAnsi="宋体" w:cs="宋体"/>
          <w:b/>
          <w:bCs/>
          <w:color w:val="595959"/>
          <w:sz w:val="32"/>
          <w:szCs w:val="32"/>
        </w:rPr>
      </w:pPr>
      <w:r>
        <w:rPr>
          <w:rFonts w:hint="eastAsia" w:ascii="宋体" w:hAnsi="宋体" w:cs="宋体"/>
          <w:b/>
          <w:bCs/>
          <w:color w:val="595959"/>
          <w:sz w:val="32"/>
          <w:szCs w:val="32"/>
        </w:rPr>
        <w:t>四、报价函</w:t>
      </w:r>
    </w:p>
    <w:p w14:paraId="01480475">
      <w:pPr>
        <w:spacing w:line="500" w:lineRule="exact"/>
        <w:ind w:firstLine="573"/>
        <w:rPr>
          <w:rFonts w:ascii="宋体" w:hAnsi="宋体" w:cs="宋体"/>
          <w:color w:val="595959"/>
          <w:sz w:val="24"/>
          <w:szCs w:val="24"/>
        </w:rPr>
      </w:pPr>
      <w:r>
        <w:rPr>
          <w:rFonts w:hint="eastAsia" w:ascii="宋体" w:hAnsi="宋体" w:cs="宋体"/>
          <w:color w:val="595959"/>
          <w:sz w:val="24"/>
          <w:szCs w:val="24"/>
        </w:rPr>
        <w:t>致：南通市通州区市场监督管理局</w:t>
      </w:r>
    </w:p>
    <w:p w14:paraId="321E12D1">
      <w:pPr>
        <w:spacing w:line="500" w:lineRule="exact"/>
        <w:ind w:firstLine="573"/>
        <w:rPr>
          <w:rFonts w:ascii="宋体" w:hAnsi="宋体" w:cs="宋体"/>
          <w:color w:val="595959"/>
          <w:sz w:val="24"/>
          <w:szCs w:val="24"/>
        </w:rPr>
      </w:pPr>
      <w:r>
        <w:rPr>
          <w:rFonts w:hint="eastAsia" w:ascii="宋体" w:hAnsi="宋体" w:cs="宋体"/>
          <w:color w:val="595959"/>
          <w:sz w:val="24"/>
          <w:szCs w:val="24"/>
        </w:rPr>
        <w:t>对贵单位的招标文件，我方仔细研究，现决定南通市通州区市场监督管理局惠民工程（一期、二期、三期）运行维护项目报价为人民币　      元（￥    ）。</w:t>
      </w:r>
    </w:p>
    <w:p w14:paraId="3ACBF4BD">
      <w:pPr>
        <w:spacing w:line="500" w:lineRule="exact"/>
        <w:ind w:firstLine="573"/>
        <w:rPr>
          <w:rFonts w:ascii="宋体" w:hAnsi="宋体" w:cs="宋体"/>
          <w:color w:val="595959"/>
          <w:sz w:val="24"/>
          <w:szCs w:val="24"/>
        </w:rPr>
      </w:pPr>
      <w:r>
        <w:rPr>
          <w:rFonts w:hint="eastAsia" w:ascii="宋体" w:hAnsi="宋体" w:cs="宋体"/>
          <w:color w:val="595959"/>
          <w:sz w:val="24"/>
          <w:szCs w:val="24"/>
        </w:rPr>
        <w:t>1、我方愿意遵照招标文件中的条款、技术要求等一切实质性内容进行竞标并响应。</w:t>
      </w:r>
    </w:p>
    <w:p w14:paraId="7412CBAD">
      <w:pPr>
        <w:spacing w:line="500" w:lineRule="exact"/>
        <w:ind w:firstLine="573"/>
        <w:rPr>
          <w:rFonts w:ascii="宋体" w:hAnsi="宋体" w:cs="宋体"/>
          <w:color w:val="595959"/>
          <w:sz w:val="24"/>
          <w:szCs w:val="24"/>
        </w:rPr>
      </w:pPr>
      <w:r>
        <w:rPr>
          <w:rFonts w:hint="eastAsia" w:ascii="宋体" w:hAnsi="宋体" w:cs="宋体"/>
          <w:color w:val="595959"/>
          <w:sz w:val="24"/>
          <w:szCs w:val="24"/>
        </w:rPr>
        <w:t>2、本投标文件的有效期为“在采购人决定包括推迟开标日期起60天内。在这期间，本投标文件将始终对我方具有约束力，并可随时被接受。如果中标，本次招标文件和本投标文件将作为委托合同的附件。</w:t>
      </w:r>
    </w:p>
    <w:p w14:paraId="48FAFCD8">
      <w:pPr>
        <w:spacing w:line="500" w:lineRule="exact"/>
        <w:ind w:firstLine="573"/>
        <w:rPr>
          <w:rFonts w:ascii="宋体" w:hAnsi="宋体" w:cs="宋体"/>
          <w:color w:val="595959"/>
          <w:sz w:val="24"/>
          <w:szCs w:val="24"/>
        </w:rPr>
      </w:pPr>
      <w:r>
        <w:rPr>
          <w:rFonts w:hint="eastAsia" w:ascii="宋体" w:hAnsi="宋体" w:cs="宋体"/>
          <w:color w:val="595959"/>
          <w:sz w:val="24"/>
          <w:szCs w:val="24"/>
        </w:rPr>
        <w:t>3、我方向采购人提供任何与本次有关的其他资料。</w:t>
      </w:r>
    </w:p>
    <w:p w14:paraId="3C43C092">
      <w:pPr>
        <w:spacing w:line="500" w:lineRule="exact"/>
        <w:ind w:firstLine="573"/>
        <w:rPr>
          <w:rFonts w:ascii="宋体" w:hAnsi="宋体" w:cs="宋体"/>
          <w:color w:val="595959"/>
          <w:sz w:val="24"/>
          <w:szCs w:val="24"/>
        </w:rPr>
      </w:pPr>
      <w:r>
        <w:rPr>
          <w:rFonts w:hint="eastAsia" w:ascii="宋体" w:hAnsi="宋体" w:cs="宋体"/>
          <w:color w:val="595959"/>
          <w:sz w:val="24"/>
          <w:szCs w:val="24"/>
        </w:rPr>
        <w:t>4、我方愿意履行自己在投标文件中的承诺和责任。</w:t>
      </w:r>
    </w:p>
    <w:p w14:paraId="0EA40C50">
      <w:pPr>
        <w:spacing w:line="500" w:lineRule="exact"/>
        <w:ind w:firstLine="573"/>
        <w:rPr>
          <w:rFonts w:ascii="宋体" w:hAnsi="宋体" w:cs="宋体"/>
          <w:color w:val="595959"/>
          <w:sz w:val="24"/>
          <w:szCs w:val="24"/>
        </w:rPr>
      </w:pPr>
      <w:r>
        <w:rPr>
          <w:rFonts w:hint="eastAsia" w:ascii="宋体" w:hAnsi="宋体" w:cs="宋体"/>
          <w:color w:val="595959"/>
          <w:sz w:val="24"/>
          <w:szCs w:val="24"/>
        </w:rPr>
        <w:t>5、我方愿意遵守招标文件中对投标者的所有规定。</w:t>
      </w:r>
    </w:p>
    <w:p w14:paraId="3619091D">
      <w:pPr>
        <w:spacing w:line="500" w:lineRule="exact"/>
        <w:ind w:firstLine="573"/>
        <w:rPr>
          <w:rFonts w:ascii="宋体" w:hAnsi="宋体" w:cs="宋体"/>
          <w:color w:val="595959"/>
          <w:sz w:val="24"/>
          <w:szCs w:val="24"/>
        </w:rPr>
      </w:pPr>
    </w:p>
    <w:p w14:paraId="636E6790">
      <w:pPr>
        <w:spacing w:line="500" w:lineRule="exact"/>
        <w:ind w:firstLine="573"/>
        <w:rPr>
          <w:rFonts w:ascii="宋体" w:hAnsi="宋体" w:cs="宋体"/>
          <w:color w:val="595959"/>
          <w:sz w:val="24"/>
          <w:szCs w:val="24"/>
        </w:rPr>
      </w:pPr>
      <w:r>
        <w:rPr>
          <w:rFonts w:hint="eastAsia" w:ascii="宋体" w:hAnsi="宋体" w:cs="宋体"/>
          <w:color w:val="595959"/>
          <w:sz w:val="24"/>
          <w:szCs w:val="24"/>
        </w:rPr>
        <w:t xml:space="preserve">投标人全称：                        </w:t>
      </w:r>
    </w:p>
    <w:p w14:paraId="65E39B47">
      <w:pPr>
        <w:spacing w:line="500" w:lineRule="exact"/>
        <w:ind w:firstLine="573"/>
        <w:rPr>
          <w:rFonts w:ascii="宋体" w:hAnsi="宋体" w:cs="宋体"/>
          <w:color w:val="595959"/>
          <w:sz w:val="24"/>
          <w:szCs w:val="24"/>
        </w:rPr>
      </w:pPr>
      <w:r>
        <w:rPr>
          <w:rFonts w:hint="eastAsia" w:ascii="宋体" w:hAnsi="宋体" w:cs="宋体"/>
          <w:color w:val="595959"/>
          <w:sz w:val="24"/>
          <w:szCs w:val="24"/>
        </w:rPr>
        <w:t>法定代表人签字或签章：</w:t>
      </w:r>
    </w:p>
    <w:p w14:paraId="460FAC3F">
      <w:pPr>
        <w:spacing w:line="500" w:lineRule="exact"/>
        <w:ind w:firstLine="573"/>
        <w:rPr>
          <w:rFonts w:ascii="宋体" w:hAnsi="宋体" w:cs="宋体"/>
          <w:color w:val="595959"/>
          <w:sz w:val="24"/>
          <w:szCs w:val="24"/>
        </w:rPr>
      </w:pPr>
      <w:r>
        <w:rPr>
          <w:rFonts w:hint="eastAsia" w:ascii="宋体" w:hAnsi="宋体" w:cs="宋体"/>
          <w:color w:val="595959"/>
          <w:sz w:val="24"/>
          <w:szCs w:val="24"/>
        </w:rPr>
        <w:t>日期：</w:t>
      </w:r>
    </w:p>
    <w:p w14:paraId="7B57A09D">
      <w:pPr>
        <w:spacing w:line="360" w:lineRule="auto"/>
        <w:jc w:val="center"/>
        <w:rPr>
          <w:rFonts w:ascii="宋体" w:hAnsi="宋体" w:cs="宋体"/>
          <w:b/>
          <w:bCs/>
          <w:sz w:val="32"/>
          <w:szCs w:val="32"/>
        </w:rPr>
      </w:pPr>
    </w:p>
    <w:p w14:paraId="0A837B63">
      <w:pPr>
        <w:spacing w:line="360" w:lineRule="auto"/>
        <w:jc w:val="center"/>
        <w:rPr>
          <w:rFonts w:ascii="宋体" w:hAnsi="宋体" w:cs="宋体"/>
          <w:b/>
          <w:bCs/>
          <w:sz w:val="32"/>
          <w:szCs w:val="32"/>
        </w:rPr>
      </w:pPr>
      <w:r>
        <w:rPr>
          <w:rFonts w:hint="eastAsia" w:ascii="宋体" w:hAnsi="宋体" w:cs="宋体"/>
          <w:b/>
          <w:bCs/>
          <w:sz w:val="32"/>
          <w:szCs w:val="32"/>
        </w:rPr>
        <w:t>质疑函范本</w:t>
      </w:r>
    </w:p>
    <w:p w14:paraId="1DA9A9B0">
      <w:pPr>
        <w:spacing w:line="360" w:lineRule="auto"/>
        <w:rPr>
          <w:rFonts w:ascii="宋体" w:hAnsi="宋体" w:cs="宋体"/>
          <w:bCs/>
          <w:sz w:val="24"/>
        </w:rPr>
      </w:pPr>
      <w:r>
        <w:rPr>
          <w:rFonts w:hint="eastAsia" w:ascii="宋体" w:hAnsi="宋体" w:cs="宋体"/>
          <w:bCs/>
          <w:sz w:val="24"/>
        </w:rPr>
        <w:t>一、质疑供应商基本信息</w:t>
      </w:r>
    </w:p>
    <w:p w14:paraId="02387B70">
      <w:pPr>
        <w:spacing w:line="360" w:lineRule="auto"/>
        <w:rPr>
          <w:rFonts w:ascii="宋体" w:hAnsi="宋体" w:cs="宋体"/>
          <w:sz w:val="24"/>
          <w:u w:val="single"/>
        </w:rPr>
      </w:pPr>
      <w:r>
        <w:rPr>
          <w:rFonts w:hint="eastAsia" w:ascii="宋体" w:hAnsi="宋体" w:cs="宋体"/>
          <w:sz w:val="24"/>
        </w:rPr>
        <w:t>质疑供应商：</w:t>
      </w:r>
    </w:p>
    <w:p w14:paraId="5F442624">
      <w:pPr>
        <w:spacing w:line="360" w:lineRule="auto"/>
        <w:rPr>
          <w:rFonts w:ascii="宋体" w:hAnsi="宋体" w:cs="宋体"/>
          <w:sz w:val="24"/>
        </w:rPr>
      </w:pPr>
      <w:r>
        <w:rPr>
          <w:rFonts w:hint="eastAsia" w:ascii="宋体" w:hAnsi="宋体" w:cs="宋体"/>
          <w:sz w:val="24"/>
        </w:rPr>
        <w:t>地址：邮编：</w:t>
      </w:r>
    </w:p>
    <w:p w14:paraId="775D7089">
      <w:pPr>
        <w:spacing w:line="360" w:lineRule="auto"/>
        <w:rPr>
          <w:rFonts w:ascii="宋体" w:hAnsi="宋体" w:cs="宋体"/>
          <w:sz w:val="24"/>
        </w:rPr>
      </w:pPr>
      <w:r>
        <w:rPr>
          <w:rFonts w:hint="eastAsia" w:ascii="宋体" w:hAnsi="宋体" w:cs="宋体"/>
          <w:sz w:val="24"/>
        </w:rPr>
        <w:t>联系人：联系电话：</w:t>
      </w:r>
    </w:p>
    <w:p w14:paraId="2B111FE8">
      <w:pPr>
        <w:spacing w:line="360" w:lineRule="auto"/>
        <w:rPr>
          <w:rFonts w:ascii="宋体" w:hAnsi="宋体" w:cs="宋体"/>
          <w:sz w:val="24"/>
          <w:u w:val="single"/>
        </w:rPr>
      </w:pPr>
      <w:r>
        <w:rPr>
          <w:rFonts w:hint="eastAsia" w:ascii="宋体" w:hAnsi="宋体" w:cs="宋体"/>
          <w:sz w:val="24"/>
        </w:rPr>
        <w:t>授权代表：</w:t>
      </w:r>
    </w:p>
    <w:p w14:paraId="3E77BEE1">
      <w:pPr>
        <w:spacing w:line="360" w:lineRule="auto"/>
        <w:rPr>
          <w:rFonts w:ascii="宋体" w:hAnsi="宋体" w:cs="宋体"/>
          <w:sz w:val="24"/>
        </w:rPr>
      </w:pPr>
      <w:r>
        <w:rPr>
          <w:rFonts w:hint="eastAsia" w:ascii="宋体" w:hAnsi="宋体" w:cs="宋体"/>
          <w:sz w:val="24"/>
        </w:rPr>
        <w:t>联系电话：</w:t>
      </w:r>
    </w:p>
    <w:p w14:paraId="7742258A">
      <w:pPr>
        <w:spacing w:line="360" w:lineRule="auto"/>
        <w:rPr>
          <w:rFonts w:ascii="宋体" w:hAnsi="宋体" w:cs="宋体"/>
          <w:sz w:val="24"/>
        </w:rPr>
      </w:pPr>
      <w:r>
        <w:rPr>
          <w:rFonts w:hint="eastAsia" w:ascii="宋体" w:hAnsi="宋体" w:cs="宋体"/>
          <w:sz w:val="24"/>
        </w:rPr>
        <w:t>地址： 邮编：</w:t>
      </w:r>
    </w:p>
    <w:p w14:paraId="41CD1117">
      <w:pPr>
        <w:spacing w:line="360" w:lineRule="auto"/>
        <w:rPr>
          <w:rFonts w:ascii="宋体" w:hAnsi="宋体" w:cs="宋体"/>
          <w:bCs/>
          <w:sz w:val="24"/>
        </w:rPr>
      </w:pPr>
      <w:r>
        <w:rPr>
          <w:rFonts w:hint="eastAsia" w:ascii="宋体" w:hAnsi="宋体" w:cs="宋体"/>
          <w:bCs/>
          <w:sz w:val="24"/>
        </w:rPr>
        <w:t>二、质疑项目基本情况</w:t>
      </w:r>
    </w:p>
    <w:p w14:paraId="3706B083">
      <w:pPr>
        <w:spacing w:line="360" w:lineRule="auto"/>
        <w:rPr>
          <w:rFonts w:ascii="宋体" w:hAnsi="宋体" w:cs="宋体"/>
          <w:sz w:val="24"/>
        </w:rPr>
      </w:pPr>
      <w:r>
        <w:rPr>
          <w:rFonts w:hint="eastAsia" w:ascii="宋体" w:hAnsi="宋体" w:cs="宋体"/>
          <w:sz w:val="24"/>
        </w:rPr>
        <w:t>质疑项目的名称：</w:t>
      </w:r>
    </w:p>
    <w:p w14:paraId="3A869B18">
      <w:pPr>
        <w:spacing w:line="360" w:lineRule="auto"/>
        <w:rPr>
          <w:rFonts w:ascii="宋体" w:hAnsi="宋体" w:cs="宋体"/>
          <w:sz w:val="24"/>
        </w:rPr>
      </w:pPr>
      <w:r>
        <w:rPr>
          <w:rFonts w:hint="eastAsia" w:ascii="宋体" w:hAnsi="宋体" w:cs="宋体"/>
          <w:sz w:val="24"/>
        </w:rPr>
        <w:t>质疑项目的编号：包号：</w:t>
      </w:r>
    </w:p>
    <w:p w14:paraId="402FC854">
      <w:pPr>
        <w:spacing w:line="360" w:lineRule="auto"/>
        <w:rPr>
          <w:rFonts w:ascii="宋体" w:hAnsi="宋体" w:cs="宋体"/>
          <w:sz w:val="24"/>
          <w:u w:val="single"/>
        </w:rPr>
      </w:pPr>
      <w:r>
        <w:rPr>
          <w:rFonts w:hint="eastAsia" w:ascii="宋体" w:hAnsi="宋体" w:cs="宋体"/>
          <w:sz w:val="24"/>
        </w:rPr>
        <w:t>采购人名称：</w:t>
      </w:r>
    </w:p>
    <w:p w14:paraId="2861FF7F">
      <w:pPr>
        <w:spacing w:line="360" w:lineRule="auto"/>
        <w:rPr>
          <w:rFonts w:ascii="宋体" w:hAnsi="宋体" w:cs="宋体"/>
          <w:sz w:val="24"/>
        </w:rPr>
      </w:pPr>
      <w:r>
        <w:rPr>
          <w:rFonts w:hint="eastAsia" w:ascii="宋体" w:hAnsi="宋体" w:cs="宋体"/>
          <w:sz w:val="24"/>
        </w:rPr>
        <w:t>采购文件获取日期：</w:t>
      </w:r>
    </w:p>
    <w:p w14:paraId="72E6B090">
      <w:pPr>
        <w:spacing w:line="360" w:lineRule="auto"/>
        <w:rPr>
          <w:rFonts w:ascii="宋体" w:hAnsi="宋体" w:cs="宋体"/>
          <w:bCs/>
          <w:sz w:val="24"/>
        </w:rPr>
      </w:pPr>
      <w:r>
        <w:rPr>
          <w:rFonts w:hint="eastAsia" w:ascii="宋体" w:hAnsi="宋体" w:cs="宋体"/>
          <w:bCs/>
          <w:sz w:val="24"/>
        </w:rPr>
        <w:t>三、质疑事项具体内容</w:t>
      </w:r>
    </w:p>
    <w:p w14:paraId="709AC49B">
      <w:pPr>
        <w:spacing w:line="360" w:lineRule="auto"/>
        <w:rPr>
          <w:rFonts w:ascii="宋体" w:hAnsi="宋体" w:cs="宋体"/>
          <w:sz w:val="24"/>
          <w:u w:val="single"/>
        </w:rPr>
      </w:pPr>
      <w:r>
        <w:rPr>
          <w:rFonts w:hint="eastAsia" w:ascii="宋体" w:hAnsi="宋体" w:cs="宋体"/>
          <w:sz w:val="24"/>
        </w:rPr>
        <w:t>质疑事项1：</w:t>
      </w:r>
    </w:p>
    <w:p w14:paraId="674A1B74">
      <w:pPr>
        <w:spacing w:line="360" w:lineRule="auto"/>
        <w:rPr>
          <w:rFonts w:ascii="宋体" w:hAnsi="宋体" w:cs="宋体"/>
          <w:sz w:val="24"/>
          <w:u w:val="single"/>
        </w:rPr>
      </w:pPr>
      <w:r>
        <w:rPr>
          <w:rFonts w:hint="eastAsia" w:ascii="宋体" w:hAnsi="宋体" w:cs="宋体"/>
          <w:sz w:val="24"/>
        </w:rPr>
        <w:t>事实依据：</w:t>
      </w:r>
    </w:p>
    <w:p w14:paraId="6A2C5F42">
      <w:pPr>
        <w:spacing w:line="360" w:lineRule="auto"/>
        <w:rPr>
          <w:rFonts w:ascii="宋体" w:hAnsi="宋体" w:cs="宋体"/>
          <w:sz w:val="24"/>
        </w:rPr>
      </w:pPr>
    </w:p>
    <w:p w14:paraId="09340ADB">
      <w:pPr>
        <w:spacing w:line="360" w:lineRule="auto"/>
        <w:rPr>
          <w:rFonts w:ascii="宋体" w:hAnsi="宋体" w:cs="宋体"/>
          <w:sz w:val="24"/>
          <w:u w:val="single"/>
        </w:rPr>
      </w:pPr>
      <w:r>
        <w:rPr>
          <w:rFonts w:hint="eastAsia" w:ascii="宋体" w:hAnsi="宋体" w:cs="宋体"/>
          <w:sz w:val="24"/>
        </w:rPr>
        <w:t>法律依据：</w:t>
      </w:r>
    </w:p>
    <w:p w14:paraId="28205B62">
      <w:pPr>
        <w:spacing w:line="360" w:lineRule="auto"/>
        <w:rPr>
          <w:rFonts w:ascii="宋体" w:hAnsi="宋体" w:cs="宋体"/>
          <w:sz w:val="24"/>
          <w:u w:val="single"/>
        </w:rPr>
      </w:pPr>
    </w:p>
    <w:p w14:paraId="5E982E0E">
      <w:pPr>
        <w:spacing w:line="360" w:lineRule="auto"/>
        <w:rPr>
          <w:rFonts w:ascii="宋体" w:hAnsi="宋体" w:cs="宋体"/>
          <w:sz w:val="24"/>
          <w:u w:val="single"/>
        </w:rPr>
      </w:pPr>
      <w:r>
        <w:rPr>
          <w:rFonts w:hint="eastAsia" w:ascii="宋体" w:hAnsi="宋体" w:cs="宋体"/>
          <w:sz w:val="24"/>
        </w:rPr>
        <w:t>质疑事项2</w:t>
      </w:r>
    </w:p>
    <w:p w14:paraId="7FD1E40C">
      <w:pPr>
        <w:spacing w:line="360" w:lineRule="auto"/>
        <w:rPr>
          <w:rFonts w:ascii="宋体" w:hAnsi="宋体" w:cs="宋体"/>
          <w:sz w:val="24"/>
        </w:rPr>
      </w:pPr>
      <w:r>
        <w:rPr>
          <w:rFonts w:hint="eastAsia" w:ascii="宋体" w:hAnsi="宋体" w:cs="宋体"/>
          <w:sz w:val="24"/>
        </w:rPr>
        <w:t>……</w:t>
      </w:r>
    </w:p>
    <w:p w14:paraId="2E74016E">
      <w:pPr>
        <w:spacing w:line="360" w:lineRule="auto"/>
        <w:rPr>
          <w:rFonts w:ascii="宋体" w:hAnsi="宋体" w:cs="宋体"/>
          <w:bCs/>
          <w:sz w:val="24"/>
        </w:rPr>
      </w:pPr>
      <w:r>
        <w:rPr>
          <w:rFonts w:hint="eastAsia" w:ascii="宋体" w:hAnsi="宋体" w:cs="宋体"/>
          <w:bCs/>
          <w:sz w:val="24"/>
        </w:rPr>
        <w:t>四、与质疑事项相关的质疑请求</w:t>
      </w:r>
    </w:p>
    <w:p w14:paraId="1BC4CD19">
      <w:pPr>
        <w:spacing w:line="360" w:lineRule="auto"/>
        <w:rPr>
          <w:rFonts w:ascii="宋体" w:hAnsi="宋体" w:cs="宋体"/>
          <w:sz w:val="24"/>
          <w:u w:val="single"/>
        </w:rPr>
      </w:pPr>
      <w:r>
        <w:rPr>
          <w:rFonts w:hint="eastAsia" w:ascii="宋体" w:hAnsi="宋体" w:cs="宋体"/>
          <w:sz w:val="24"/>
        </w:rPr>
        <w:t>请求：</w:t>
      </w:r>
    </w:p>
    <w:p w14:paraId="5DA2EBE1">
      <w:pPr>
        <w:spacing w:line="360" w:lineRule="auto"/>
        <w:rPr>
          <w:rFonts w:ascii="宋体" w:hAnsi="宋体" w:cs="宋体"/>
          <w:sz w:val="24"/>
        </w:rPr>
      </w:pPr>
      <w:r>
        <w:rPr>
          <w:rFonts w:hint="eastAsia" w:ascii="宋体" w:hAnsi="宋体" w:cs="宋体"/>
          <w:sz w:val="24"/>
        </w:rPr>
        <w:t xml:space="preserve">签字(签章)：                   公章：                      </w:t>
      </w:r>
    </w:p>
    <w:p w14:paraId="4BDB30F5">
      <w:pPr>
        <w:spacing w:line="360" w:lineRule="auto"/>
        <w:rPr>
          <w:rFonts w:ascii="宋体" w:hAnsi="宋体" w:cs="宋体"/>
          <w:sz w:val="24"/>
        </w:rPr>
      </w:pPr>
      <w:r>
        <w:rPr>
          <w:rFonts w:hint="eastAsia" w:ascii="宋体" w:hAnsi="宋体" w:cs="宋体"/>
          <w:sz w:val="24"/>
        </w:rPr>
        <w:t xml:space="preserve">日期：    </w:t>
      </w:r>
    </w:p>
    <w:p w14:paraId="3B0ED208">
      <w:pPr>
        <w:spacing w:line="360" w:lineRule="auto"/>
        <w:rPr>
          <w:rFonts w:ascii="宋体" w:hAnsi="宋体" w:cs="宋体"/>
          <w:b/>
          <w:sz w:val="24"/>
        </w:rPr>
      </w:pPr>
      <w:r>
        <w:rPr>
          <w:rFonts w:hint="eastAsia" w:ascii="宋体" w:hAnsi="宋体" w:cs="宋体"/>
          <w:b/>
          <w:sz w:val="24"/>
        </w:rPr>
        <w:t>质疑函制作说明：</w:t>
      </w:r>
    </w:p>
    <w:p w14:paraId="51B12818">
      <w:pPr>
        <w:widowControl/>
        <w:numPr>
          <w:ilvl w:val="0"/>
          <w:numId w:val="3"/>
        </w:numPr>
        <w:spacing w:line="360" w:lineRule="auto"/>
        <w:ind w:firstLine="480"/>
        <w:jc w:val="left"/>
        <w:rPr>
          <w:rFonts w:ascii="宋体" w:hAnsi="宋体" w:cs="宋体"/>
          <w:sz w:val="24"/>
        </w:rPr>
      </w:pPr>
      <w:r>
        <w:rPr>
          <w:rFonts w:hint="eastAsia" w:ascii="宋体" w:hAnsi="宋体" w:cs="宋体"/>
          <w:sz w:val="24"/>
        </w:rPr>
        <w:t>供应商提出质疑时，应提交质疑函和必要的证明材料。</w:t>
      </w:r>
    </w:p>
    <w:p w14:paraId="71D014C7">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C0CEB0">
      <w:pPr>
        <w:widowControl/>
        <w:spacing w:line="360" w:lineRule="auto"/>
        <w:ind w:firstLine="48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07F6293">
      <w:pPr>
        <w:widowControl/>
        <w:spacing w:line="360" w:lineRule="auto"/>
        <w:ind w:firstLine="480"/>
        <w:jc w:val="left"/>
        <w:rPr>
          <w:rFonts w:ascii="宋体" w:hAnsi="宋体" w:cs="宋体"/>
          <w:sz w:val="24"/>
        </w:rPr>
      </w:pPr>
      <w:r>
        <w:rPr>
          <w:rFonts w:hint="eastAsia" w:ascii="宋体" w:hAnsi="宋体" w:cs="宋体"/>
          <w:sz w:val="24"/>
        </w:rPr>
        <w:t>4.质疑函的质疑事项应具体、明确，并有必要的事实依据和法律依据。</w:t>
      </w:r>
    </w:p>
    <w:p w14:paraId="238C982B">
      <w:pPr>
        <w:widowControl/>
        <w:spacing w:line="360" w:lineRule="auto"/>
        <w:ind w:firstLine="480"/>
        <w:jc w:val="left"/>
        <w:rPr>
          <w:rFonts w:ascii="宋体" w:hAnsi="宋体" w:cs="宋体"/>
          <w:sz w:val="24"/>
        </w:rPr>
      </w:pPr>
      <w:r>
        <w:rPr>
          <w:rFonts w:hint="eastAsia" w:ascii="宋体" w:hAnsi="宋体" w:cs="宋体"/>
          <w:sz w:val="24"/>
        </w:rPr>
        <w:t>5.质疑函的质疑请求应与质疑事项相关。</w:t>
      </w:r>
    </w:p>
    <w:p w14:paraId="22DE194E">
      <w:pPr>
        <w:widowControl/>
        <w:spacing w:line="360" w:lineRule="auto"/>
        <w:ind w:firstLine="48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5FEACFD"/>
    <w:p w14:paraId="50CE40B0"/>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E9BD">
    <w:pPr>
      <w:pStyle w:val="9"/>
      <w:jc w:val="center"/>
    </w:pPr>
    <w:r>
      <w:fldChar w:fldCharType="begin"/>
    </w:r>
    <w:r>
      <w:instrText xml:space="preserve"> PAGE   \* MERGEFORMAT </w:instrText>
    </w:r>
    <w:r>
      <w:fldChar w:fldCharType="separate"/>
    </w:r>
    <w:r>
      <w:rPr>
        <w:lang w:val="zh-CN"/>
      </w:rPr>
      <w:t>2</w:t>
    </w:r>
    <w:r>
      <w:rPr>
        <w:lang w:val="zh-CN"/>
      </w:rPr>
      <w:fldChar w:fldCharType="end"/>
    </w:r>
  </w:p>
  <w:p w14:paraId="09527963">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D259">
    <w:pPr>
      <w:pStyle w:val="2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278F2"/>
    <w:multiLevelType w:val="singleLevel"/>
    <w:tmpl w:val="A08278F2"/>
    <w:lvl w:ilvl="0" w:tentative="0">
      <w:start w:val="4"/>
      <w:numFmt w:val="chineseCounting"/>
      <w:suff w:val="space"/>
      <w:lvlText w:val="第%1章"/>
      <w:lvlJc w:val="left"/>
      <w:rPr>
        <w:rFonts w:hint="eastAsia"/>
      </w:rPr>
    </w:lvl>
  </w:abstractNum>
  <w:abstractNum w:abstractNumId="1">
    <w:nsid w:val="C2FC7FAE"/>
    <w:multiLevelType w:val="singleLevel"/>
    <w:tmpl w:val="C2FC7FAE"/>
    <w:lvl w:ilvl="0" w:tentative="0">
      <w:start w:val="1"/>
      <w:numFmt w:val="decimal"/>
      <w:lvlText w:val="%1."/>
      <w:lvlJc w:val="left"/>
      <w:pPr>
        <w:tabs>
          <w:tab w:val="left" w:pos="312"/>
        </w:tabs>
      </w:pPr>
    </w:lvl>
  </w:abstractNum>
  <w:abstractNum w:abstractNumId="2">
    <w:nsid w:val="7E7B7994"/>
    <w:multiLevelType w:val="multilevel"/>
    <w:tmpl w:val="7E7B799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jQwODlhNmM0MjBiYzk2NGViMTVkZmE4YjUwODIifQ=="/>
  </w:docVars>
  <w:rsids>
    <w:rsidRoot w:val="6D1E3E45"/>
    <w:rsid w:val="000D02E5"/>
    <w:rsid w:val="003D2E88"/>
    <w:rsid w:val="004D22DC"/>
    <w:rsid w:val="006364B5"/>
    <w:rsid w:val="006E468E"/>
    <w:rsid w:val="00716B7C"/>
    <w:rsid w:val="009B3BE3"/>
    <w:rsid w:val="00C008B4"/>
    <w:rsid w:val="00F11EB3"/>
    <w:rsid w:val="043E013B"/>
    <w:rsid w:val="06997EAD"/>
    <w:rsid w:val="071D6B66"/>
    <w:rsid w:val="0C7963C1"/>
    <w:rsid w:val="131E2669"/>
    <w:rsid w:val="1D990C1A"/>
    <w:rsid w:val="1DAB23AD"/>
    <w:rsid w:val="20775910"/>
    <w:rsid w:val="25F013C0"/>
    <w:rsid w:val="2A2C7939"/>
    <w:rsid w:val="2E52198C"/>
    <w:rsid w:val="30D3138A"/>
    <w:rsid w:val="399F6160"/>
    <w:rsid w:val="42943D1F"/>
    <w:rsid w:val="46DD15C6"/>
    <w:rsid w:val="4B3B40FA"/>
    <w:rsid w:val="4B3F5672"/>
    <w:rsid w:val="4CB2563E"/>
    <w:rsid w:val="57804A9A"/>
    <w:rsid w:val="5CFE6773"/>
    <w:rsid w:val="62211DAC"/>
    <w:rsid w:val="64570C70"/>
    <w:rsid w:val="6D1E3E45"/>
    <w:rsid w:val="6DCB33E2"/>
    <w:rsid w:val="7A0D7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Cambria" w:hAnsi="Cambria" w:cs="Cambria"/>
      <w:b/>
      <w:bCs/>
      <w:sz w:val="32"/>
      <w:szCs w:val="32"/>
    </w:rPr>
  </w:style>
  <w:style w:type="paragraph" w:styleId="3">
    <w:name w:val="heading 3"/>
    <w:basedOn w:val="1"/>
    <w:next w:val="1"/>
    <w:qFormat/>
    <w:uiPriority w:val="0"/>
    <w:pPr>
      <w:keepNext/>
      <w:keepLines/>
      <w:spacing w:before="260" w:after="260" w:line="416" w:lineRule="auto"/>
      <w:outlineLvl w:val="2"/>
    </w:pPr>
    <w:rPr>
      <w:b/>
      <w:sz w:val="32"/>
      <w:szCs w:val="20"/>
    </w:rPr>
  </w:style>
  <w:style w:type="paragraph" w:styleId="4">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pacing w:line="360" w:lineRule="atLeast"/>
      <w:ind w:firstLine="482"/>
      <w:textAlignment w:val="baseline"/>
    </w:pPr>
    <w:rPr>
      <w:kern w:val="0"/>
      <w:sz w:val="24"/>
      <w:szCs w:val="24"/>
    </w:rPr>
  </w:style>
  <w:style w:type="paragraph" w:styleId="6">
    <w:name w:val="Document Map"/>
    <w:basedOn w:val="1"/>
    <w:link w:val="23"/>
    <w:qFormat/>
    <w:uiPriority w:val="0"/>
    <w:rPr>
      <w:rFonts w:ascii="宋体"/>
      <w:sz w:val="18"/>
      <w:szCs w:val="18"/>
    </w:rPr>
  </w:style>
  <w:style w:type="paragraph" w:styleId="7">
    <w:name w:val="Body Text"/>
    <w:basedOn w:val="1"/>
    <w:next w:val="1"/>
    <w:qFormat/>
    <w:uiPriority w:val="0"/>
    <w:rPr>
      <w:rFonts w:ascii="楷体_GB2312" w:hAnsi="Arial" w:eastAsia="楷体_GB2312"/>
      <w:sz w:val="28"/>
      <w:szCs w:val="20"/>
    </w:r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cs="宋体"/>
      <w:kern w:val="0"/>
      <w:sz w:val="24"/>
      <w:szCs w:val="24"/>
    </w:rPr>
  </w:style>
  <w:style w:type="character" w:styleId="14">
    <w:name w:val="Strong"/>
    <w:basedOn w:val="13"/>
    <w:qFormat/>
    <w:uiPriority w:val="99"/>
    <w:rPr>
      <w:b/>
      <w:bCs/>
    </w:rPr>
  </w:style>
  <w:style w:type="character" w:styleId="15">
    <w:name w:val="FollowedHyperlink"/>
    <w:basedOn w:val="13"/>
    <w:unhideWhenUsed/>
    <w:qFormat/>
    <w:uiPriority w:val="99"/>
    <w:rPr>
      <w:color w:val="800080"/>
      <w:u w:val="single"/>
    </w:rPr>
  </w:style>
  <w:style w:type="character" w:styleId="16">
    <w:name w:val="Hyperlink"/>
    <w:basedOn w:val="13"/>
    <w:unhideWhenUsed/>
    <w:qFormat/>
    <w:uiPriority w:val="99"/>
    <w:rPr>
      <w:color w:val="0000FF"/>
      <w:u w:val="single"/>
    </w:rPr>
  </w:style>
  <w:style w:type="paragraph" w:customStyle="1" w:styleId="17">
    <w:name w:val="BodyText1"/>
    <w:basedOn w:val="1"/>
    <w:qFormat/>
    <w:uiPriority w:val="0"/>
    <w:pPr>
      <w:spacing w:after="60" w:line="360" w:lineRule="atLeast"/>
      <w:ind w:left="72" w:right="30"/>
      <w:jc w:val="center"/>
    </w:pPr>
    <w:rPr>
      <w:szCs w:val="22"/>
    </w:rPr>
  </w:style>
  <w:style w:type="paragraph" w:styleId="18">
    <w:name w:val="List Paragraph"/>
    <w:basedOn w:val="1"/>
    <w:qFormat/>
    <w:uiPriority w:val="99"/>
    <w:pPr>
      <w:ind w:firstLine="420" w:firstLineChars="200"/>
    </w:pPr>
  </w:style>
  <w:style w:type="character" w:customStyle="1" w:styleId="19">
    <w:name w:val="Variable"/>
    <w:qFormat/>
    <w:uiPriority w:val="0"/>
    <w:rPr>
      <w:i/>
    </w:rPr>
  </w:style>
  <w:style w:type="paragraph" w:customStyle="1" w:styleId="20">
    <w:name w:val="Address"/>
    <w:basedOn w:val="1"/>
    <w:next w:val="1"/>
    <w:qFormat/>
    <w:uiPriority w:val="0"/>
    <w:pPr>
      <w:autoSpaceDE w:val="0"/>
      <w:autoSpaceDN w:val="0"/>
      <w:adjustRightInd w:val="0"/>
      <w:jc w:val="left"/>
    </w:pPr>
    <w:rPr>
      <w:i/>
      <w:kern w:val="0"/>
      <w:sz w:val="24"/>
      <w:szCs w:val="20"/>
    </w:rPr>
  </w:style>
  <w:style w:type="paragraph" w:customStyle="1" w:styleId="21">
    <w:name w:val="页眉1"/>
    <w:basedOn w:val="1"/>
    <w:qFormat/>
    <w:uiPriority w:val="99"/>
    <w:pPr>
      <w:pBdr>
        <w:bottom w:val="single" w:color="000000" w:sz="6" w:space="1"/>
      </w:pBdr>
      <w:tabs>
        <w:tab w:val="center" w:pos="4153"/>
        <w:tab w:val="right" w:pos="8306"/>
      </w:tabs>
      <w:jc w:val="center"/>
    </w:pPr>
    <w:rPr>
      <w:sz w:val="18"/>
      <w:szCs w:val="18"/>
    </w:rPr>
  </w:style>
  <w:style w:type="paragraph" w:customStyle="1" w:styleId="22">
    <w:name w:val="正文缩进1"/>
    <w:basedOn w:val="1"/>
    <w:qFormat/>
    <w:uiPriority w:val="99"/>
    <w:pPr>
      <w:autoSpaceDE w:val="0"/>
      <w:autoSpaceDN w:val="0"/>
      <w:adjustRightInd w:val="0"/>
      <w:ind w:firstLine="420"/>
      <w:jc w:val="left"/>
    </w:pPr>
    <w:rPr>
      <w:rFonts w:ascii="宋体"/>
      <w:kern w:val="0"/>
      <w:sz w:val="24"/>
    </w:rPr>
  </w:style>
  <w:style w:type="character" w:customStyle="1" w:styleId="23">
    <w:name w:val="文档结构图 Char"/>
    <w:basedOn w:val="13"/>
    <w:link w:val="6"/>
    <w:qFormat/>
    <w:uiPriority w:val="0"/>
    <w:rPr>
      <w:rFonts w:ascii="宋体" w:hAnsi="Times New Roman" w:eastAsia="宋体" w:cs="Times New Roman"/>
      <w:kern w:val="2"/>
      <w:sz w:val="18"/>
      <w:szCs w:val="18"/>
    </w:rPr>
  </w:style>
  <w:style w:type="character" w:customStyle="1" w:styleId="24">
    <w:name w:val="批注框文本 Char"/>
    <w:basedOn w:val="13"/>
    <w:link w:val="8"/>
    <w:qFormat/>
    <w:uiPriority w:val="0"/>
    <w:rPr>
      <w:rFonts w:ascii="Times New Roman" w:hAnsi="Times New Roman" w:eastAsia="宋体" w:cs="Times New Roman"/>
      <w:kern w:val="2"/>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xl71"/>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3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sz w:val="24"/>
      <w:szCs w:val="24"/>
    </w:rPr>
  </w:style>
  <w:style w:type="paragraph" w:customStyle="1" w:styleId="33">
    <w:name w:val="xl78"/>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4">
    <w:name w:val="xl79"/>
    <w:basedOn w:val="1"/>
    <w:qFormat/>
    <w:uiPriority w:val="0"/>
    <w:pPr>
      <w:widowControl/>
      <w:shd w:val="clear" w:color="000000" w:fill="FFFFFF"/>
      <w:spacing w:before="100" w:beforeAutospacing="1" w:after="100" w:afterAutospacing="1"/>
      <w:jc w:val="left"/>
      <w:textAlignment w:val="center"/>
    </w:pPr>
    <w:rPr>
      <w:rFonts w:ascii="微软雅黑" w:hAnsi="微软雅黑" w:eastAsia="微软雅黑" w:cs="宋体"/>
      <w:kern w:val="0"/>
      <w:sz w:val="18"/>
      <w:szCs w:val="18"/>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3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sz w:val="24"/>
      <w:szCs w:val="24"/>
    </w:rPr>
  </w:style>
  <w:style w:type="paragraph" w:customStyle="1" w:styleId="3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b/>
      <w:bCs/>
      <w:kern w:val="0"/>
      <w:sz w:val="24"/>
      <w:szCs w:val="24"/>
    </w:rPr>
  </w:style>
  <w:style w:type="paragraph" w:customStyle="1" w:styleId="4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4"/>
      <w:szCs w:val="24"/>
    </w:rPr>
  </w:style>
  <w:style w:type="paragraph" w:customStyle="1" w:styleId="4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szCs w:val="24"/>
    </w:rPr>
  </w:style>
  <w:style w:type="paragraph" w:customStyle="1" w:styleId="44">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4"/>
      <w:szCs w:val="24"/>
    </w:rPr>
  </w:style>
  <w:style w:type="paragraph" w:customStyle="1" w:styleId="4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47">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48">
    <w:name w:val="xl93"/>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9">
    <w:name w:val="xl94"/>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0">
    <w:name w:val="xl95"/>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51">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52">
    <w:name w:val="xl97"/>
    <w:basedOn w:val="1"/>
    <w:qFormat/>
    <w:uiPriority w:val="0"/>
    <w:pPr>
      <w:widowControl/>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53">
    <w:name w:val="xl98"/>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8"/>
      <w:szCs w:val="28"/>
    </w:rPr>
  </w:style>
  <w:style w:type="paragraph" w:customStyle="1" w:styleId="54">
    <w:name w:val="xl99"/>
    <w:basedOn w:val="1"/>
    <w:qFormat/>
    <w:uiPriority w:val="0"/>
    <w:pPr>
      <w:widowControl/>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5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5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5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58">
    <w:name w:val="xl10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4"/>
      <w:szCs w:val="24"/>
    </w:rPr>
  </w:style>
  <w:style w:type="paragraph" w:customStyle="1" w:styleId="5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0">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kern w:val="0"/>
      <w:sz w:val="24"/>
      <w:szCs w:val="24"/>
    </w:rPr>
  </w:style>
  <w:style w:type="paragraph" w:customStyle="1" w:styleId="62">
    <w:name w:val="xl107"/>
    <w:basedOn w:val="1"/>
    <w:qFormat/>
    <w:uiPriority w:val="0"/>
    <w:pPr>
      <w:widowControl/>
      <w:shd w:val="clear" w:color="000000" w:fill="FFFFFF"/>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48</Pages>
  <Words>8983</Words>
  <Characters>9599</Characters>
  <Lines>243</Lines>
  <Paragraphs>68</Paragraphs>
  <TotalTime>5</TotalTime>
  <ScaleCrop>false</ScaleCrop>
  <LinksUpToDate>false</LinksUpToDate>
  <CharactersWithSpaces>11076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2026-01-15T07:16:00Z</dcterms:created>
  <dc:creator>明天的太阳</dc:creator>
  <cp:lastModifiedBy>明天的太阳</cp:lastModifiedBy>
  <dcterms:modified xsi:type="dcterms:W3CDTF">2026-01-28T06:17:49Z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00C032009FFD45CF8A344850778716A8_13</vt:lpwstr>
  </property>
  <property fmtid="{D5CDD505-2E9C-101B-9397-08002B2CF9AE}" pid="4" name="KSOTemplateDocerSaveRecord">
    <vt:lpwstr>eyJoZGlkIjoiZjgwMmQzODQ5ZDZmZDgxMjlmMThhNGEzOTM2OWFiYTMiLCJ1c2VySWQiOiIxMzg0MTQ2NjY3In0=</vt:lpwstr>
  </property>
</Properties>
</file>