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E98D1">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18BDE69A">
      <w:pPr>
        <w:spacing w:before="156" w:beforeLines="50" w:after="156" w:afterLines="50" w:line="360" w:lineRule="auto"/>
        <w:jc w:val="center"/>
        <w:rPr>
          <w:rFonts w:hint="eastAsia" w:ascii="仿宋" w:hAnsi="仿宋" w:eastAsia="仿宋" w:cs="仿宋"/>
          <w:b/>
          <w:color w:val="000000" w:themeColor="text1"/>
          <w:sz w:val="52"/>
          <w:szCs w:val="52"/>
          <w:lang w:eastAsia="zh-CN"/>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南通市通州区</w:t>
      </w:r>
      <w:r>
        <w:rPr>
          <w:rFonts w:hint="eastAsia" w:ascii="仿宋" w:hAnsi="仿宋" w:eastAsia="仿宋" w:cs="仿宋"/>
          <w:b/>
          <w:color w:val="000000" w:themeColor="text1"/>
          <w:sz w:val="52"/>
          <w:szCs w:val="52"/>
          <w:lang w:eastAsia="zh-CN"/>
          <w14:textFill>
            <w14:solidFill>
              <w14:schemeClr w14:val="tx1"/>
            </w14:solidFill>
          </w14:textFill>
        </w:rPr>
        <w:t>数据局大数据中心</w:t>
      </w:r>
    </w:p>
    <w:p w14:paraId="0DFFAE9A">
      <w:pPr>
        <w:spacing w:before="156" w:beforeLines="50" w:after="156" w:afterLines="50" w:line="360" w:lineRule="auto"/>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b/>
          <w:bCs/>
          <w:color w:val="000000" w:themeColor="text1"/>
          <w:sz w:val="52"/>
          <w:szCs w:val="52"/>
          <w14:textFill>
            <w14:solidFill>
              <w14:schemeClr w14:val="tx1"/>
            </w14:solidFill>
          </w14:textFill>
        </w:rPr>
        <w:t>网络安全等级保护测评服务项目</w:t>
      </w:r>
    </w:p>
    <w:p w14:paraId="24DA1374">
      <w:pPr>
        <w:spacing w:before="156" w:beforeLines="50" w:after="156" w:afterLines="50" w:line="360" w:lineRule="auto"/>
        <w:rPr>
          <w:rFonts w:ascii="仿宋" w:hAnsi="仿宋" w:eastAsia="仿宋" w:cs="仿宋"/>
          <w:b/>
          <w:color w:val="000000" w:themeColor="text1"/>
          <w:sz w:val="28"/>
          <w:szCs w:val="28"/>
          <w14:textFill>
            <w14:solidFill>
              <w14:schemeClr w14:val="tx1"/>
            </w14:solidFill>
          </w14:textFill>
        </w:rPr>
      </w:pPr>
    </w:p>
    <w:p w14:paraId="5D2903E2">
      <w:pPr>
        <w:pStyle w:val="2"/>
        <w:rPr>
          <w:color w:val="000000" w:themeColor="text1"/>
          <w14:textFill>
            <w14:solidFill>
              <w14:schemeClr w14:val="tx1"/>
            </w14:solidFill>
          </w14:textFill>
        </w:rPr>
      </w:pPr>
    </w:p>
    <w:p w14:paraId="0986DE88">
      <w:pPr>
        <w:spacing w:before="156" w:beforeLines="50" w:after="156" w:afterLines="50" w:line="360" w:lineRule="auto"/>
        <w:jc w:val="center"/>
        <w:rPr>
          <w:rFonts w:ascii="仿宋" w:hAnsi="仿宋" w:eastAsia="仿宋" w:cs="仿宋"/>
          <w:b/>
          <w:color w:val="000000" w:themeColor="text1"/>
          <w:sz w:val="84"/>
          <w:szCs w:val="84"/>
          <w14:textFill>
            <w14:solidFill>
              <w14:schemeClr w14:val="tx1"/>
            </w14:solidFill>
          </w14:textFill>
        </w:rPr>
      </w:pPr>
      <w:r>
        <w:rPr>
          <w:rFonts w:hint="eastAsia" w:ascii="仿宋" w:hAnsi="仿宋" w:eastAsia="仿宋" w:cs="仿宋"/>
          <w:b/>
          <w:color w:val="000000" w:themeColor="text1"/>
          <w:sz w:val="84"/>
          <w:szCs w:val="84"/>
          <w14:textFill>
            <w14:solidFill>
              <w14:schemeClr w14:val="tx1"/>
            </w14:solidFill>
          </w14:textFill>
        </w:rPr>
        <w:t>公开招标文件</w:t>
      </w:r>
    </w:p>
    <w:p w14:paraId="1613AA53">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0B79FE5C">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621FB87B">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75F53533">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5B06E2A8">
      <w:pPr>
        <w:pStyle w:val="2"/>
        <w:rPr>
          <w:color w:val="000000" w:themeColor="text1"/>
          <w14:textFill>
            <w14:solidFill>
              <w14:schemeClr w14:val="tx1"/>
            </w14:solidFill>
          </w14:textFill>
        </w:rPr>
      </w:pPr>
    </w:p>
    <w:p w14:paraId="32322E0F">
      <w:pPr>
        <w:spacing w:before="312" w:beforeLines="100" w:after="312" w:afterLines="100" w:line="360" w:lineRule="auto"/>
        <w:ind w:firstLine="1431" w:firstLineChars="396"/>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 标 人：南通市通州区</w:t>
      </w:r>
      <w:r>
        <w:rPr>
          <w:rFonts w:hint="eastAsia" w:ascii="仿宋" w:hAnsi="仿宋" w:eastAsia="仿宋" w:cs="仿宋"/>
          <w:b/>
          <w:color w:val="000000" w:themeColor="text1"/>
          <w:sz w:val="36"/>
          <w:szCs w:val="36"/>
          <w:lang w:eastAsia="zh-CN"/>
          <w14:textFill>
            <w14:solidFill>
              <w14:schemeClr w14:val="tx1"/>
            </w14:solidFill>
          </w14:textFill>
        </w:rPr>
        <w:t>数据局大数据中心</w:t>
      </w:r>
    </w:p>
    <w:p w14:paraId="4A1DC5EC">
      <w:pPr>
        <w:spacing w:before="312" w:beforeLines="100" w:after="312" w:afterLines="100" w:line="360" w:lineRule="auto"/>
        <w:ind w:firstLine="1431" w:firstLineChars="3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日    期：2024年</w:t>
      </w:r>
      <w:r>
        <w:rPr>
          <w:rFonts w:hint="eastAsia" w:ascii="仿宋" w:hAnsi="仿宋" w:eastAsia="仿宋" w:cs="仿宋"/>
          <w:b/>
          <w:color w:val="000000" w:themeColor="text1"/>
          <w:sz w:val="36"/>
          <w:szCs w:val="36"/>
          <w:lang w:val="en-US" w:eastAsia="zh-CN"/>
          <w14:textFill>
            <w14:solidFill>
              <w14:schemeClr w14:val="tx1"/>
            </w14:solidFill>
          </w14:textFill>
        </w:rPr>
        <w:t>10</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b/>
          <w:color w:val="000000" w:themeColor="text1"/>
          <w:sz w:val="36"/>
          <w:szCs w:val="36"/>
          <w:lang w:val="en-US" w:eastAsia="zh-CN"/>
          <w14:textFill>
            <w14:solidFill>
              <w14:schemeClr w14:val="tx1"/>
            </w14:solidFill>
          </w14:textFill>
        </w:rPr>
        <w:t>25</w:t>
      </w:r>
      <w:r>
        <w:rPr>
          <w:rFonts w:hint="eastAsia" w:ascii="仿宋" w:hAnsi="仿宋" w:eastAsia="仿宋" w:cs="仿宋"/>
          <w:b/>
          <w:color w:val="000000" w:themeColor="text1"/>
          <w:sz w:val="36"/>
          <w:szCs w:val="36"/>
          <w14:textFill>
            <w14:solidFill>
              <w14:schemeClr w14:val="tx1"/>
            </w14:solidFill>
          </w14:textFill>
        </w:rPr>
        <w:t>日</w:t>
      </w:r>
    </w:p>
    <w:p w14:paraId="733ECBB8">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4B1A3BA4">
      <w:pPr>
        <w:pStyle w:val="15"/>
        <w:rPr>
          <w:color w:val="000000" w:themeColor="text1"/>
          <w14:textFill>
            <w14:solidFill>
              <w14:schemeClr w14:val="tx1"/>
            </w14:solidFill>
          </w14:textFill>
        </w:rPr>
      </w:pPr>
      <w:r>
        <w:rPr>
          <w:rFonts w:hint="eastAsia"/>
          <w:color w:val="000000" w:themeColor="text1"/>
          <w14:textFill>
            <w14:solidFill>
              <w14:schemeClr w14:val="tx1"/>
            </w14:solidFill>
          </w14:textFill>
        </w:rPr>
        <w:t>目  录</w:t>
      </w:r>
    </w:p>
    <w:p w14:paraId="1FF525EA">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bookmarkStart w:id="0" w:name="_Toc38556321"/>
      <w:r>
        <w:rPr>
          <w:rFonts w:ascii="仿宋" w:hAnsi="仿宋" w:eastAsia="仿宋" w:cs="仿宋"/>
          <w:color w:val="000000" w:themeColor="text1"/>
          <w:sz w:val="40"/>
          <w:szCs w:val="40"/>
          <w14:textFill>
            <w14:solidFill>
              <w14:schemeClr w14:val="tx1"/>
            </w14:solidFill>
          </w14:textFill>
        </w:rPr>
        <w:fldChar w:fldCharType="begin"/>
      </w:r>
      <w:r>
        <w:rPr>
          <w:rFonts w:ascii="仿宋" w:hAnsi="仿宋" w:eastAsia="仿宋" w:cs="仿宋"/>
          <w:color w:val="000000" w:themeColor="text1"/>
          <w:sz w:val="40"/>
          <w:szCs w:val="40"/>
          <w14:textFill>
            <w14:solidFill>
              <w14:schemeClr w14:val="tx1"/>
            </w14:solidFill>
          </w14:textFill>
        </w:rPr>
        <w:instrText xml:space="preserve"> </w:instrText>
      </w:r>
      <w:r>
        <w:rPr>
          <w:rFonts w:hint="eastAsia" w:ascii="仿宋" w:hAnsi="仿宋" w:eastAsia="仿宋" w:cs="仿宋"/>
          <w:color w:val="000000" w:themeColor="text1"/>
          <w:sz w:val="40"/>
          <w:szCs w:val="40"/>
          <w14:textFill>
            <w14:solidFill>
              <w14:schemeClr w14:val="tx1"/>
            </w14:solidFill>
          </w14:textFill>
        </w:rPr>
        <w:instrText xml:space="preserve">TOC \o "1-1" \h \z \u</w:instrText>
      </w:r>
      <w:r>
        <w:rPr>
          <w:rFonts w:ascii="仿宋" w:hAnsi="仿宋" w:eastAsia="仿宋" w:cs="仿宋"/>
          <w:color w:val="000000" w:themeColor="text1"/>
          <w:sz w:val="40"/>
          <w:szCs w:val="40"/>
          <w14:textFill>
            <w14:solidFill>
              <w14:schemeClr w14:val="tx1"/>
            </w14:solidFill>
          </w14:textFill>
        </w:rPr>
        <w:instrText xml:space="preserve"> </w:instrText>
      </w:r>
      <w:r>
        <w:rPr>
          <w:rFonts w:ascii="仿宋" w:hAnsi="仿宋" w:eastAsia="仿宋" w:cs="仿宋"/>
          <w:color w:val="000000" w:themeColor="text1"/>
          <w:sz w:val="40"/>
          <w:szCs w:val="4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"_Toc177570060"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第一章 公开招标公告</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_Toc177570060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3</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1ABC3290">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"_Toc177570061"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第二章 供应商须知</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_Toc177570061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5</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40EC8CC3">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"_Toc177570062"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第三章 采购需求</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_Toc177570062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9</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4DE0F57F">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"_Toc177570063"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第四章 开标和评标</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_Toc177570063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14</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4A36EF1D">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"_Toc177570064"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第五章 合同签订与验收付款</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_Toc177570064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21</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38800D8B">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"_Toc177570065"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第六章 质疑提出和处理</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_Toc177570065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22</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23945774">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"_Toc177570066" </w:instrText>
      </w:r>
      <w:r>
        <w:rPr>
          <w:color w:val="000000" w:themeColor="text1"/>
          <w14:textFill>
            <w14:solidFill>
              <w14:schemeClr w14:val="tx1"/>
            </w14:solidFill>
          </w14:textFill>
        </w:rPr>
        <w:fldChar w:fldCharType="separate"/>
      </w:r>
      <w:r>
        <w:rPr>
          <w:rStyle w:val="11"/>
          <w:rFonts w:ascii="仿宋" w:hAnsi="仿宋" w:eastAsia="仿宋"/>
          <w:color w:val="000000" w:themeColor="text1"/>
          <w:sz w:val="28"/>
          <w:szCs w:val="32"/>
          <w14:textFill>
            <w14:solidFill>
              <w14:schemeClr w14:val="tx1"/>
            </w14:solidFill>
          </w14:textFill>
        </w:rPr>
        <w:t>第七章 投标文件组成</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_Toc177570066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26</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0CEBBB56">
      <w:pPr>
        <w:pStyle w:val="7"/>
        <w:tabs>
          <w:tab w:val="right" w:leader="dot" w:pos="8948"/>
        </w:tabs>
        <w:rPr>
          <w:rFonts w:ascii="仿宋" w:hAnsi="仿宋" w:eastAsia="仿宋" w:cstheme="minorBidi"/>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"_Toc177570067" </w:instrText>
      </w:r>
      <w:r>
        <w:rPr>
          <w:color w:val="000000" w:themeColor="text1"/>
          <w14:textFill>
            <w14:solidFill>
              <w14:schemeClr w14:val="tx1"/>
            </w14:solidFill>
          </w14:textFill>
        </w:rPr>
        <w:fldChar w:fldCharType="separate"/>
      </w:r>
      <w:r>
        <w:rPr>
          <w:rStyle w:val="11"/>
          <w:rFonts w:ascii="仿宋" w:hAnsi="仿宋" w:eastAsia="仿宋" w:cs="仿宋"/>
          <w:b/>
          <w:bCs/>
          <w:color w:val="000000" w:themeColor="text1"/>
          <w:kern w:val="44"/>
          <w:sz w:val="28"/>
          <w:szCs w:val="32"/>
          <w14:textFill>
            <w14:solidFill>
              <w14:schemeClr w14:val="tx1"/>
            </w14:solidFill>
          </w14:textFill>
        </w:rPr>
        <w:t>附件</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_Toc177570067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27</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3108862C">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40"/>
          <w:szCs w:val="40"/>
          <w14:textFill>
            <w14:solidFill>
              <w14:schemeClr w14:val="tx1"/>
            </w14:solidFill>
          </w14:textFill>
        </w:rPr>
        <w:fldChar w:fldCharType="end"/>
      </w:r>
      <w:r>
        <w:rPr>
          <w:rFonts w:ascii="仿宋" w:hAnsi="仿宋" w:eastAsia="仿宋" w:cs="仿宋"/>
          <w:color w:val="000000" w:themeColor="text1"/>
          <w:sz w:val="28"/>
          <w:szCs w:val="28"/>
          <w14:textFill>
            <w14:solidFill>
              <w14:schemeClr w14:val="tx1"/>
            </w14:solidFill>
          </w14:textFill>
        </w:rPr>
        <w:br w:type="page"/>
      </w:r>
    </w:p>
    <w:p w14:paraId="2F100154">
      <w:pPr>
        <w:pStyle w:val="3"/>
        <w:rPr>
          <w:color w:val="000000" w:themeColor="text1"/>
          <w14:textFill>
            <w14:solidFill>
              <w14:schemeClr w14:val="tx1"/>
            </w14:solidFill>
          </w14:textFill>
        </w:rPr>
      </w:pPr>
      <w:bookmarkStart w:id="1" w:name="_Toc177570060"/>
      <w:r>
        <w:rPr>
          <w:rFonts w:hint="eastAsia"/>
          <w:color w:val="000000" w:themeColor="text1"/>
          <w14:textFill>
            <w14:solidFill>
              <w14:schemeClr w14:val="tx1"/>
            </w14:solidFill>
          </w14:textFill>
        </w:rPr>
        <w:t>第一章 公开招标公告</w:t>
      </w:r>
      <w:bookmarkEnd w:id="0"/>
      <w:bookmarkEnd w:id="1"/>
    </w:p>
    <w:p w14:paraId="140FC7F6">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南通市通州区</w:t>
      </w:r>
      <w:r>
        <w:rPr>
          <w:rFonts w:hint="eastAsia" w:ascii="仿宋" w:hAnsi="仿宋" w:eastAsia="仿宋" w:cs="宋体"/>
          <w:color w:val="000000" w:themeColor="text1"/>
          <w:kern w:val="0"/>
          <w:sz w:val="28"/>
          <w:szCs w:val="28"/>
          <w:lang w:eastAsia="zh-CN"/>
          <w14:textFill>
            <w14:solidFill>
              <w14:schemeClr w14:val="tx1"/>
            </w14:solidFill>
          </w14:textFill>
        </w:rPr>
        <w:t>数据局大数据中心</w:t>
      </w:r>
      <w:r>
        <w:rPr>
          <w:rFonts w:hint="eastAsia" w:ascii="仿宋" w:hAnsi="仿宋" w:eastAsia="仿宋" w:cs="宋体"/>
          <w:color w:val="000000" w:themeColor="text1"/>
          <w:kern w:val="0"/>
          <w:sz w:val="28"/>
          <w:szCs w:val="28"/>
          <w14:textFill>
            <w14:solidFill>
              <w14:schemeClr w14:val="tx1"/>
            </w14:solidFill>
          </w14:textFill>
        </w:rPr>
        <w:t>拟对信息</w:t>
      </w:r>
      <w:r>
        <w:rPr>
          <w:rFonts w:ascii="仿宋" w:hAnsi="仿宋" w:eastAsia="仿宋" w:cs="宋体"/>
          <w:color w:val="000000" w:themeColor="text1"/>
          <w:kern w:val="0"/>
          <w:sz w:val="28"/>
          <w:szCs w:val="28"/>
          <w14:textFill>
            <w14:solidFill>
              <w14:schemeClr w14:val="tx1"/>
            </w14:solidFill>
          </w14:textFill>
        </w:rPr>
        <w:t>系统</w:t>
      </w:r>
      <w:r>
        <w:rPr>
          <w:rFonts w:hint="eastAsia" w:ascii="仿宋" w:hAnsi="仿宋" w:eastAsia="仿宋" w:cs="宋体"/>
          <w:color w:val="000000" w:themeColor="text1"/>
          <w:kern w:val="0"/>
          <w:sz w:val="28"/>
          <w:szCs w:val="28"/>
          <w14:textFill>
            <w14:solidFill>
              <w14:schemeClr w14:val="tx1"/>
            </w14:solidFill>
          </w14:textFill>
        </w:rPr>
        <w:t>网络安全等级保护测评服务以公开招标方式进行采购，诚邀符合条件的潜在供应商参加该项目的公开招标。</w:t>
      </w:r>
    </w:p>
    <w:p w14:paraId="3C76F70B">
      <w:pPr>
        <w:widowControl/>
        <w:spacing w:line="360" w:lineRule="auto"/>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一、采购人、采购项目名称和内容</w:t>
      </w:r>
    </w:p>
    <w:p w14:paraId="3AF03032">
      <w:pPr>
        <w:widowControl/>
        <w:spacing w:line="360" w:lineRule="auto"/>
        <w:ind w:firstLine="560"/>
        <w:jc w:val="left"/>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采购人：南通市通州区</w:t>
      </w:r>
      <w:r>
        <w:rPr>
          <w:rFonts w:hint="eastAsia" w:ascii="仿宋" w:hAnsi="仿宋" w:eastAsia="仿宋" w:cs="宋体"/>
          <w:color w:val="000000" w:themeColor="text1"/>
          <w:kern w:val="0"/>
          <w:sz w:val="28"/>
          <w:szCs w:val="28"/>
          <w:lang w:eastAsia="zh-CN"/>
          <w14:textFill>
            <w14:solidFill>
              <w14:schemeClr w14:val="tx1"/>
            </w14:solidFill>
          </w14:textFill>
        </w:rPr>
        <w:t>数据局大数据中心</w:t>
      </w:r>
    </w:p>
    <w:p w14:paraId="2B75C7C8">
      <w:pPr>
        <w:widowControl/>
        <w:spacing w:line="360" w:lineRule="auto"/>
        <w:ind w:firstLine="5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采购项目名称：南通市通州区</w:t>
      </w:r>
      <w:r>
        <w:rPr>
          <w:rFonts w:hint="eastAsia" w:ascii="仿宋" w:hAnsi="仿宋" w:eastAsia="仿宋" w:cs="宋体"/>
          <w:color w:val="000000" w:themeColor="text1"/>
          <w:kern w:val="0"/>
          <w:sz w:val="28"/>
          <w:szCs w:val="28"/>
          <w:lang w:eastAsia="zh-CN"/>
          <w14:textFill>
            <w14:solidFill>
              <w14:schemeClr w14:val="tx1"/>
            </w14:solidFill>
          </w14:textFill>
        </w:rPr>
        <w:t>数据局大数据中心</w:t>
      </w:r>
      <w:r>
        <w:rPr>
          <w:rFonts w:hint="eastAsia" w:ascii="仿宋" w:hAnsi="仿宋" w:eastAsia="仿宋" w:cs="宋体"/>
          <w:color w:val="000000" w:themeColor="text1"/>
          <w:kern w:val="0"/>
          <w:sz w:val="28"/>
          <w:szCs w:val="28"/>
          <w14:textFill>
            <w14:solidFill>
              <w14:schemeClr w14:val="tx1"/>
            </w14:solidFill>
          </w14:textFill>
        </w:rPr>
        <w:t>网络安全等级保护测评服务项目</w:t>
      </w:r>
    </w:p>
    <w:p w14:paraId="607E006C">
      <w:pPr>
        <w:widowControl/>
        <w:spacing w:line="360" w:lineRule="auto"/>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二、项目预算</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万元</w:t>
      </w:r>
    </w:p>
    <w:p w14:paraId="5CE314FC">
      <w:pPr>
        <w:widowControl/>
        <w:spacing w:line="360" w:lineRule="auto"/>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三、供应商资格要求</w:t>
      </w:r>
    </w:p>
    <w:p w14:paraId="0EA8FB04">
      <w:pPr>
        <w:widowControl/>
        <w:spacing w:line="360" w:lineRule="auto"/>
        <w:ind w:firstLine="5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（一）符合政府采购法第二十二条第一款规定的条件，并提供下列材料：</w:t>
      </w:r>
    </w:p>
    <w:p w14:paraId="03B27869">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1、法人或者其他组织的营业执照等证明文件；</w:t>
      </w:r>
    </w:p>
    <w:p w14:paraId="70C21135">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2、上一年度的财务报告（成立不满一年不需提供）；</w:t>
      </w:r>
    </w:p>
    <w:p w14:paraId="601B1FE1">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3、依法缴纳税收和社会保障资金的相关证明材料；</w:t>
      </w:r>
    </w:p>
    <w:p w14:paraId="0BA2DDDF">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4、具备履行合同所必需的设备和专业技术能力的证明材料；</w:t>
      </w:r>
    </w:p>
    <w:p w14:paraId="02267368">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5、参加政府采购活动前3年内在经营活动中没有重大违法记录的书面声明；</w:t>
      </w:r>
    </w:p>
    <w:p w14:paraId="18260386">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（二）采购人其他要求：</w:t>
      </w:r>
    </w:p>
    <w:p w14:paraId="0561DBA4">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潜在供应商需</w:t>
      </w:r>
      <w:r>
        <w:rPr>
          <w:rFonts w:ascii="仿宋" w:hAnsi="仿宋" w:eastAsia="仿宋" w:cs="宋体"/>
          <w:b/>
          <w:color w:val="000000" w:themeColor="text1"/>
          <w:kern w:val="0"/>
          <w:sz w:val="28"/>
          <w:szCs w:val="28"/>
          <w14:textFill>
            <w14:solidFill>
              <w14:schemeClr w14:val="tx1"/>
            </w14:solidFill>
          </w14:textFill>
        </w:rPr>
        <w:t>具有</w:t>
      </w:r>
      <w:r>
        <w:rPr>
          <w:rFonts w:hint="eastAsia" w:ascii="仿宋" w:hAnsi="仿宋" w:eastAsia="仿宋" w:cs="宋体"/>
          <w:b/>
          <w:color w:val="000000" w:themeColor="text1"/>
          <w:kern w:val="0"/>
          <w:sz w:val="28"/>
          <w:szCs w:val="28"/>
          <w14:textFill>
            <w14:solidFill>
              <w14:schemeClr w14:val="tx1"/>
            </w14:solidFill>
          </w14:textFill>
        </w:rPr>
        <w:t>有效期内的《</w:t>
      </w:r>
      <w:r>
        <w:rPr>
          <w:rFonts w:ascii="仿宋" w:hAnsi="仿宋" w:eastAsia="仿宋" w:cs="宋体"/>
          <w:b/>
          <w:color w:val="000000" w:themeColor="text1"/>
          <w:kern w:val="0"/>
          <w:sz w:val="28"/>
          <w:szCs w:val="28"/>
          <w14:textFill>
            <w14:solidFill>
              <w14:schemeClr w14:val="tx1"/>
            </w14:solidFill>
          </w14:textFill>
        </w:rPr>
        <w:t>网络安全等级测评与检测评估机构服务认证证书</w:t>
      </w:r>
      <w:r>
        <w:rPr>
          <w:rFonts w:hint="eastAsia" w:ascii="仿宋" w:hAnsi="仿宋" w:eastAsia="仿宋" w:cs="宋体"/>
          <w:b/>
          <w:color w:val="000000" w:themeColor="text1"/>
          <w:kern w:val="0"/>
          <w:sz w:val="28"/>
          <w:szCs w:val="28"/>
          <w14:textFill>
            <w14:solidFill>
              <w14:schemeClr w14:val="tx1"/>
            </w14:solidFill>
          </w14:textFill>
        </w:rPr>
        <w:t>》。</w:t>
      </w:r>
    </w:p>
    <w:p w14:paraId="1633D04A">
      <w:pPr>
        <w:keepNext w:val="0"/>
        <w:keepLines w:val="0"/>
        <w:pageBreakBefore w:val="0"/>
        <w:widowControl/>
        <w:tabs>
          <w:tab w:val="center" w:pos="4917"/>
        </w:tabs>
        <w:kinsoku/>
        <w:wordWrap/>
        <w:overflowPunct/>
        <w:topLinePunct w:val="0"/>
        <w:autoSpaceDE/>
        <w:autoSpaceDN/>
        <w:bidi w:val="0"/>
        <w:adjustRightInd/>
        <w:snapToGrid/>
        <w:spacing w:line="560" w:lineRule="exact"/>
        <w:ind w:firstLine="560"/>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落实政府采购政策需满足的资格要求：本项目专门面向中小企业采购，供应商应为中小微企业、监狱企业或残疾人福利性单位，并按照公开招标文件要求提供《中小企业声明函》、《残疾人福利性单位声明函》或监狱和戒毒企业证明材料。</w:t>
      </w:r>
    </w:p>
    <w:p w14:paraId="5CCA52B7">
      <w:pPr>
        <w:keepNext w:val="0"/>
        <w:keepLines w:val="0"/>
        <w:pageBreakBefore w:val="0"/>
        <w:widowControl/>
        <w:tabs>
          <w:tab w:val="center" w:pos="4917"/>
        </w:tabs>
        <w:kinsoku/>
        <w:wordWrap/>
        <w:overflowPunct/>
        <w:topLinePunct w:val="0"/>
        <w:autoSpaceDE/>
        <w:autoSpaceDN/>
        <w:bidi w:val="0"/>
        <w:adjustRightInd/>
        <w:snapToGrid/>
        <w:spacing w:line="560" w:lineRule="exact"/>
        <w:ind w:firstLine="560"/>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w:t>
      </w:r>
      <w:r>
        <w:rPr>
          <w:rFonts w:ascii="仿宋" w:hAnsi="仿宋" w:eastAsia="仿宋" w:cs="宋体"/>
          <w:color w:val="000000" w:themeColor="text1"/>
          <w:kern w:val="0"/>
          <w:sz w:val="28"/>
          <w:szCs w:val="28"/>
          <w14:textFill>
            <w14:solidFill>
              <w14:schemeClr w14:val="tx1"/>
            </w14:solidFill>
          </w14:textFill>
        </w:rPr>
        <w:t>不接受联合体投标。</w:t>
      </w:r>
    </w:p>
    <w:p w14:paraId="58D41A4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四、拟采购的货物或者服务的说明</w:t>
      </w:r>
    </w:p>
    <w:p w14:paraId="5C013A42">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w:t>
      </w:r>
      <w:r>
        <w:rPr>
          <w:rFonts w:ascii="仿宋" w:hAnsi="仿宋" w:eastAsia="仿宋" w:cs="宋体"/>
          <w:color w:val="000000" w:themeColor="text1"/>
          <w:kern w:val="0"/>
          <w:sz w:val="28"/>
          <w:szCs w:val="28"/>
          <w14:textFill>
            <w14:solidFill>
              <w14:schemeClr w14:val="tx1"/>
            </w14:solidFill>
          </w14:textFill>
        </w:rPr>
        <w:t>服务具体需求详见附件公开招标</w:t>
      </w:r>
      <w:r>
        <w:rPr>
          <w:rFonts w:hint="eastAsia" w:ascii="仿宋" w:hAnsi="仿宋" w:eastAsia="仿宋" w:cs="宋体"/>
          <w:color w:val="000000" w:themeColor="text1"/>
          <w:kern w:val="0"/>
          <w:sz w:val="28"/>
          <w:szCs w:val="28"/>
          <w14:textFill>
            <w14:solidFill>
              <w14:schemeClr w14:val="tx1"/>
            </w14:solidFill>
          </w14:textFill>
        </w:rPr>
        <w:t>文件</w:t>
      </w:r>
      <w:r>
        <w:rPr>
          <w:rFonts w:ascii="仿宋" w:hAnsi="仿宋" w:eastAsia="仿宋" w:cs="宋体"/>
          <w:color w:val="000000" w:themeColor="text1"/>
          <w:kern w:val="0"/>
          <w:sz w:val="28"/>
          <w:szCs w:val="28"/>
          <w14:textFill>
            <w14:solidFill>
              <w14:schemeClr w14:val="tx1"/>
            </w14:solidFill>
          </w14:textFill>
        </w:rPr>
        <w:t>。</w:t>
      </w:r>
    </w:p>
    <w:p w14:paraId="3624EA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五、供应商参与公开招标路径</w:t>
      </w:r>
    </w:p>
    <w:p w14:paraId="47A85446">
      <w:pPr>
        <w:keepNext w:val="0"/>
        <w:keepLines w:val="0"/>
        <w:pageBreakBefore w:val="0"/>
        <w:widowControl/>
        <w:kinsoku/>
        <w:wordWrap/>
        <w:overflowPunct/>
        <w:topLinePunct w:val="0"/>
        <w:autoSpaceDE/>
        <w:autoSpaceDN/>
        <w:bidi w:val="0"/>
        <w:adjustRightInd/>
        <w:snapToGrid/>
        <w:spacing w:after="75" w:line="560" w:lineRule="exact"/>
        <w:ind w:firstLine="480"/>
        <w:jc w:val="left"/>
        <w:textAlignment w:val="auto"/>
        <w:rPr>
          <w:rFonts w:hint="default" w:ascii="仿宋" w:hAnsi="仿宋" w:eastAsia="仿宋" w:cs="宋体"/>
          <w:color w:val="000000" w:themeColor="text1"/>
          <w:kern w:val="0"/>
          <w:sz w:val="28"/>
          <w:szCs w:val="28"/>
          <w:lang w:val="en-US"/>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1、获取公开招标文件：</w:t>
      </w:r>
      <w:r>
        <w:rPr>
          <w:rFonts w:hint="eastAsia" w:ascii="仿宋" w:hAnsi="仿宋" w:eastAsia="仿宋" w:cs="宋体"/>
          <w:color w:val="000000" w:themeColor="text1"/>
          <w:kern w:val="0"/>
          <w:sz w:val="28"/>
          <w:szCs w:val="28"/>
          <w14:textFill>
            <w14:solidFill>
              <w14:schemeClr w14:val="tx1"/>
            </w14:solidFill>
          </w14:textFill>
        </w:rPr>
        <w:t>自本公告发布之日起至2024年</w:t>
      </w:r>
      <w:r>
        <w:rPr>
          <w:rFonts w:hint="eastAsia" w:ascii="仿宋" w:hAnsi="仿宋" w:eastAsia="仿宋" w:cs="宋体"/>
          <w:color w:val="000000" w:themeColor="text1"/>
          <w:kern w:val="0"/>
          <w:sz w:val="28"/>
          <w:szCs w:val="28"/>
          <w:lang w:val="en-US" w:eastAsia="zh-CN"/>
          <w14:textFill>
            <w14:solidFill>
              <w14:schemeClr w14:val="tx1"/>
            </w14:solidFill>
          </w14:textFill>
        </w:rPr>
        <w:t>11</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14</w:t>
      </w:r>
      <w:r>
        <w:rPr>
          <w:rFonts w:hint="eastAsia"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在南通市通州区人民政府网站上获取采购文件，逾期不可下载。</w:t>
      </w:r>
    </w:p>
    <w:p w14:paraId="4CD683B8">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2、响应文件接收截止及评审时间、地点：</w:t>
      </w:r>
      <w:r>
        <w:rPr>
          <w:rFonts w:hint="eastAsia" w:ascii="仿宋" w:hAnsi="仿宋" w:eastAsia="仿宋"/>
          <w:color w:val="000000" w:themeColor="text1"/>
          <w:sz w:val="28"/>
          <w:szCs w:val="28"/>
          <w14:textFill>
            <w14:solidFill>
              <w14:schemeClr w14:val="tx1"/>
            </w14:solidFill>
          </w14:textFill>
        </w:rPr>
        <w:t>时间：2024年</w:t>
      </w:r>
      <w:r>
        <w:rPr>
          <w:rFonts w:hint="eastAsia" w:ascii="仿宋" w:hAnsi="仿宋" w:eastAsia="仿宋"/>
          <w:color w:val="000000" w:themeColor="text1"/>
          <w:sz w:val="28"/>
          <w:szCs w:val="28"/>
          <w:lang w:val="en-US" w:eastAsia="zh-CN"/>
          <w14:textFill>
            <w14:solidFill>
              <w14:schemeClr w14:val="tx1"/>
            </w14:solidFill>
          </w14:textFill>
        </w:rPr>
        <w:t>11</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14</w:t>
      </w:r>
      <w:bookmarkStart w:id="20" w:name="_GoBack"/>
      <w:bookmarkEnd w:id="20"/>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14：00</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北京时间</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。逾时现场将不接受文件。</w:t>
      </w:r>
    </w:p>
    <w:p w14:paraId="5C880B7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宋体"/>
          <w:b/>
          <w:color w:val="000000" w:themeColor="text1"/>
          <w:kern w:val="0"/>
          <w:sz w:val="28"/>
          <w:szCs w:val="28"/>
          <w:lang w:eastAsia="zh-CN"/>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3、响应文件递交地址：</w:t>
      </w:r>
      <w:r>
        <w:rPr>
          <w:rFonts w:ascii="仿宋" w:hAnsi="仿宋" w:eastAsia="仿宋" w:cs="宋体"/>
          <w:b/>
          <w:color w:val="000000" w:themeColor="text1"/>
          <w:kern w:val="0"/>
          <w:sz w:val="28"/>
          <w:szCs w:val="28"/>
          <w14:textFill>
            <w14:solidFill>
              <w14:schemeClr w14:val="tx1"/>
            </w14:solidFill>
          </w14:textFill>
        </w:rPr>
        <w:t xml:space="preserve"> </w:t>
      </w:r>
      <w:r>
        <w:rPr>
          <w:rFonts w:hint="eastAsia" w:ascii="仿宋" w:hAnsi="仿宋" w:eastAsia="仿宋" w:cs="宋体"/>
          <w:b/>
          <w:bCs/>
          <w:color w:val="000000" w:themeColor="text1"/>
          <w:kern w:val="0"/>
          <w:sz w:val="28"/>
          <w:szCs w:val="28"/>
          <w:highlight w:val="none"/>
          <w14:textFill>
            <w14:solidFill>
              <w14:schemeClr w14:val="tx1"/>
            </w14:solidFill>
          </w14:textFill>
        </w:rPr>
        <w:t>南通市通州区行政中心1号楼</w:t>
      </w:r>
      <w:r>
        <w:rPr>
          <w:rFonts w:hint="eastAsia" w:ascii="仿宋" w:hAnsi="仿宋" w:eastAsia="仿宋" w:cs="宋体"/>
          <w:b/>
          <w:bCs/>
          <w:color w:val="000000" w:themeColor="text1"/>
          <w:kern w:val="0"/>
          <w:sz w:val="28"/>
          <w:szCs w:val="28"/>
          <w:highlight w:val="none"/>
          <w:lang w:val="en-US" w:eastAsia="zh-CN"/>
          <w14:textFill>
            <w14:solidFill>
              <w14:schemeClr w14:val="tx1"/>
            </w14:solidFill>
          </w14:textFill>
        </w:rPr>
        <w:t>1406</w:t>
      </w:r>
      <w:r>
        <w:rPr>
          <w:rFonts w:hint="eastAsia" w:ascii="仿宋" w:hAnsi="仿宋" w:eastAsia="仿宋" w:cs="宋体"/>
          <w:b/>
          <w:bCs/>
          <w:color w:val="000000" w:themeColor="text1"/>
          <w:kern w:val="0"/>
          <w:sz w:val="28"/>
          <w:szCs w:val="28"/>
          <w:highlight w:val="none"/>
          <w14:textFill>
            <w14:solidFill>
              <w14:schemeClr w14:val="tx1"/>
            </w14:solidFill>
          </w14:textFill>
        </w:rPr>
        <w:t>室</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w:t>
      </w:r>
    </w:p>
    <w:p w14:paraId="6A2D14CB">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4、公开招标保证金：</w:t>
      </w:r>
      <w:r>
        <w:rPr>
          <w:rFonts w:hint="eastAsia" w:ascii="仿宋" w:hAnsi="仿宋" w:eastAsia="仿宋" w:cs="宋体"/>
          <w:color w:val="000000" w:themeColor="text1"/>
          <w:kern w:val="0"/>
          <w:sz w:val="28"/>
          <w:szCs w:val="28"/>
          <w14:textFill>
            <w14:solidFill>
              <w14:schemeClr w14:val="tx1"/>
            </w14:solidFill>
          </w14:textFill>
        </w:rPr>
        <w:t>本项目不需提供保证金</w:t>
      </w:r>
      <w:r>
        <w:rPr>
          <w:rFonts w:ascii="仿宋" w:hAnsi="仿宋" w:eastAsia="仿宋" w:cs="宋体"/>
          <w:color w:val="000000" w:themeColor="text1"/>
          <w:kern w:val="0"/>
          <w:sz w:val="28"/>
          <w:szCs w:val="28"/>
          <w14:textFill>
            <w14:solidFill>
              <w14:schemeClr w14:val="tx1"/>
            </w14:solidFill>
          </w14:textFill>
        </w:rPr>
        <w:t xml:space="preserve">。 </w:t>
      </w:r>
    </w:p>
    <w:p w14:paraId="5E83A8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六、公告期限</w:t>
      </w:r>
    </w:p>
    <w:p w14:paraId="7BF39B1A">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自本公告发布之日起5个工作日</w:t>
      </w:r>
      <w:r>
        <w:rPr>
          <w:rFonts w:hint="eastAsia" w:ascii="仿宋" w:hAnsi="仿宋" w:eastAsia="仿宋" w:cs="宋体"/>
          <w:color w:val="000000" w:themeColor="text1"/>
          <w:kern w:val="0"/>
          <w:sz w:val="28"/>
          <w:szCs w:val="28"/>
          <w14:textFill>
            <w14:solidFill>
              <w14:schemeClr w14:val="tx1"/>
            </w14:solidFill>
          </w14:textFill>
        </w:rPr>
        <w:t>，如对本项目招标</w:t>
      </w:r>
      <w:r>
        <w:rPr>
          <w:rFonts w:ascii="仿宋" w:hAnsi="仿宋" w:eastAsia="仿宋" w:cs="宋体"/>
          <w:color w:val="000000" w:themeColor="text1"/>
          <w:kern w:val="0"/>
          <w:sz w:val="28"/>
          <w:szCs w:val="28"/>
          <w14:textFill>
            <w14:solidFill>
              <w14:schemeClr w14:val="tx1"/>
            </w14:solidFill>
          </w14:textFill>
        </w:rPr>
        <w:t>文件</w:t>
      </w:r>
      <w:r>
        <w:rPr>
          <w:rFonts w:hint="eastAsia" w:ascii="仿宋" w:hAnsi="仿宋" w:eastAsia="仿宋" w:cs="宋体"/>
          <w:color w:val="000000" w:themeColor="text1"/>
          <w:kern w:val="0"/>
          <w:sz w:val="28"/>
          <w:szCs w:val="28"/>
          <w14:textFill>
            <w14:solidFill>
              <w14:schemeClr w14:val="tx1"/>
            </w14:solidFill>
          </w14:textFill>
        </w:rPr>
        <w:t>有异议的，请于投标截止日</w:t>
      </w:r>
      <w:r>
        <w:rPr>
          <w:rFonts w:ascii="仿宋" w:hAnsi="仿宋" w:eastAsia="仿宋" w:cs="宋体"/>
          <w:color w:val="000000" w:themeColor="text1"/>
          <w:kern w:val="0"/>
          <w:sz w:val="28"/>
          <w:szCs w:val="28"/>
          <w14:textFill>
            <w14:solidFill>
              <w14:schemeClr w14:val="tx1"/>
            </w14:solidFill>
          </w14:textFill>
        </w:rPr>
        <w:t>前</w:t>
      </w:r>
      <w:r>
        <w:rPr>
          <w:rFonts w:hint="eastAsia" w:ascii="仿宋" w:hAnsi="仿宋" w:eastAsia="仿宋" w:cs="宋体"/>
          <w:color w:val="000000" w:themeColor="text1"/>
          <w:kern w:val="0"/>
          <w:sz w:val="28"/>
          <w:szCs w:val="28"/>
          <w:lang w:val="en-US" w:eastAsia="zh-CN"/>
          <w14:textFill>
            <w14:solidFill>
              <w14:schemeClr w14:val="tx1"/>
            </w14:solidFill>
          </w14:textFill>
        </w:rPr>
        <w:t>十</w:t>
      </w:r>
      <w:r>
        <w:rPr>
          <w:rFonts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14:textFill>
            <w14:solidFill>
              <w14:schemeClr w14:val="tx1"/>
            </w14:solidFill>
          </w14:textFill>
        </w:rPr>
        <w:t>将书面意见反馈给采购单位。</w:t>
      </w:r>
    </w:p>
    <w:p w14:paraId="0469FDC1">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采购方联系人和联系电话</w:t>
      </w:r>
    </w:p>
    <w:p w14:paraId="4379105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采购单位：南通市通州区</w:t>
      </w:r>
      <w:r>
        <w:rPr>
          <w:rFonts w:hint="eastAsia" w:ascii="仿宋" w:hAnsi="仿宋" w:eastAsia="仿宋" w:cs="宋体"/>
          <w:color w:val="000000" w:themeColor="text1"/>
          <w:kern w:val="0"/>
          <w:sz w:val="28"/>
          <w:szCs w:val="28"/>
          <w:lang w:eastAsia="zh-CN"/>
          <w14:textFill>
            <w14:solidFill>
              <w14:schemeClr w14:val="tx1"/>
            </w14:solidFill>
          </w14:textFill>
        </w:rPr>
        <w:t>数据局大数据中心</w:t>
      </w:r>
      <w:r>
        <w:rPr>
          <w:rFonts w:hint="eastAsia" w:ascii="仿宋" w:hAnsi="仿宋" w:eastAsia="仿宋" w:cs="宋体"/>
          <w:color w:val="000000" w:themeColor="text1"/>
          <w:kern w:val="0"/>
          <w:sz w:val="28"/>
          <w:szCs w:val="28"/>
          <w14:textFill>
            <w14:solidFill>
              <w14:schemeClr w14:val="tx1"/>
            </w14:solidFill>
          </w14:textFill>
        </w:rPr>
        <w:t xml:space="preserve">  </w:t>
      </w:r>
    </w:p>
    <w:p w14:paraId="3881E076">
      <w:pPr>
        <w:keepNext w:val="0"/>
        <w:keepLines w:val="0"/>
        <w:pageBreakBefore w:val="0"/>
        <w:widowControl/>
        <w:kinsoku/>
        <w:wordWrap/>
        <w:overflowPunct/>
        <w:topLinePunct w:val="0"/>
        <w:autoSpaceDE/>
        <w:autoSpaceDN/>
        <w:bidi w:val="0"/>
        <w:adjustRightInd/>
        <w:snapToGrid/>
        <w:spacing w:after="75" w:line="560" w:lineRule="exact"/>
        <w:ind w:firstLine="560" w:firstLineChars="200"/>
        <w:jc w:val="both"/>
        <w:textAlignment w:val="auto"/>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采购单位联系人：顾</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先生</w:t>
      </w:r>
    </w:p>
    <w:p w14:paraId="0ABBCD45">
      <w:pPr>
        <w:keepNext w:val="0"/>
        <w:keepLines w:val="0"/>
        <w:pageBreakBefore w:val="0"/>
        <w:widowControl/>
        <w:kinsoku/>
        <w:wordWrap/>
        <w:overflowPunct/>
        <w:topLinePunct w:val="0"/>
        <w:autoSpaceDE/>
        <w:autoSpaceDN/>
        <w:bidi w:val="0"/>
        <w:adjustRightInd/>
        <w:snapToGrid/>
        <w:spacing w:after="75" w:line="560" w:lineRule="exact"/>
        <w:ind w:firstLine="560" w:firstLineChars="200"/>
        <w:jc w:val="both"/>
        <w:textAlignment w:val="auto"/>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采购单位联系电话：0</w:t>
      </w:r>
      <w:r>
        <w:rPr>
          <w:rFonts w:ascii="仿宋" w:hAnsi="仿宋" w:eastAsia="仿宋" w:cs="宋体"/>
          <w:color w:val="000000" w:themeColor="text1"/>
          <w:kern w:val="0"/>
          <w:sz w:val="28"/>
          <w:szCs w:val="28"/>
          <w:highlight w:val="none"/>
          <w14:textFill>
            <w14:solidFill>
              <w14:schemeClr w14:val="tx1"/>
            </w14:solidFill>
          </w14:textFill>
        </w:rPr>
        <w:t>513-</w:t>
      </w:r>
      <w:r>
        <w:rPr>
          <w:color w:val="000000" w:themeColor="text1"/>
          <w:highlight w:val="none"/>
          <w14:textFill>
            <w14:solidFill>
              <w14:schemeClr w14:val="tx1"/>
            </w14:solidFill>
          </w14:textFill>
        </w:rPr>
        <w:t xml:space="preserve"> </w:t>
      </w:r>
      <w:r>
        <w:rPr>
          <w:rFonts w:ascii="仿宋" w:hAnsi="仿宋" w:eastAsia="仿宋" w:cs="宋体"/>
          <w:color w:val="000000" w:themeColor="text1"/>
          <w:kern w:val="0"/>
          <w:sz w:val="28"/>
          <w:szCs w:val="28"/>
          <w:highlight w:val="none"/>
          <w14:textFill>
            <w14:solidFill>
              <w14:schemeClr w14:val="tx1"/>
            </w14:solidFill>
          </w14:textFill>
        </w:rPr>
        <w:t>86028999</w:t>
      </w:r>
    </w:p>
    <w:p w14:paraId="2E72EBAA">
      <w:pPr>
        <w:keepNext w:val="0"/>
        <w:keepLines w:val="0"/>
        <w:pageBreakBefore w:val="0"/>
        <w:widowControl/>
        <w:kinsoku/>
        <w:wordWrap/>
        <w:overflowPunct/>
        <w:topLinePunct w:val="0"/>
        <w:autoSpaceDE/>
        <w:autoSpaceDN/>
        <w:bidi w:val="0"/>
        <w:adjustRightInd/>
        <w:snapToGrid/>
        <w:spacing w:line="560" w:lineRule="exact"/>
        <w:ind w:firstLine="560"/>
        <w:jc w:val="right"/>
        <w:textAlignment w:val="auto"/>
        <w:rPr>
          <w:rFonts w:hint="eastAsia" w:ascii="仿宋" w:hAnsi="仿宋" w:eastAsia="仿宋" w:cs="宋体"/>
          <w:color w:val="000000" w:themeColor="text1"/>
          <w:kern w:val="0"/>
          <w:sz w:val="28"/>
          <w:szCs w:val="28"/>
          <w14:textFill>
            <w14:solidFill>
              <w14:schemeClr w14:val="tx1"/>
            </w14:solidFill>
          </w14:textFill>
        </w:rPr>
      </w:pPr>
    </w:p>
    <w:p w14:paraId="45967F7E">
      <w:pPr>
        <w:keepNext w:val="0"/>
        <w:keepLines w:val="0"/>
        <w:pageBreakBefore w:val="0"/>
        <w:widowControl/>
        <w:kinsoku/>
        <w:wordWrap/>
        <w:overflowPunct/>
        <w:topLinePunct w:val="0"/>
        <w:autoSpaceDE/>
        <w:autoSpaceDN/>
        <w:bidi w:val="0"/>
        <w:adjustRightInd/>
        <w:snapToGrid/>
        <w:spacing w:line="560" w:lineRule="exact"/>
        <w:ind w:firstLine="560"/>
        <w:jc w:val="right"/>
        <w:textAlignment w:val="auto"/>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南通市通州区</w:t>
      </w:r>
      <w:r>
        <w:rPr>
          <w:rFonts w:hint="eastAsia" w:ascii="仿宋" w:hAnsi="仿宋" w:eastAsia="仿宋" w:cs="宋体"/>
          <w:color w:val="000000" w:themeColor="text1"/>
          <w:kern w:val="0"/>
          <w:sz w:val="28"/>
          <w:szCs w:val="28"/>
          <w:lang w:eastAsia="zh-CN"/>
          <w14:textFill>
            <w14:solidFill>
              <w14:schemeClr w14:val="tx1"/>
            </w14:solidFill>
          </w14:textFill>
        </w:rPr>
        <w:t>数据局大数据中心</w:t>
      </w:r>
    </w:p>
    <w:p w14:paraId="449168A9">
      <w:pPr>
        <w:keepNext w:val="0"/>
        <w:keepLines w:val="0"/>
        <w:pageBreakBefore w:val="0"/>
        <w:widowControl/>
        <w:kinsoku/>
        <w:wordWrap/>
        <w:overflowPunct/>
        <w:topLinePunct w:val="0"/>
        <w:autoSpaceDE/>
        <w:autoSpaceDN/>
        <w:bidi w:val="0"/>
        <w:adjustRightInd/>
        <w:snapToGrid/>
        <w:spacing w:line="560" w:lineRule="exact"/>
        <w:ind w:firstLine="56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2024年</w:t>
      </w:r>
      <w:r>
        <w:rPr>
          <w:rFonts w:hint="eastAsia" w:ascii="仿宋" w:hAnsi="仿宋" w:eastAsia="仿宋" w:cs="宋体"/>
          <w:color w:val="000000" w:themeColor="text1"/>
          <w:kern w:val="0"/>
          <w:sz w:val="28"/>
          <w:szCs w:val="28"/>
          <w:lang w:val="en-US" w:eastAsia="zh-CN"/>
          <w14:textFill>
            <w14:solidFill>
              <w14:schemeClr w14:val="tx1"/>
            </w14:solidFill>
          </w14:textFill>
        </w:rPr>
        <w:t>10</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25</w:t>
      </w:r>
      <w:r>
        <w:rPr>
          <w:rFonts w:hint="eastAsia" w:ascii="仿宋" w:hAnsi="仿宋" w:eastAsia="仿宋" w:cs="宋体"/>
          <w:color w:val="000000" w:themeColor="text1"/>
          <w:kern w:val="0"/>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p>
    <w:p w14:paraId="1968F1F0">
      <w:pPr>
        <w:pStyle w:val="3"/>
        <w:rPr>
          <w:color w:val="000000" w:themeColor="text1"/>
          <w14:textFill>
            <w14:solidFill>
              <w14:schemeClr w14:val="tx1"/>
            </w14:solidFill>
          </w14:textFill>
        </w:rPr>
      </w:pPr>
      <w:bookmarkStart w:id="2" w:name="_Toc177570061"/>
      <w:bookmarkStart w:id="3" w:name="_Toc99106003"/>
      <w:r>
        <w:rPr>
          <w:rFonts w:hint="eastAsia"/>
          <w:color w:val="000000" w:themeColor="text1"/>
          <w14:textFill>
            <w14:solidFill>
              <w14:schemeClr w14:val="tx1"/>
            </w14:solidFill>
          </w14:textFill>
        </w:rPr>
        <w:t>第二章 供应商须知</w:t>
      </w:r>
      <w:bookmarkEnd w:id="2"/>
      <w:bookmarkEnd w:id="3"/>
    </w:p>
    <w:p w14:paraId="6A16562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一、招标文件由采购人解释</w:t>
      </w:r>
    </w:p>
    <w:p w14:paraId="75F431CB">
      <w:pPr>
        <w:snapToGrid w:val="0"/>
        <w:spacing w:line="360" w:lineRule="auto"/>
        <w:ind w:firstLine="560"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应仔细检查招标文件的所有内容，如有资格要求和技术参数含有倾向性或排他性等表述的，应在发布招标公告和招标文件后3日内以书面形式提出询问或疑问，未在规定的3日内提出询问或疑问的，视同供应商理解并接受本招标文件所有内容，并由此引起的投标损失自负。供应商不得在招标结束后针对招标文件所有内容提出质疑事项。</w:t>
      </w:r>
      <w:r>
        <w:rPr>
          <w:rFonts w:hint="eastAsia" w:ascii="仿宋" w:hAnsi="仿宋" w:eastAsia="仿宋" w:cs="仿宋"/>
          <w:b/>
          <w:color w:val="000000" w:themeColor="text1"/>
          <w:sz w:val="28"/>
          <w:szCs w:val="28"/>
          <w14:textFill>
            <w14:solidFill>
              <w14:schemeClr w14:val="tx1"/>
            </w14:solidFill>
          </w14:textFill>
        </w:rPr>
        <w:t>非书面形式的不作为日后质疑提出的依据。</w:t>
      </w:r>
    </w:p>
    <w:p w14:paraId="34271CD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认真审阅招标文件中所有的事项、格式、条款和规范要求等，如果供应商没有按照招标文件要求提交投标文件，或者投标文件没有对招标文件做出实质性响应，其投标将被拒绝，供应商自行承担责任。</w:t>
      </w:r>
    </w:p>
    <w:p w14:paraId="5B8AA472">
      <w:pPr>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3、若符合资格要求的供应商不足三家，采购人有权自动转入竞争性谈判或单一来源谈判。</w:t>
      </w:r>
    </w:p>
    <w:p w14:paraId="70D38DA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二、招标文件的澄清、修改、答疑</w:t>
      </w:r>
    </w:p>
    <w:p w14:paraId="7EEEB44E">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1、采购人有权对发出的招标文件进行必要的澄清或修改。</w:t>
      </w:r>
    </w:p>
    <w:p w14:paraId="268816C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2、采购人可视情取消、延长相关时间，不负责解释。</w:t>
      </w:r>
    </w:p>
    <w:p w14:paraId="4DDF0000">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3、采购人对招标文件的澄清、修改将构成招标文件的一部分，对供应商具有约束力。</w:t>
      </w:r>
    </w:p>
    <w:p w14:paraId="7F0FD7D0">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4、供应商由于对招标文件的任何推论和误解以及采购人对有关问题的口头解释所造成的后果，均由供应商自负。</w:t>
      </w:r>
    </w:p>
    <w:p w14:paraId="1DD7424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5、采购人或采购单位视情组织答疑会。</w:t>
      </w:r>
    </w:p>
    <w:p w14:paraId="661626B5">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三、投标报价</w:t>
      </w:r>
    </w:p>
    <w:p w14:paraId="7AD7DF31">
      <w:pPr>
        <w:snapToGrid w:val="0"/>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供应商的报价不得超过项目预算，否则作为无效标处理。</w:t>
      </w:r>
    </w:p>
    <w:p w14:paraId="469A5B2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四、投标文件的组成</w:t>
      </w:r>
    </w:p>
    <w:p w14:paraId="2AA7C6D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投标文件由</w:t>
      </w:r>
      <w:r>
        <w:rPr>
          <w:rFonts w:hint="eastAsia" w:ascii="仿宋" w:hAnsi="仿宋" w:eastAsia="仿宋" w:cs="仿宋"/>
          <w:b/>
          <w:bCs/>
          <w:color w:val="000000" w:themeColor="text1"/>
          <w:sz w:val="28"/>
          <w:szCs w:val="28"/>
          <w14:textFill>
            <w14:solidFill>
              <w14:schemeClr w14:val="tx1"/>
            </w14:solidFill>
          </w14:textFill>
        </w:rPr>
        <w:t>资格审查文件</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商务技术文件和报价文件</w:t>
      </w:r>
      <w:r>
        <w:rPr>
          <w:rFonts w:hint="eastAsia" w:ascii="仿宋" w:hAnsi="仿宋" w:eastAsia="仿宋" w:cs="仿宋"/>
          <w:color w:val="000000" w:themeColor="text1"/>
          <w:sz w:val="28"/>
          <w:szCs w:val="28"/>
          <w14:textFill>
            <w14:solidFill>
              <w14:schemeClr w14:val="tx1"/>
            </w14:solidFill>
          </w14:textFill>
        </w:rPr>
        <w:t>三部分组成。</w:t>
      </w:r>
    </w:p>
    <w:p w14:paraId="0184715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50FBD4E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6824007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4832599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4EA34AC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697856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48A53F9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0685925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、响应函（见附件）；</w:t>
      </w:r>
    </w:p>
    <w:p w14:paraId="4D4D0C6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1FE250C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48415E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0ED7D76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0970260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2E6F7B3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05D6A7F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16F5ED3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739B46CD">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五、投标文件的编写、份数和签署</w:t>
      </w:r>
    </w:p>
    <w:p w14:paraId="26F81A2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14:paraId="1710821F">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供应商应准备叁份完整的纸质投标文件（其中正本壹份，副本贰份，并标明“正本”或“副本”字样），投标文件正、副本若有差异，概以“正本”为准。</w:t>
      </w:r>
    </w:p>
    <w:p w14:paraId="6F5C8FF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纸质投标文件正本（须用不能擦去的墨水书写或打印）须由法定代表人或被授权人签字或盖章，并加盖单位印章。副本可复印，但须加盖单位印章。</w:t>
      </w:r>
    </w:p>
    <w:p w14:paraId="4D0BD31E">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六、投标文件的密封及标记</w:t>
      </w:r>
    </w:p>
    <w:p w14:paraId="59AEFE63">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投标文件要求密封。</w:t>
      </w:r>
    </w:p>
    <w:p w14:paraId="296209A9">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供应商可将投标文件正副本统一密封或分别密封，如正本和副本分别密封的，应在封袋上标明正、副本字样。</w:t>
      </w:r>
    </w:p>
    <w:p w14:paraId="31196F3D">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密封后封袋上应标明项目名称、供应商名称、边缝处加盖单位骑缝章和法定代表人或者授权代理人骑缝签字。</w:t>
      </w:r>
    </w:p>
    <w:p w14:paraId="37CD3EA4">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七、投标文件的递交时间</w:t>
      </w:r>
    </w:p>
    <w:p w14:paraId="57E8FE5B">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供应商必须在规定的投标文件接收截止时间前送达采购人。采购人将拒绝接收在投标截止时间后递交的投标文件。</w:t>
      </w:r>
    </w:p>
    <w:p w14:paraId="2072CEA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八、投标保证金</w:t>
      </w:r>
    </w:p>
    <w:p w14:paraId="6F6F0EEB">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w:t>
      </w:r>
      <w:r>
        <w:rPr>
          <w:rFonts w:ascii="仿宋" w:hAnsi="仿宋" w:eastAsia="仿宋" w:cs="仿宋"/>
          <w:color w:val="000000" w:themeColor="text1"/>
          <w:sz w:val="28"/>
          <w:szCs w:val="28"/>
          <w14:textFill>
            <w14:solidFill>
              <w14:schemeClr w14:val="tx1"/>
            </w14:solidFill>
          </w14:textFill>
        </w:rPr>
        <w:t>不涉及</w:t>
      </w:r>
    </w:p>
    <w:p w14:paraId="129C524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九、投标费用</w:t>
      </w:r>
    </w:p>
    <w:p w14:paraId="120DEA14">
      <w:pPr>
        <w:widowControl/>
        <w:spacing w:line="360" w:lineRule="auto"/>
        <w:ind w:firstLine="560" w:firstLineChars="200"/>
        <w:jc w:val="left"/>
        <w:rPr>
          <w:rFonts w:ascii="仿宋" w:hAnsi="仿宋" w:eastAsia="仿宋" w:cs="仿宋"/>
          <w:b/>
          <w:bCs/>
          <w:color w:val="000000" w:themeColor="text1"/>
          <w:kern w:val="44"/>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供应商承担参与投标可能发生的全部费用，采购人在任何情况下均无义务和责任承担这些费用。</w:t>
      </w:r>
      <w:r>
        <w:rPr>
          <w:rFonts w:hint="eastAsia" w:ascii="仿宋" w:hAnsi="仿宋" w:eastAsia="仿宋" w:cs="仿宋"/>
          <w:color w:val="000000" w:themeColor="text1"/>
          <w:sz w:val="28"/>
          <w:szCs w:val="28"/>
          <w14:textFill>
            <w14:solidFill>
              <w14:schemeClr w14:val="tx1"/>
            </w14:solidFill>
          </w14:textFill>
        </w:rPr>
        <w:br w:type="page"/>
      </w:r>
    </w:p>
    <w:p w14:paraId="3AD9CB25">
      <w:pPr>
        <w:pStyle w:val="3"/>
        <w:rPr>
          <w:color w:val="000000" w:themeColor="text1"/>
          <w14:textFill>
            <w14:solidFill>
              <w14:schemeClr w14:val="tx1"/>
            </w14:solidFill>
          </w14:textFill>
        </w:rPr>
      </w:pPr>
      <w:bookmarkStart w:id="4" w:name="_Toc177570062"/>
      <w:bookmarkStart w:id="5" w:name="_Hlk99542129"/>
      <w:r>
        <w:rPr>
          <w:rFonts w:hint="eastAsia"/>
          <w:color w:val="000000" w:themeColor="text1"/>
          <w14:textFill>
            <w14:solidFill>
              <w14:schemeClr w14:val="tx1"/>
            </w14:solidFill>
          </w14:textFill>
        </w:rPr>
        <w:t>第三章 采购需求</w:t>
      </w:r>
      <w:bookmarkEnd w:id="4"/>
    </w:p>
    <w:p w14:paraId="50532807">
      <w:pPr>
        <w:widowControl/>
        <w:spacing w:line="360" w:lineRule="auto"/>
        <w:ind w:firstLine="560" w:firstLineChars="200"/>
        <w:rPr>
          <w:rFonts w:ascii="仿宋" w:hAnsi="仿宋" w:eastAsia="仿宋" w:cs="楷体_GB2312"/>
          <w:bCs/>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为落实《网络安全法》第二十一条第三款“网络运营者应当按照网络安全等级保护制度的要求”，</w:t>
      </w:r>
      <w:r>
        <w:rPr>
          <w:rFonts w:hint="eastAsia" w:ascii="仿宋" w:hAnsi="仿宋" w:eastAsia="仿宋" w:cs="仿宋"/>
          <w:color w:val="000000" w:themeColor="text1"/>
          <w:sz w:val="28"/>
          <w:szCs w:val="28"/>
          <w14:textFill>
            <w14:solidFill>
              <w14:schemeClr w14:val="tx1"/>
            </w14:solidFill>
          </w14:textFill>
        </w:rPr>
        <w:t>南通市通州区</w:t>
      </w:r>
      <w:r>
        <w:rPr>
          <w:rFonts w:hint="eastAsia" w:ascii="仿宋" w:hAnsi="仿宋" w:eastAsia="仿宋" w:cs="仿宋"/>
          <w:color w:val="000000" w:themeColor="text1"/>
          <w:sz w:val="28"/>
          <w:szCs w:val="28"/>
          <w:lang w:eastAsia="zh-CN"/>
          <w14:textFill>
            <w14:solidFill>
              <w14:schemeClr w14:val="tx1"/>
            </w14:solidFill>
          </w14:textFill>
        </w:rPr>
        <w:t>数据局大数据中心</w:t>
      </w:r>
      <w:r>
        <w:rPr>
          <w:rFonts w:hint="eastAsia" w:ascii="仿宋" w:hAnsi="仿宋" w:eastAsia="仿宋" w:cs="仿宋"/>
          <w:color w:val="000000" w:themeColor="text1"/>
          <w:sz w:val="28"/>
          <w:szCs w:val="28"/>
          <w14:textFill>
            <w14:solidFill>
              <w14:schemeClr w14:val="tx1"/>
            </w14:solidFill>
          </w14:textFill>
        </w:rPr>
        <w:t>决定</w:t>
      </w:r>
      <w:r>
        <w:rPr>
          <w:rFonts w:ascii="仿宋" w:hAnsi="仿宋" w:eastAsia="仿宋" w:cs="仿宋"/>
          <w:color w:val="000000" w:themeColor="text1"/>
          <w:sz w:val="28"/>
          <w:szCs w:val="28"/>
          <w14:textFill>
            <w14:solidFill>
              <w14:schemeClr w14:val="tx1"/>
            </w14:solidFill>
          </w14:textFill>
        </w:rPr>
        <w:t>对单位信息系统</w:t>
      </w:r>
      <w:r>
        <w:rPr>
          <w:rFonts w:hint="eastAsia" w:ascii="仿宋" w:hAnsi="仿宋" w:eastAsia="仿宋" w:cs="仿宋"/>
          <w:color w:val="000000" w:themeColor="text1"/>
          <w:sz w:val="28"/>
          <w:szCs w:val="28"/>
          <w14:textFill>
            <w14:solidFill>
              <w14:schemeClr w14:val="tx1"/>
            </w14:solidFill>
          </w14:textFill>
        </w:rPr>
        <w:t>进行网络</w:t>
      </w:r>
      <w:r>
        <w:rPr>
          <w:rFonts w:ascii="仿宋" w:hAnsi="仿宋" w:eastAsia="仿宋" w:cs="仿宋"/>
          <w:color w:val="000000" w:themeColor="text1"/>
          <w:sz w:val="28"/>
          <w:szCs w:val="28"/>
          <w14:textFill>
            <w14:solidFill>
              <w14:schemeClr w14:val="tx1"/>
            </w14:solidFill>
          </w14:textFill>
        </w:rPr>
        <w:t>安全等级保护测评</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以明确信息系统</w:t>
      </w:r>
      <w:r>
        <w:rPr>
          <w:rFonts w:hint="eastAsia" w:ascii="仿宋" w:hAnsi="仿宋" w:eastAsia="仿宋" w:cs="宋体"/>
          <w:color w:val="000000" w:themeColor="text1"/>
          <w:kern w:val="0"/>
          <w:sz w:val="28"/>
          <w:szCs w:val="28"/>
          <w14:textFill>
            <w14:solidFill>
              <w14:schemeClr w14:val="tx1"/>
            </w14:solidFill>
          </w14:textFill>
        </w:rPr>
        <w:t>现状</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发现</w:t>
      </w:r>
      <w:r>
        <w:rPr>
          <w:rFonts w:ascii="仿宋" w:hAnsi="仿宋" w:eastAsia="仿宋" w:cs="宋体"/>
          <w:color w:val="000000" w:themeColor="text1"/>
          <w:kern w:val="0"/>
          <w:sz w:val="28"/>
          <w:szCs w:val="28"/>
          <w14:textFill>
            <w14:solidFill>
              <w14:schemeClr w14:val="tx1"/>
            </w14:solidFill>
          </w14:textFill>
        </w:rPr>
        <w:t>系统</w:t>
      </w:r>
      <w:r>
        <w:rPr>
          <w:rFonts w:hint="eastAsia" w:ascii="仿宋" w:hAnsi="仿宋" w:eastAsia="仿宋" w:cs="宋体"/>
          <w:color w:val="000000" w:themeColor="text1"/>
          <w:kern w:val="0"/>
          <w:sz w:val="28"/>
          <w:szCs w:val="28"/>
          <w14:textFill>
            <w14:solidFill>
              <w14:schemeClr w14:val="tx1"/>
            </w14:solidFill>
          </w14:textFill>
        </w:rPr>
        <w:t>内部</w:t>
      </w:r>
      <w:r>
        <w:rPr>
          <w:rFonts w:ascii="仿宋" w:hAnsi="仿宋" w:eastAsia="仿宋" w:cs="宋体"/>
          <w:color w:val="000000" w:themeColor="text1"/>
          <w:kern w:val="0"/>
          <w:sz w:val="28"/>
          <w:szCs w:val="28"/>
          <w14:textFill>
            <w14:solidFill>
              <w14:schemeClr w14:val="tx1"/>
            </w14:solidFill>
          </w14:textFill>
        </w:rPr>
        <w:t>存在的安全隐患和不足，明确</w:t>
      </w:r>
      <w:r>
        <w:rPr>
          <w:rFonts w:hint="eastAsia" w:ascii="仿宋" w:hAnsi="仿宋" w:eastAsia="仿宋" w:cs="宋体"/>
          <w:color w:val="000000" w:themeColor="text1"/>
          <w:kern w:val="0"/>
          <w:sz w:val="28"/>
          <w:szCs w:val="28"/>
          <w14:textFill>
            <w14:solidFill>
              <w14:schemeClr w14:val="tx1"/>
            </w14:solidFill>
          </w14:textFill>
        </w:rPr>
        <w:t>整改方向</w:t>
      </w:r>
      <w:r>
        <w:rPr>
          <w:rFonts w:ascii="仿宋" w:hAnsi="仿宋" w:eastAsia="仿宋" w:cs="宋体"/>
          <w:color w:val="000000" w:themeColor="text1"/>
          <w:kern w:val="0"/>
          <w:sz w:val="28"/>
          <w:szCs w:val="28"/>
          <w14:textFill>
            <w14:solidFill>
              <w14:schemeClr w14:val="tx1"/>
            </w14:solidFill>
          </w14:textFill>
        </w:rPr>
        <w:t>，降低系统被攻击的风险</w:t>
      </w:r>
      <w:r>
        <w:rPr>
          <w:rFonts w:hint="eastAsia" w:ascii="仿宋" w:hAnsi="仿宋" w:eastAsia="仿宋" w:cs="宋体"/>
          <w:color w:val="000000" w:themeColor="text1"/>
          <w:kern w:val="0"/>
          <w:sz w:val="28"/>
          <w:szCs w:val="28"/>
          <w14:textFill>
            <w14:solidFill>
              <w14:schemeClr w14:val="tx1"/>
            </w14:solidFill>
          </w14:textFill>
        </w:rPr>
        <w:t>。</w:t>
      </w:r>
    </w:p>
    <w:p w14:paraId="2133695D">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一、本项目服务范围</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139"/>
        <w:gridCol w:w="1149"/>
        <w:gridCol w:w="1760"/>
      </w:tblGrid>
      <w:tr w14:paraId="54E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14:paraId="4C5DDFF0">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序号</w:t>
            </w:r>
          </w:p>
        </w:tc>
        <w:tc>
          <w:tcPr>
            <w:tcW w:w="2800" w:type="pct"/>
            <w:vAlign w:val="center"/>
          </w:tcPr>
          <w:p w14:paraId="4864DB25">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系统名称</w:t>
            </w:r>
          </w:p>
        </w:tc>
        <w:tc>
          <w:tcPr>
            <w:tcW w:w="626" w:type="pct"/>
          </w:tcPr>
          <w:p w14:paraId="6037F5ED">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数量</w:t>
            </w:r>
          </w:p>
        </w:tc>
        <w:tc>
          <w:tcPr>
            <w:tcW w:w="958" w:type="pct"/>
            <w:vAlign w:val="center"/>
          </w:tcPr>
          <w:p w14:paraId="5DE27CFB">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备案等级</w:t>
            </w:r>
          </w:p>
        </w:tc>
      </w:tr>
      <w:tr w14:paraId="1088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14:paraId="6E042577">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p>
        </w:tc>
        <w:tc>
          <w:tcPr>
            <w:tcW w:w="2800" w:type="pct"/>
            <w:vAlign w:val="center"/>
          </w:tcPr>
          <w:p w14:paraId="301E3799">
            <w:pPr>
              <w:spacing w:line="360" w:lineRule="auto"/>
              <w:jc w:val="center"/>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通州区电子政务外网</w:t>
            </w:r>
          </w:p>
        </w:tc>
        <w:tc>
          <w:tcPr>
            <w:tcW w:w="626" w:type="pct"/>
            <w:vAlign w:val="center"/>
          </w:tcPr>
          <w:p w14:paraId="1247BBAE">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p>
        </w:tc>
        <w:tc>
          <w:tcPr>
            <w:tcW w:w="958" w:type="pct"/>
            <w:vAlign w:val="center"/>
          </w:tcPr>
          <w:p w14:paraId="64F7C68B">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三级</w:t>
            </w:r>
          </w:p>
        </w:tc>
      </w:tr>
      <w:tr w14:paraId="7174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14:paraId="3067CAEA">
            <w:pPr>
              <w:spacing w:line="360" w:lineRule="auto"/>
              <w:jc w:val="center"/>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备注</w:t>
            </w:r>
          </w:p>
        </w:tc>
        <w:tc>
          <w:tcPr>
            <w:tcW w:w="4385" w:type="pct"/>
            <w:gridSpan w:val="3"/>
            <w:vAlign w:val="center"/>
          </w:tcPr>
          <w:p w14:paraId="0CCE01D5">
            <w:pPr>
              <w:spacing w:line="360" w:lineRule="auto"/>
              <w:jc w:val="center"/>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服务期一年内，提供重要时期安全保障服务</w:t>
            </w:r>
          </w:p>
        </w:tc>
      </w:tr>
    </w:tbl>
    <w:p w14:paraId="55B14294">
      <w:pPr>
        <w:pStyle w:val="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、测评内容</w:t>
      </w:r>
    </w:p>
    <w:p w14:paraId="0C541A6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1、总体要求：</w:t>
      </w:r>
    </w:p>
    <w:p w14:paraId="1185DE2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A．完成上述系统安全等级测评工作，测评后经用户方确认，出具符合</w:t>
      </w:r>
      <w:r>
        <w:rPr>
          <w:rStyle w:val="16"/>
          <w:rFonts w:hint="eastAsia" w:ascii="仿宋" w:hAnsi="仿宋" w:eastAsia="仿宋"/>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测评要求的测评报告；</w:t>
      </w:r>
    </w:p>
    <w:p w14:paraId="57A9286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B．对上述系统不符合</w:t>
      </w:r>
      <w:r>
        <w:rPr>
          <w:rStyle w:val="16"/>
          <w:rFonts w:hint="eastAsia" w:ascii="仿宋" w:hAnsi="仿宋" w:eastAsia="仿宋"/>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有关管理规范和技术标准的，提出可行性整改方案，提供相应的安全整改建议书。</w:t>
      </w:r>
    </w:p>
    <w:p w14:paraId="0F7F0EB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2、质量要求：</w:t>
      </w:r>
    </w:p>
    <w:p w14:paraId="1865726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A．等级测评及服务原则：符合性原则、标准性原则、规范性原则、可控性原则、整体性原则。</w:t>
      </w:r>
    </w:p>
    <w:p w14:paraId="06E1C78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w:t>
      </w:r>
      <w:r>
        <w:rPr>
          <w:rStyle w:val="16"/>
          <w:rFonts w:hint="eastAsia" w:ascii="仿宋" w:hAnsi="仿宋" w:eastAsia="仿宋"/>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定级及测评服务依据：</w:t>
      </w:r>
    </w:p>
    <w:p w14:paraId="1EB0938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中华人民共和国网络安全法</w:t>
      </w:r>
      <w:r>
        <w:rPr>
          <w:rFonts w:ascii="仿宋" w:hAnsi="仿宋" w:eastAsia="仿宋" w:cs="仿宋"/>
          <w:color w:val="000000" w:themeColor="text1"/>
          <w:sz w:val="28"/>
          <w:szCs w:val="28"/>
          <w14:textFill>
            <w14:solidFill>
              <w14:schemeClr w14:val="tx1"/>
            </w14:solidFill>
          </w14:textFill>
        </w:rPr>
        <w:t>》</w:t>
      </w:r>
    </w:p>
    <w:p w14:paraId="7717B9AA">
      <w:pPr>
        <w:spacing w:line="360" w:lineRule="auto"/>
        <w:ind w:firstLine="562" w:firstLineChars="200"/>
        <w:rPr>
          <w:rStyle w:val="16"/>
          <w:rFonts w:ascii="仿宋" w:hAnsi="仿宋" w:eastAsia="仿宋"/>
          <w:b w:val="0"/>
          <w:color w:val="000000" w:themeColor="text1"/>
          <w:sz w:val="28"/>
          <w:szCs w:val="28"/>
          <w14:textFill>
            <w14:solidFill>
              <w14:schemeClr w14:val="tx1"/>
            </w14:solidFill>
          </w14:textFill>
        </w:rPr>
      </w:pPr>
      <w:r>
        <w:rPr>
          <w:rStyle w:val="16"/>
          <w:rFonts w:hint="eastAsia" w:ascii="仿宋" w:hAnsi="仿宋" w:eastAsia="仿宋"/>
          <w:color w:val="000000" w:themeColor="text1"/>
          <w:sz w:val="28"/>
          <w:szCs w:val="28"/>
          <w14:textFill>
            <w14:solidFill>
              <w14:schemeClr w14:val="tx1"/>
            </w14:solidFill>
          </w14:textFill>
        </w:rPr>
        <w:t>《GB/T22239-2019信息安全技术 网络安全等级保护基本要求》，</w:t>
      </w:r>
    </w:p>
    <w:p w14:paraId="643AADFC">
      <w:pPr>
        <w:spacing w:line="360" w:lineRule="auto"/>
        <w:ind w:firstLine="562" w:firstLineChars="200"/>
        <w:rPr>
          <w:rStyle w:val="16"/>
          <w:rFonts w:ascii="仿宋" w:hAnsi="仿宋" w:eastAsia="仿宋"/>
          <w:b w:val="0"/>
          <w:color w:val="000000" w:themeColor="text1"/>
          <w:sz w:val="28"/>
          <w:szCs w:val="28"/>
          <w14:textFill>
            <w14:solidFill>
              <w14:schemeClr w14:val="tx1"/>
            </w14:solidFill>
          </w14:textFill>
        </w:rPr>
      </w:pPr>
      <w:r>
        <w:rPr>
          <w:rStyle w:val="16"/>
          <w:rFonts w:hint="eastAsia" w:ascii="仿宋" w:hAnsi="仿宋" w:eastAsia="仿宋"/>
          <w:color w:val="000000" w:themeColor="text1"/>
          <w:sz w:val="28"/>
          <w:szCs w:val="28"/>
          <w14:textFill>
            <w14:solidFill>
              <w14:schemeClr w14:val="tx1"/>
            </w14:solidFill>
          </w14:textFill>
        </w:rPr>
        <w:t>《GB/T28448-2019 信息安全技术 网络安全等级保护测评要求》，</w:t>
      </w:r>
    </w:p>
    <w:p w14:paraId="3A3186DF">
      <w:pPr>
        <w:spacing w:line="360" w:lineRule="auto"/>
        <w:ind w:firstLine="562" w:firstLineChars="200"/>
        <w:rPr>
          <w:rStyle w:val="16"/>
          <w:rFonts w:ascii="仿宋" w:hAnsi="仿宋" w:eastAsia="仿宋"/>
          <w:b w:val="0"/>
          <w:color w:val="000000" w:themeColor="text1"/>
          <w:sz w:val="28"/>
          <w:szCs w:val="28"/>
          <w14:textFill>
            <w14:solidFill>
              <w14:schemeClr w14:val="tx1"/>
            </w14:solidFill>
          </w14:textFill>
        </w:rPr>
      </w:pPr>
      <w:r>
        <w:rPr>
          <w:rStyle w:val="16"/>
          <w:rFonts w:hint="eastAsia" w:ascii="仿宋" w:hAnsi="仿宋" w:eastAsia="仿宋"/>
          <w:color w:val="000000" w:themeColor="text1"/>
          <w:sz w:val="28"/>
          <w:szCs w:val="28"/>
          <w14:textFill>
            <w14:solidFill>
              <w14:schemeClr w14:val="tx1"/>
            </w14:solidFill>
          </w14:textFill>
        </w:rPr>
        <w:t>《GB/T 28449-2018 信息安全技术 网络安全等级保护测评过程指南》，</w:t>
      </w:r>
    </w:p>
    <w:p w14:paraId="190FE930">
      <w:pPr>
        <w:spacing w:line="360" w:lineRule="auto"/>
        <w:ind w:firstLine="562" w:firstLineChars="200"/>
        <w:rPr>
          <w:rStyle w:val="16"/>
          <w:rFonts w:ascii="仿宋" w:hAnsi="仿宋" w:eastAsia="仿宋"/>
          <w:b w:val="0"/>
          <w:color w:val="000000" w:themeColor="text1"/>
          <w:sz w:val="28"/>
          <w:szCs w:val="28"/>
          <w14:textFill>
            <w14:solidFill>
              <w14:schemeClr w14:val="tx1"/>
            </w14:solidFill>
          </w14:textFill>
        </w:rPr>
      </w:pPr>
      <w:r>
        <w:rPr>
          <w:rStyle w:val="16"/>
          <w:rFonts w:hint="eastAsia" w:ascii="仿宋" w:hAnsi="仿宋" w:eastAsia="仿宋"/>
          <w:color w:val="000000" w:themeColor="text1"/>
          <w:sz w:val="28"/>
          <w:szCs w:val="28"/>
          <w14:textFill>
            <w14:solidFill>
              <w14:schemeClr w14:val="tx1"/>
            </w14:solidFill>
          </w14:textFill>
        </w:rPr>
        <w:t>《GB/T 25058-2019 信息安全技术 网络安全等级保护实施指南》。</w:t>
      </w:r>
    </w:p>
    <w:p w14:paraId="1271978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3、网络安全等级保护测评内容：</w:t>
      </w:r>
    </w:p>
    <w:p w14:paraId="2ACFD025">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A．安全技术测评：包括安全物理环境、安全区域边界、安全通信网络、安全计算环境和安全管理中心五个方面的安全测评；</w:t>
      </w:r>
    </w:p>
    <w:p w14:paraId="0170DFB5">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B．安全管理测评：安全管理机构、安全管理制度、安全管理人员、安全建设管理和安全运维管理五个方面的安全控制测评</w:t>
      </w:r>
    </w:p>
    <w:p w14:paraId="6242C212">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4、提供整改咨询服务，根据所测系统的最终测评报告，对系统现状提出安全整改建议并协助整改工作，以期达到整改目的。</w:t>
      </w:r>
    </w:p>
    <w:p w14:paraId="361C29E5">
      <w:pPr>
        <w:pStyle w:val="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、测评原则</w:t>
      </w:r>
    </w:p>
    <w:p w14:paraId="718017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1、客观性和公正性原则：</w:t>
      </w:r>
    </w:p>
    <w:p w14:paraId="5A02086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测评人员应当没有偏见，在最小主观判断情形下，按照评估双方相互认可的评估方案，基于明确定义的测评方式和解释，实施评估活动。</w:t>
      </w:r>
    </w:p>
    <w:p w14:paraId="1B09ECE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2、可重复性和可再现性原则：</w:t>
      </w:r>
    </w:p>
    <w:p w14:paraId="66D13E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0463B1E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3、连续性原则：</w:t>
      </w:r>
    </w:p>
    <w:p w14:paraId="7FAD3D9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3421A78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4、扩展性原则：</w:t>
      </w:r>
    </w:p>
    <w:p w14:paraId="0A2574E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在评估过程结束后，信息安全测评过程要保持扩展性，从扩展的属性上进一步加强测评结束后采购方的安全管理有效性和可用性。</w:t>
      </w:r>
    </w:p>
    <w:p w14:paraId="5A02DA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5、保密原则：</w:t>
      </w:r>
    </w:p>
    <w:p w14:paraId="3A7E672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在测评过程中，需严格遵循保密原则，双方签订保密协议，对服务过程中涉及到的任何用户信息未经允许不向其他任何第三方泄漏，以及不得利用这些信息损害采购方利益。</w:t>
      </w:r>
    </w:p>
    <w:p w14:paraId="1E4874E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6、互动原则：</w:t>
      </w:r>
    </w:p>
    <w:p w14:paraId="5CB96FB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在整个测评过程中，强调采购方的互动参与，每个阶段都能够及时根据采购方的要求和实际情况对测评的内容、方式做出相关调整，进而更好的进行风险评估工作。</w:t>
      </w:r>
    </w:p>
    <w:p w14:paraId="50FEFF3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7、最小影响原则：</w:t>
      </w:r>
    </w:p>
    <w:p w14:paraId="6190DA7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测评工作应该尽可能小地影响系统和网络的正常运行，不能对业务的正常运行产生明显的影响（包括系统性能明显下降、网络阻塞、服务中断等），如无法避免，则应做出说明。</w:t>
      </w:r>
    </w:p>
    <w:p w14:paraId="0D1A9F2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8、规范性原则：</w:t>
      </w:r>
    </w:p>
    <w:p w14:paraId="5158D91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网络安全等级保护测评服务的实施必须由专业的测评服务人员依照规范的操作流程进行，对操作过程和结果要有相应的记录，并提供完整的服务报告。</w:t>
      </w:r>
    </w:p>
    <w:p w14:paraId="588DF29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9、质量保障原则：</w:t>
      </w:r>
    </w:p>
    <w:p w14:paraId="58A1835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在整个测评过程中，须特别重视项目质量管理。项目的实施将严格按照项目实施方案和流程进行，并由项目协调小组从中监督，控制项目的进度和质量。</w:t>
      </w:r>
    </w:p>
    <w:p w14:paraId="4739A389">
      <w:pPr>
        <w:pStyle w:val="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、测评人员和时限要求</w:t>
      </w:r>
    </w:p>
    <w:p w14:paraId="0943985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0136EAD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2、测评时间要求：</w:t>
      </w:r>
    </w:p>
    <w:p w14:paraId="32DCE3C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2.1、中标公示后，中标方必须在3个工作日内协助被测单位取得备案证明原件，否则做无效处理。</w:t>
      </w:r>
    </w:p>
    <w:p w14:paraId="5F1BD5D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2.2、按照被测单位要求，合同签订完毕一周内启动测评工作。</w:t>
      </w:r>
    </w:p>
    <w:p w14:paraId="49E7581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3、测评期限要求：签订合同后60天内完成网络安全等级保护测评并出具盖章报告。</w:t>
      </w:r>
    </w:p>
    <w:p w14:paraId="4B2AFDFD">
      <w:pPr>
        <w:pStyle w:val="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、服务地点</w:t>
      </w:r>
    </w:p>
    <w:p w14:paraId="4B5E9D04">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采购方</w:t>
      </w:r>
      <w:r>
        <w:rPr>
          <w:rFonts w:hint="eastAsia" w:ascii="仿宋" w:hAnsi="仿宋" w:eastAsia="仿宋"/>
          <w:color w:val="000000" w:themeColor="text1"/>
          <w:kern w:val="0"/>
          <w:sz w:val="28"/>
          <w:szCs w:val="28"/>
          <w14:textFill>
            <w14:solidFill>
              <w14:schemeClr w14:val="tx1"/>
            </w14:solidFill>
          </w14:textFill>
        </w:rPr>
        <w:t>指定地点。</w:t>
      </w:r>
    </w:p>
    <w:p w14:paraId="07BA6E96">
      <w:pPr>
        <w:pStyle w:val="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、付款时间和条件</w:t>
      </w:r>
    </w:p>
    <w:p w14:paraId="73A2D0C4">
      <w:pPr>
        <w:pStyle w:val="2"/>
        <w:rPr>
          <w:rFonts w:ascii="仿宋" w:hAnsi="仿宋" w:eastAsia="仿宋" w:cs="仿宋"/>
          <w:b/>
          <w:bCs/>
          <w:color w:val="000000" w:themeColor="text1"/>
          <w:kern w:val="44"/>
          <w:sz w:val="32"/>
          <w:szCs w:val="32"/>
          <w14:textFill>
            <w14:solidFill>
              <w14:schemeClr w14:val="tx1"/>
            </w14:solidFill>
          </w14:textFill>
        </w:rPr>
      </w:pPr>
      <w:r>
        <w:rPr>
          <w:rFonts w:hint="eastAsia"/>
          <w:color w:val="000000" w:themeColor="text1"/>
          <w14:textFill>
            <w14:solidFill>
              <w14:schemeClr w14:val="tx1"/>
            </w14:solidFill>
          </w14:textFill>
        </w:rPr>
        <w:t>提交测评报告后,采购人于10个工作日内一次性支付合同金额</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款项由采购人按相关财务支付规定办理支付手续。不得故意拖延支付时间。</w:t>
      </w:r>
      <w:bookmarkEnd w:id="5"/>
      <w:bookmarkStart w:id="6" w:name="_Toc99106005"/>
      <w:bookmarkStart w:id="7" w:name="_Hlk99542165"/>
      <w:r>
        <w:rPr>
          <w:rFonts w:ascii="仿宋" w:hAnsi="仿宋" w:eastAsia="仿宋" w:cs="仿宋"/>
          <w:color w:val="000000" w:themeColor="text1"/>
          <w:sz w:val="32"/>
          <w:szCs w:val="32"/>
          <w14:textFill>
            <w14:solidFill>
              <w14:schemeClr w14:val="tx1"/>
            </w14:solidFill>
          </w14:textFill>
        </w:rPr>
        <w:br w:type="page"/>
      </w:r>
    </w:p>
    <w:p w14:paraId="482FEBF5">
      <w:pPr>
        <w:pStyle w:val="3"/>
        <w:rPr>
          <w:color w:val="000000" w:themeColor="text1"/>
          <w14:textFill>
            <w14:solidFill>
              <w14:schemeClr w14:val="tx1"/>
            </w14:solidFill>
          </w14:textFill>
        </w:rPr>
      </w:pPr>
      <w:bookmarkStart w:id="8" w:name="_Toc177570063"/>
      <w:r>
        <w:rPr>
          <w:rFonts w:hint="eastAsia"/>
          <w:color w:val="000000" w:themeColor="text1"/>
          <w14:textFill>
            <w14:solidFill>
              <w14:schemeClr w14:val="tx1"/>
            </w14:solidFill>
          </w14:textFill>
        </w:rPr>
        <w:t>第四章 开标和评标</w:t>
      </w:r>
      <w:bookmarkEnd w:id="6"/>
      <w:bookmarkEnd w:id="8"/>
    </w:p>
    <w:p w14:paraId="717C0079">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一、采购人组织开标</w:t>
      </w:r>
    </w:p>
    <w:p w14:paraId="3D2B266E">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供应商的法定代表人或授权人须持有效身份证参加开标会。</w:t>
      </w:r>
    </w:p>
    <w:p w14:paraId="3B6E2932">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二、评委会的组成</w:t>
      </w:r>
    </w:p>
    <w:p w14:paraId="0C2F37D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评委会由采购人代表和委托的专家共3人以上单数组成，对投标文件进行审查、质疑、评估、比较。评委会按照公平、公正、择优的原则进行独立评标。</w:t>
      </w:r>
    </w:p>
    <w:p w14:paraId="0A7DC9F6">
      <w:pPr>
        <w:snapToGrid w:val="0"/>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（一）评审内容</w:t>
      </w:r>
    </w:p>
    <w:p w14:paraId="16B9A535">
      <w:pPr>
        <w:snapToGrid w:val="0"/>
        <w:spacing w:line="360" w:lineRule="auto"/>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1、供应商投标资格；</w:t>
      </w:r>
    </w:p>
    <w:p w14:paraId="6B0396A0">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2、要求的保证金是否已提供；</w:t>
      </w:r>
    </w:p>
    <w:p w14:paraId="03B6770F">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3、投标文件是否完整；</w:t>
      </w:r>
    </w:p>
    <w:p w14:paraId="0A02228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4、投标文件是否恰当地签署；</w:t>
      </w:r>
    </w:p>
    <w:p w14:paraId="0EF3C26E">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5、是否作出实质性响应（</w:t>
      </w:r>
      <w:r>
        <w:rPr>
          <w:rFonts w:hint="eastAsia" w:ascii="仿宋" w:hAnsi="仿宋" w:eastAsia="仿宋" w:cs="仿宋"/>
          <w:b/>
          <w:color w:val="000000" w:themeColor="text1"/>
          <w:sz w:val="28"/>
          <w:szCs w:val="28"/>
          <w14:textFill>
            <w14:solidFill>
              <w14:schemeClr w14:val="tx1"/>
            </w14:solidFill>
          </w14:textFill>
        </w:rPr>
        <w:t>是否有实质性响应，只根据投标文件本身，而不寻求外部证据）；</w:t>
      </w:r>
    </w:p>
    <w:p w14:paraId="3876B593">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6、是否有计算错误。</w:t>
      </w:r>
    </w:p>
    <w:p w14:paraId="3D20AA69">
      <w:pPr>
        <w:snapToGrid w:val="0"/>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（二）相应的规定</w:t>
      </w:r>
    </w:p>
    <w:p w14:paraId="2936481A">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如果单价汇总金额与总价金额有出入，以单价金额计算结果为准；</w:t>
      </w:r>
    </w:p>
    <w:p w14:paraId="2278CBA3">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2、单价金额小数点有明显错位的，应以总价为准；</w:t>
      </w:r>
    </w:p>
    <w:p w14:paraId="0F28FCEA">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3、正本与副本有矛盾的，以正本为准；</w:t>
      </w:r>
    </w:p>
    <w:p w14:paraId="327B6889">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4、若文件大写表示的数据与数字表示的有差别，以大写表示的数据为准。</w:t>
      </w:r>
    </w:p>
    <w:p w14:paraId="43662D35">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三、陈述、演示、答疑、澄清</w:t>
      </w:r>
    </w:p>
    <w:p w14:paraId="41E11123">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如评委会认为有必要，供应商按评委会的要求作陈述、演示、</w:t>
      </w:r>
      <w:r>
        <w:rPr>
          <w:rFonts w:hint="eastAsia" w:ascii="仿宋" w:hAnsi="仿宋" w:eastAsia="仿宋" w:cs="仿宋"/>
          <w:color w:val="000000" w:themeColor="text1"/>
          <w:sz w:val="28"/>
          <w:szCs w:val="28"/>
          <w14:textFill>
            <w14:solidFill>
              <w14:schemeClr w14:val="tx1"/>
            </w14:solidFill>
          </w14:textFill>
        </w:rPr>
        <w:t>答疑及澄清其投标内容。时间由</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掌握。</w:t>
      </w:r>
    </w:p>
    <w:p w14:paraId="725B3F1B">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重要澄清答复应是书面的，但不得对投标内容进行实质性修改。</w:t>
      </w:r>
    </w:p>
    <w:p w14:paraId="3190F562">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四、出现下列情形之一的，作无效投标处理</w:t>
      </w:r>
    </w:p>
    <w:p w14:paraId="21226CC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1、未按照招标文件规定要求装订、标记、密封、签署、盖章的；</w:t>
      </w:r>
    </w:p>
    <w:p w14:paraId="40B395F0">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2、不具备招标文件中规定的技术规格参数要求的；</w:t>
      </w:r>
    </w:p>
    <w:p w14:paraId="448BDFE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3、不符合法律、法规和招标文件中规定的其他实质性要求的。</w:t>
      </w:r>
    </w:p>
    <w:p w14:paraId="45192783">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五、出现下列情形之一的，作废标处理</w:t>
      </w:r>
    </w:p>
    <w:p w14:paraId="710DA5D4">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1、出现影响采购公正的违法违规行为的；</w:t>
      </w:r>
    </w:p>
    <w:p w14:paraId="339F9CAB">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、供应商的报价均超过了采购预算，采购人不能支付的；</w:t>
      </w:r>
    </w:p>
    <w:p w14:paraId="0D4A204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、因重大变故，采购任务取消的。</w:t>
      </w:r>
    </w:p>
    <w:p w14:paraId="6FC4A9DD">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上述均保留</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认定可以确定为无效投标或废标的其他情况。</w:t>
      </w:r>
    </w:p>
    <w:p w14:paraId="66B58954">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六、变更为其他方式采购的情形</w:t>
      </w:r>
    </w:p>
    <w:p w14:paraId="78DEA582">
      <w:pPr>
        <w:autoSpaceDE w:val="0"/>
        <w:autoSpaceDN w:val="0"/>
        <w:snapToGrid w:val="0"/>
        <w:spacing w:line="360" w:lineRule="auto"/>
        <w:ind w:firstLine="560" w:firstLineChars="200"/>
        <w:jc w:val="left"/>
        <w:rPr>
          <w:rFonts w:ascii="仿宋" w:hAnsi="仿宋" w:eastAsia="仿宋" w:cs="仿宋"/>
          <w:sz w:val="28"/>
          <w:szCs w:val="28"/>
          <w:highlight w:val="none"/>
          <w:lang w:val="zh-CN"/>
        </w:rPr>
      </w:pPr>
      <w:r>
        <w:rPr>
          <w:rFonts w:hint="eastAsia" w:ascii="仿宋" w:hAnsi="仿宋" w:eastAsia="仿宋" w:cs="仿宋"/>
          <w:sz w:val="28"/>
          <w:szCs w:val="28"/>
          <w:highlight w:val="none"/>
        </w:rPr>
        <w:t>投标截止时间出现如下情形的，参加投标的供应商不足3家的，及评标中出现符合专业条件的供应商或对招标文件作实质响应的供应商不足3家的，采购人有权视情采取其他方式采购。</w:t>
      </w:r>
      <w:r>
        <w:rPr>
          <w:rFonts w:hint="eastAsia" w:ascii="仿宋" w:hAnsi="仿宋" w:eastAsia="仿宋" w:cs="仿宋"/>
          <w:sz w:val="28"/>
          <w:szCs w:val="28"/>
          <w:highlight w:val="none"/>
          <w:lang w:val="zh-CN"/>
        </w:rPr>
        <w:t>本次招标文件中对供应商资格、技术等要求，将作为</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zh-CN"/>
        </w:rPr>
        <w:t>方式采购的基本要求和依据。原已经参加投标并符合要求的供应商，根据自愿原则，参加</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zh-CN"/>
        </w:rPr>
        <w:t>方式采购。</w:t>
      </w:r>
    </w:p>
    <w:p w14:paraId="2126365D">
      <w:pPr>
        <w:pStyle w:val="4"/>
        <w:rPr>
          <w:color w:val="000000" w:themeColor="text1"/>
          <w14:textFill>
            <w14:solidFill>
              <w14:schemeClr w14:val="tx1"/>
            </w14:solidFill>
          </w14:textFill>
        </w:rPr>
      </w:pPr>
      <w:r>
        <w:rPr>
          <w:color w:val="000000" w:themeColor="text1"/>
          <w14:textFill>
            <w14:solidFill>
              <w14:schemeClr w14:val="tx1"/>
            </w14:solidFill>
          </w14:textFill>
        </w:rPr>
        <w:t>七、评分标准</w:t>
      </w:r>
    </w:p>
    <w:bookmarkEnd w:id="7"/>
    <w:p w14:paraId="26A207C6">
      <w:pPr>
        <w:spacing w:line="360" w:lineRule="auto"/>
        <w:ind w:firstLine="560" w:firstLineChars="200"/>
        <w:rPr>
          <w:rFonts w:ascii="仿宋" w:hAnsi="仿宋" w:eastAsia="仿宋" w:cs="仿宋"/>
          <w:sz w:val="28"/>
          <w:szCs w:val="28"/>
          <w:highlight w:val="none"/>
        </w:rPr>
      </w:pPr>
      <w:bookmarkStart w:id="9" w:name="_Hlk99542376"/>
      <w:r>
        <w:rPr>
          <w:rFonts w:hint="eastAsia" w:ascii="仿宋" w:hAnsi="仿宋" w:eastAsia="仿宋" w:cs="仿宋"/>
          <w:sz w:val="28"/>
          <w:szCs w:val="28"/>
          <w:highlight w:val="none"/>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14:paraId="16F99E8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技术部分评审结束后，再开启最后商务报价计算分值。总分值为100分，加分和减分因素除外。</w:t>
      </w:r>
    </w:p>
    <w:p w14:paraId="53C0F241">
      <w:pPr>
        <w:autoSpaceDE w:val="0"/>
        <w:autoSpaceDN w:val="0"/>
        <w:adjustRightInd w:val="0"/>
        <w:snapToGrid w:val="0"/>
        <w:spacing w:line="360" w:lineRule="auto"/>
        <w:ind w:firstLine="56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hint="eastAsia" w:ascii="仿宋" w:hAnsi="仿宋" w:eastAsia="仿宋"/>
          <w:sz w:val="28"/>
          <w:szCs w:val="28"/>
          <w:highlight w:val="none"/>
          <w:lang w:val="zh-CN"/>
        </w:rPr>
        <w:t>技术</w:t>
      </w:r>
      <w:r>
        <w:rPr>
          <w:rFonts w:hint="eastAsia" w:ascii="仿宋" w:hAnsi="仿宋" w:eastAsia="仿宋"/>
          <w:sz w:val="28"/>
          <w:szCs w:val="28"/>
          <w:highlight w:val="none"/>
          <w:lang w:val="en-US" w:eastAsia="zh-CN"/>
        </w:rPr>
        <w:t>商务</w:t>
      </w:r>
      <w:r>
        <w:rPr>
          <w:rFonts w:hint="eastAsia" w:ascii="仿宋" w:hAnsi="仿宋" w:eastAsia="仿宋"/>
          <w:sz w:val="28"/>
          <w:szCs w:val="28"/>
          <w:highlight w:val="none"/>
          <w:lang w:val="zh-CN"/>
        </w:rPr>
        <w:t>分</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ascii="仿宋" w:hAnsi="仿宋" w:eastAsia="仿宋"/>
          <w:sz w:val="28"/>
          <w:szCs w:val="28"/>
          <w:highlight w:val="none"/>
        </w:rPr>
        <w:t>0</w:t>
      </w:r>
      <w:r>
        <w:rPr>
          <w:rFonts w:hint="eastAsia" w:ascii="仿宋" w:hAnsi="仿宋" w:eastAsia="仿宋"/>
          <w:sz w:val="28"/>
          <w:szCs w:val="28"/>
          <w:highlight w:val="none"/>
          <w:lang w:val="zh-CN"/>
        </w:rPr>
        <w:t>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850"/>
      </w:tblGrid>
      <w:tr w14:paraId="1326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1" w:type="pct"/>
            <w:noWrap/>
            <w:vAlign w:val="center"/>
          </w:tcPr>
          <w:p w14:paraId="4A3EDD9B">
            <w:pPr>
              <w:snapToGrid w:val="0"/>
              <w:spacing w:line="360" w:lineRule="auto"/>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评分因素</w:t>
            </w:r>
          </w:p>
        </w:tc>
        <w:tc>
          <w:tcPr>
            <w:tcW w:w="4278" w:type="pct"/>
            <w:noWrap/>
            <w:vAlign w:val="center"/>
          </w:tcPr>
          <w:p w14:paraId="7350EDF0">
            <w:pPr>
              <w:snapToGrid w:val="0"/>
              <w:spacing w:line="360" w:lineRule="auto"/>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评分标准</w:t>
            </w:r>
          </w:p>
        </w:tc>
      </w:tr>
      <w:tr w14:paraId="6346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1" w:type="pct"/>
            <w:noWrap/>
            <w:vAlign w:val="center"/>
          </w:tcPr>
          <w:p w14:paraId="6E770279">
            <w:pPr>
              <w:snapToGrid w:val="0"/>
              <w:spacing w:line="360" w:lineRule="auto"/>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rPr>
              <w:t>企业资质实力情况</w:t>
            </w:r>
          </w:p>
          <w:p w14:paraId="21F091FE">
            <w:pPr>
              <w:snapToGrid w:val="0"/>
              <w:spacing w:line="360" w:lineRule="auto"/>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24</w:t>
            </w:r>
            <w:r>
              <w:rPr>
                <w:rFonts w:hint="eastAsia" w:ascii="仿宋" w:hAnsi="仿宋" w:eastAsia="仿宋" w:cs="仿宋_GB2312"/>
                <w:bCs/>
                <w:sz w:val="24"/>
                <w:szCs w:val="24"/>
                <w:highlight w:val="none"/>
              </w:rPr>
              <w:t>分）</w:t>
            </w:r>
          </w:p>
        </w:tc>
        <w:tc>
          <w:tcPr>
            <w:tcW w:w="4278" w:type="pct"/>
            <w:noWrap/>
            <w:vAlign w:val="center"/>
          </w:tcPr>
          <w:p w14:paraId="48D724B4">
            <w:pPr>
              <w:numPr>
                <w:ilvl w:val="0"/>
                <w:numId w:val="2"/>
              </w:numPr>
              <w:spacing w:line="360" w:lineRule="auto"/>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具有ISO</w:t>
            </w:r>
            <w:r>
              <w:rPr>
                <w:rFonts w:hint="eastAsia" w:ascii="仿宋" w:hAnsi="仿宋" w:eastAsia="仿宋" w:cs="仿宋_GB2312"/>
                <w:bCs/>
                <w:sz w:val="24"/>
                <w:szCs w:val="24"/>
                <w:highlight w:val="none"/>
                <w:lang w:val="en-US" w:eastAsia="zh-CN"/>
              </w:rPr>
              <w:t>20000</w:t>
            </w:r>
            <w:r>
              <w:rPr>
                <w:rFonts w:hint="eastAsia" w:ascii="仿宋" w:hAnsi="仿宋" w:eastAsia="仿宋" w:cs="仿宋_GB2312"/>
                <w:bCs/>
                <w:sz w:val="24"/>
                <w:szCs w:val="24"/>
                <w:highlight w:val="none"/>
              </w:rPr>
              <w:t>信息技术服务管理体系认证证书</w:t>
            </w:r>
            <w:r>
              <w:rPr>
                <w:rFonts w:hint="eastAsia" w:ascii="仿宋" w:hAnsi="仿宋" w:eastAsia="仿宋" w:cs="仿宋_GB2312"/>
                <w:bCs/>
                <w:sz w:val="24"/>
                <w:szCs w:val="24"/>
                <w:highlight w:val="none"/>
                <w:lang w:val="en-US" w:eastAsia="zh-CN"/>
              </w:rPr>
              <w:t>的得3分，没有不得分；</w:t>
            </w:r>
          </w:p>
          <w:p w14:paraId="16882AE7">
            <w:pPr>
              <w:numPr>
                <w:ilvl w:val="0"/>
                <w:numId w:val="2"/>
              </w:numPr>
              <w:spacing w:line="360" w:lineRule="auto"/>
              <w:rPr>
                <w:rFonts w:ascii="仿宋" w:hAnsi="仿宋" w:eastAsia="仿宋" w:cs="仿宋_GB2312"/>
                <w:bCs/>
                <w:sz w:val="24"/>
                <w:szCs w:val="24"/>
                <w:highlight w:val="none"/>
              </w:rPr>
            </w:pPr>
            <w:r>
              <w:rPr>
                <w:rFonts w:hint="eastAsia" w:ascii="仿宋" w:hAnsi="仿宋" w:eastAsia="仿宋" w:cs="仿宋_GB2312"/>
                <w:bCs/>
                <w:sz w:val="24"/>
                <w:szCs w:val="24"/>
                <w:highlight w:val="none"/>
              </w:rPr>
              <w:t>具有ISO27001网络安全管理体系认证证书的得</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分，没有不得分</w:t>
            </w:r>
            <w:r>
              <w:rPr>
                <w:rFonts w:hint="eastAsia" w:ascii="仿宋" w:hAnsi="仿宋" w:eastAsia="仿宋" w:cs="仿宋_GB2312"/>
                <w:bCs/>
                <w:sz w:val="24"/>
                <w:szCs w:val="24"/>
                <w:highlight w:val="none"/>
                <w:lang w:eastAsia="zh-CN"/>
              </w:rPr>
              <w:t>；</w:t>
            </w:r>
          </w:p>
          <w:p w14:paraId="174C872E">
            <w:pPr>
              <w:spacing w:line="360" w:lineRule="auto"/>
              <w:rPr>
                <w:rFonts w:hint="eastAsia" w:ascii="仿宋" w:hAnsi="仿宋" w:eastAsia="仿宋" w:cs="仿宋_GB2312"/>
                <w:bCs/>
                <w:sz w:val="24"/>
                <w:szCs w:val="24"/>
                <w:highlight w:val="none"/>
                <w:lang w:eastAsia="zh-CN"/>
              </w:rPr>
            </w:pPr>
            <w:r>
              <w:rPr>
                <w:rFonts w:ascii="仿宋" w:hAnsi="仿宋" w:eastAsia="仿宋" w:cs="仿宋_GB2312"/>
                <w:bCs/>
                <w:sz w:val="24"/>
                <w:szCs w:val="24"/>
                <w:highlight w:val="none"/>
              </w:rPr>
              <w:t>3</w:t>
            </w:r>
            <w:r>
              <w:rPr>
                <w:rFonts w:hint="eastAsia" w:ascii="仿宋" w:hAnsi="仿宋" w:eastAsia="仿宋" w:cs="仿宋_GB2312"/>
                <w:bCs/>
                <w:sz w:val="24"/>
                <w:szCs w:val="24"/>
                <w:highlight w:val="none"/>
              </w:rPr>
              <w:t>、具有ISO9001质量管理体系认证证书的得</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分，没有不得分</w:t>
            </w:r>
            <w:r>
              <w:rPr>
                <w:rFonts w:hint="eastAsia" w:ascii="仿宋" w:hAnsi="仿宋" w:eastAsia="仿宋" w:cs="仿宋_GB2312"/>
                <w:bCs/>
                <w:sz w:val="24"/>
                <w:szCs w:val="24"/>
                <w:highlight w:val="none"/>
                <w:lang w:eastAsia="zh-CN"/>
              </w:rPr>
              <w:t>；</w:t>
            </w:r>
          </w:p>
          <w:p w14:paraId="16FCCF3E">
            <w:pPr>
              <w:spacing w:line="360" w:lineRule="auto"/>
              <w:rPr>
                <w:rFonts w:hint="eastAsia" w:ascii="仿宋" w:hAnsi="仿宋" w:eastAsia="仿宋" w:cs="仿宋_GB2312"/>
                <w:bCs/>
                <w:sz w:val="24"/>
                <w:szCs w:val="24"/>
                <w:highlight w:val="none"/>
                <w:lang w:eastAsia="zh-CN"/>
              </w:rPr>
            </w:pPr>
            <w:r>
              <w:rPr>
                <w:rFonts w:hint="eastAsia" w:ascii="仿宋" w:hAnsi="仿宋" w:eastAsia="仿宋" w:cs="仿宋_GB2312"/>
                <w:bCs/>
                <w:sz w:val="24"/>
                <w:szCs w:val="24"/>
                <w:highlight w:val="none"/>
                <w:lang w:val="en-US" w:eastAsia="zh-CN"/>
              </w:rPr>
              <w:t>4、</w:t>
            </w:r>
            <w:r>
              <w:rPr>
                <w:rFonts w:hint="eastAsia" w:ascii="仿宋_GB2312" w:hAnsi="仿宋" w:eastAsia="仿宋_GB2312" w:cs="宋体"/>
                <w:sz w:val="24"/>
              </w:rPr>
              <w:t>供应商同时具有中国网络安全审查技术与认证中心颁发的有效期内信息安全服务资质证书（包含应急处理服务、风险评估服务）</w:t>
            </w:r>
            <w:r>
              <w:rPr>
                <w:rFonts w:hint="eastAsia" w:ascii="仿宋" w:hAnsi="仿宋" w:eastAsia="仿宋" w:cs="仿宋_GB2312"/>
                <w:bCs/>
                <w:sz w:val="24"/>
                <w:szCs w:val="24"/>
                <w:highlight w:val="none"/>
                <w:lang w:eastAsia="zh-CN"/>
              </w:rPr>
              <w:t>得3分，</w:t>
            </w:r>
            <w:r>
              <w:rPr>
                <w:rFonts w:hint="eastAsia" w:ascii="仿宋" w:hAnsi="仿宋" w:eastAsia="仿宋" w:cs="仿宋_GB2312"/>
                <w:bCs/>
                <w:sz w:val="24"/>
                <w:szCs w:val="24"/>
                <w:highlight w:val="none"/>
                <w:lang w:val="en-US" w:eastAsia="zh-CN"/>
              </w:rPr>
              <w:t>没有不得分</w:t>
            </w:r>
            <w:r>
              <w:rPr>
                <w:rFonts w:hint="eastAsia" w:ascii="仿宋" w:hAnsi="仿宋" w:eastAsia="仿宋" w:cs="仿宋_GB2312"/>
                <w:bCs/>
                <w:sz w:val="24"/>
                <w:szCs w:val="24"/>
                <w:highlight w:val="none"/>
                <w:lang w:eastAsia="zh-CN"/>
              </w:rPr>
              <w:t>。</w:t>
            </w:r>
          </w:p>
          <w:p w14:paraId="679837AB">
            <w:pPr>
              <w:spacing w:line="360" w:lineRule="auto"/>
              <w:rPr>
                <w:rFonts w:hint="eastAsia" w:ascii="仿宋" w:hAnsi="仿宋" w:eastAsia="仿宋" w:cs="仿宋_GB2312"/>
                <w:bCs/>
                <w:sz w:val="24"/>
                <w:szCs w:val="24"/>
                <w:highlight w:val="none"/>
                <w:lang w:eastAsia="zh-CN"/>
              </w:rPr>
            </w:pPr>
            <w:r>
              <w:rPr>
                <w:rFonts w:hint="eastAsia" w:ascii="仿宋" w:hAnsi="仿宋" w:eastAsia="仿宋" w:cs="仿宋_GB2312"/>
                <w:bCs/>
                <w:sz w:val="24"/>
                <w:szCs w:val="24"/>
                <w:highlight w:val="none"/>
                <w:lang w:val="en-US" w:eastAsia="zh-CN"/>
              </w:rPr>
              <w:t>5</w:t>
            </w:r>
            <w:r>
              <w:rPr>
                <w:rFonts w:hint="eastAsia" w:ascii="仿宋" w:hAnsi="仿宋" w:eastAsia="仿宋" w:cs="仿宋_GB2312"/>
                <w:bCs/>
                <w:sz w:val="24"/>
                <w:szCs w:val="24"/>
                <w:highlight w:val="none"/>
              </w:rPr>
              <w:t>、响应供应商任意一年在CNAS测评能力验证得分为</w:t>
            </w:r>
            <w:r>
              <w:rPr>
                <w:rFonts w:hint="eastAsia" w:ascii="仿宋" w:hAnsi="仿宋" w:eastAsia="仿宋" w:cs="仿宋_GB2312"/>
                <w:bCs/>
                <w:sz w:val="24"/>
                <w:szCs w:val="24"/>
                <w:highlight w:val="none"/>
                <w:lang w:val="en-US" w:eastAsia="zh-CN"/>
              </w:rPr>
              <w:t>满意</w:t>
            </w:r>
            <w:r>
              <w:rPr>
                <w:rFonts w:hint="eastAsia" w:ascii="仿宋" w:hAnsi="仿宋" w:eastAsia="仿宋" w:cs="仿宋_GB2312"/>
                <w:bCs/>
                <w:sz w:val="24"/>
                <w:szCs w:val="24"/>
                <w:highlight w:val="none"/>
              </w:rPr>
              <w:t>的得</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分（提供有效期内的证明材料复印件并加盖供应商公章）</w:t>
            </w:r>
            <w:r>
              <w:rPr>
                <w:rFonts w:hint="eastAsia" w:ascii="仿宋" w:hAnsi="仿宋" w:eastAsia="仿宋" w:cs="仿宋_GB2312"/>
                <w:bCs/>
                <w:sz w:val="24"/>
                <w:szCs w:val="24"/>
                <w:highlight w:val="none"/>
                <w:lang w:eastAsia="zh-CN"/>
              </w:rPr>
              <w:t>；</w:t>
            </w:r>
          </w:p>
          <w:p w14:paraId="6FFEEE4C">
            <w:pPr>
              <w:spacing w:line="360" w:lineRule="auto"/>
              <w:rPr>
                <w:rFonts w:hint="eastAsia" w:ascii="仿宋" w:hAnsi="仿宋" w:eastAsia="仿宋" w:cs="仿宋_GB2312"/>
                <w:bCs/>
                <w:sz w:val="24"/>
                <w:szCs w:val="24"/>
                <w:highlight w:val="none"/>
                <w:lang w:eastAsia="zh-CN"/>
              </w:rPr>
            </w:pPr>
            <w:r>
              <w:rPr>
                <w:rFonts w:hint="eastAsia" w:ascii="仿宋" w:hAnsi="仿宋" w:eastAsia="仿宋" w:cs="仿宋_GB2312"/>
                <w:bCs/>
                <w:sz w:val="24"/>
                <w:szCs w:val="24"/>
                <w:highlight w:val="none"/>
                <w:lang w:val="en-US" w:eastAsia="zh-CN"/>
              </w:rPr>
              <w:t>6</w:t>
            </w:r>
            <w:r>
              <w:rPr>
                <w:rFonts w:hint="eastAsia" w:ascii="仿宋" w:hAnsi="仿宋" w:eastAsia="仿宋" w:cs="仿宋_GB2312"/>
                <w:bCs/>
                <w:sz w:val="24"/>
                <w:szCs w:val="24"/>
                <w:highlight w:val="none"/>
              </w:rPr>
              <w:t>、</w:t>
            </w:r>
            <w:r>
              <w:rPr>
                <w:rFonts w:hint="eastAsia" w:ascii="仿宋" w:hAnsi="仿宋" w:eastAsia="仿宋" w:cs="仿宋"/>
                <w:color w:val="auto"/>
                <w:sz w:val="24"/>
                <w:szCs w:val="24"/>
              </w:rPr>
              <w:t>供应商具</w:t>
            </w:r>
            <w:r>
              <w:rPr>
                <w:rFonts w:hint="eastAsia" w:ascii="仿宋" w:hAnsi="仿宋" w:eastAsia="仿宋" w:cs="仿宋"/>
                <w:color w:val="auto"/>
                <w:sz w:val="24"/>
                <w:szCs w:val="24"/>
                <w:lang w:val="en-US" w:eastAsia="zh-CN"/>
              </w:rPr>
              <w:t>有</w:t>
            </w:r>
            <w:r>
              <w:rPr>
                <w:rFonts w:hint="eastAsia" w:ascii="仿宋" w:hAnsi="仿宋" w:eastAsia="仿宋" w:cs="仿宋"/>
                <w:color w:val="auto"/>
                <w:sz w:val="24"/>
                <w:szCs w:val="24"/>
              </w:rPr>
              <w:t>中国信息安全测评中心颁发的国家信息安全漏洞库技术支撑单位</w:t>
            </w:r>
            <w:r>
              <w:rPr>
                <w:rFonts w:hint="eastAsia" w:ascii="仿宋" w:hAnsi="仿宋" w:eastAsia="仿宋" w:cs="仿宋_GB2312"/>
                <w:bCs/>
                <w:sz w:val="24"/>
                <w:szCs w:val="24"/>
                <w:highlight w:val="none"/>
              </w:rPr>
              <w:t>的得</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分</w:t>
            </w:r>
            <w:r>
              <w:rPr>
                <w:rFonts w:hint="eastAsia" w:ascii="仿宋" w:hAnsi="仿宋" w:eastAsia="仿宋" w:cs="仿宋_GB2312"/>
                <w:bCs/>
                <w:sz w:val="24"/>
                <w:szCs w:val="24"/>
                <w:highlight w:val="none"/>
                <w:lang w:eastAsia="zh-CN"/>
              </w:rPr>
              <w:t>，</w:t>
            </w:r>
            <w:r>
              <w:rPr>
                <w:rFonts w:hint="eastAsia" w:ascii="仿宋" w:hAnsi="仿宋" w:eastAsia="仿宋" w:cs="仿宋_GB2312"/>
                <w:bCs/>
                <w:sz w:val="24"/>
                <w:szCs w:val="24"/>
                <w:highlight w:val="none"/>
              </w:rPr>
              <w:t>不提供不得分</w:t>
            </w:r>
            <w:r>
              <w:rPr>
                <w:rFonts w:hint="eastAsia" w:ascii="仿宋" w:hAnsi="仿宋" w:eastAsia="仿宋" w:cs="仿宋_GB2312"/>
                <w:bCs/>
                <w:sz w:val="24"/>
                <w:szCs w:val="24"/>
                <w:highlight w:val="none"/>
                <w:lang w:eastAsia="zh-CN"/>
              </w:rPr>
              <w:t>；</w:t>
            </w:r>
          </w:p>
          <w:p w14:paraId="6ABE0FCD">
            <w:pPr>
              <w:spacing w:line="360" w:lineRule="auto"/>
              <w:rPr>
                <w:rFonts w:hint="eastAsia" w:ascii="仿宋" w:hAnsi="仿宋" w:eastAsia="仿宋" w:cs="仿宋"/>
                <w:sz w:val="24"/>
                <w:szCs w:val="24"/>
              </w:rPr>
            </w:pPr>
            <w:r>
              <w:rPr>
                <w:rFonts w:hint="eastAsia" w:ascii="仿宋" w:hAnsi="仿宋" w:eastAsia="仿宋" w:cs="仿宋_GB2312"/>
                <w:bCs/>
                <w:sz w:val="24"/>
                <w:szCs w:val="24"/>
                <w:highlight w:val="none"/>
                <w:lang w:val="en-US" w:eastAsia="zh-CN"/>
              </w:rPr>
              <w:t>7、</w:t>
            </w:r>
            <w:r>
              <w:rPr>
                <w:rFonts w:hint="eastAsia" w:ascii="仿宋" w:hAnsi="仿宋" w:eastAsia="仿宋" w:cs="仿宋"/>
                <w:sz w:val="24"/>
                <w:szCs w:val="24"/>
              </w:rPr>
              <w:t>具有</w:t>
            </w:r>
            <w:r>
              <w:rPr>
                <w:rFonts w:hint="eastAsia" w:ascii="仿宋" w:hAnsi="仿宋" w:eastAsia="仿宋" w:cs="仿宋"/>
                <w:sz w:val="24"/>
                <w:szCs w:val="24"/>
                <w:lang w:val="en-US" w:eastAsia="zh-CN"/>
              </w:rPr>
              <w:t>至少3</w:t>
            </w:r>
            <w:r>
              <w:rPr>
                <w:rFonts w:hint="eastAsia" w:ascii="仿宋" w:hAnsi="仿宋" w:eastAsia="仿宋" w:cs="仿宋"/>
                <w:sz w:val="24"/>
                <w:szCs w:val="24"/>
              </w:rPr>
              <w:t>个2021年至今（以收录时间为准）的CNVD国家信息安全漏洞共享平台的原创漏洞证明证书，得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_GB2312"/>
                <w:bCs/>
                <w:kern w:val="2"/>
                <w:sz w:val="24"/>
                <w:szCs w:val="24"/>
                <w:highlight w:val="none"/>
                <w:lang w:val="en-US" w:eastAsia="zh-CN" w:bidi="ar-SA"/>
              </w:rPr>
              <w:t>没有不得分</w:t>
            </w:r>
            <w:r>
              <w:rPr>
                <w:rFonts w:hint="eastAsia" w:ascii="仿宋" w:hAnsi="仿宋" w:eastAsia="仿宋" w:cs="仿宋"/>
                <w:sz w:val="24"/>
                <w:szCs w:val="24"/>
              </w:rPr>
              <w:t>；</w:t>
            </w:r>
          </w:p>
          <w:p w14:paraId="678468C8">
            <w:pPr>
              <w:spacing w:line="360" w:lineRule="auto"/>
              <w:rPr>
                <w:rFonts w:hint="eastAsia" w:ascii="仿宋" w:hAnsi="仿宋" w:eastAsia="仿宋" w:cs="仿宋_GB2312"/>
                <w:bCs/>
                <w:sz w:val="24"/>
                <w:szCs w:val="24"/>
                <w:highlight w:val="none"/>
                <w:lang w:val="en-US" w:eastAsia="zh-CN"/>
              </w:rPr>
            </w:pPr>
            <w:r>
              <w:rPr>
                <w:rFonts w:hint="eastAsia" w:ascii="仿宋" w:hAnsi="仿宋" w:eastAsia="仿宋" w:cs="仿宋_GB2312"/>
                <w:bCs/>
                <w:sz w:val="24"/>
                <w:szCs w:val="24"/>
                <w:highlight w:val="none"/>
                <w:lang w:val="en-US" w:eastAsia="zh-CN"/>
              </w:rPr>
              <w:t>8、同时获得</w:t>
            </w:r>
            <w:r>
              <w:rPr>
                <w:rFonts w:hint="eastAsia" w:ascii="仿宋" w:hAnsi="仿宋" w:eastAsia="仿宋" w:cs="仿宋_GB2312"/>
                <w:bCs/>
                <w:kern w:val="2"/>
                <w:sz w:val="24"/>
                <w:szCs w:val="24"/>
                <w:highlight w:val="none"/>
                <w:lang w:val="en-US" w:eastAsia="zh-CN" w:bidi="ar-SA"/>
              </w:rPr>
              <w:t>“网安2023”南通行动优秀单位和2024-2027年度南通市网络和数据安全应急技术支撑单位的得3分，没有不得分。</w:t>
            </w:r>
          </w:p>
        </w:tc>
      </w:tr>
      <w:tr w14:paraId="7D22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21" w:type="pct"/>
            <w:noWrap/>
            <w:vAlign w:val="center"/>
          </w:tcPr>
          <w:p w14:paraId="6A0915CD">
            <w:pPr>
              <w:snapToGrid w:val="0"/>
              <w:spacing w:line="360" w:lineRule="auto"/>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rPr>
              <w:t>测评案例（</w:t>
            </w:r>
            <w:r>
              <w:rPr>
                <w:rFonts w:hint="eastAsia" w:ascii="仿宋" w:hAnsi="仿宋" w:eastAsia="仿宋" w:cs="仿宋_GB2312"/>
                <w:bCs/>
                <w:sz w:val="24"/>
                <w:szCs w:val="24"/>
                <w:highlight w:val="none"/>
                <w:lang w:val="en-US" w:eastAsia="zh-CN"/>
              </w:rPr>
              <w:t>12</w:t>
            </w:r>
            <w:r>
              <w:rPr>
                <w:rFonts w:hint="eastAsia" w:ascii="仿宋" w:hAnsi="仿宋" w:eastAsia="仿宋" w:cs="仿宋_GB2312"/>
                <w:bCs/>
                <w:sz w:val="24"/>
                <w:szCs w:val="24"/>
                <w:highlight w:val="none"/>
              </w:rPr>
              <w:t>分）</w:t>
            </w:r>
          </w:p>
        </w:tc>
        <w:tc>
          <w:tcPr>
            <w:tcW w:w="4278" w:type="pct"/>
            <w:noWrap/>
            <w:vAlign w:val="center"/>
          </w:tcPr>
          <w:p w14:paraId="46A97A94">
            <w:pPr>
              <w:snapToGrid w:val="0"/>
              <w:spacing w:line="360" w:lineRule="auto"/>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rPr>
              <w:t>202</w:t>
            </w:r>
            <w:r>
              <w:rPr>
                <w:rFonts w:hint="eastAsia" w:ascii="仿宋" w:hAnsi="仿宋" w:eastAsia="仿宋" w:cs="仿宋_GB2312"/>
                <w:bCs/>
                <w:sz w:val="24"/>
                <w:szCs w:val="24"/>
                <w:highlight w:val="none"/>
                <w:lang w:val="en-US" w:eastAsia="zh-CN"/>
              </w:rPr>
              <w:t>1</w:t>
            </w:r>
            <w:r>
              <w:rPr>
                <w:rFonts w:hint="eastAsia" w:ascii="仿宋" w:hAnsi="仿宋" w:eastAsia="仿宋" w:cs="仿宋_GB2312"/>
                <w:bCs/>
                <w:sz w:val="24"/>
                <w:szCs w:val="24"/>
                <w:highlight w:val="none"/>
              </w:rPr>
              <w:t>年1月1日至今</w:t>
            </w:r>
            <w:r>
              <w:rPr>
                <w:rFonts w:hint="eastAsia" w:ascii="仿宋" w:hAnsi="仿宋" w:eastAsia="仿宋" w:cs="仿宋_GB2312"/>
                <w:bCs/>
                <w:sz w:val="24"/>
                <w:szCs w:val="24"/>
                <w:highlight w:val="none"/>
                <w:lang w:val="en-US" w:eastAsia="zh-CN"/>
              </w:rPr>
              <w:t>政府部门</w:t>
            </w:r>
            <w:r>
              <w:rPr>
                <w:rFonts w:hint="eastAsia" w:ascii="仿宋" w:hAnsi="仿宋" w:eastAsia="仿宋" w:cs="仿宋_GB2312"/>
                <w:bCs/>
                <w:sz w:val="24"/>
                <w:szCs w:val="24"/>
                <w:highlight w:val="none"/>
              </w:rPr>
              <w:t>等保测评案例合同，每个案例得</w:t>
            </w:r>
            <w:r>
              <w:rPr>
                <w:rFonts w:hint="eastAsia" w:ascii="仿宋" w:hAnsi="仿宋" w:eastAsia="仿宋" w:cs="仿宋_GB2312"/>
                <w:bCs/>
                <w:sz w:val="24"/>
                <w:szCs w:val="24"/>
                <w:highlight w:val="none"/>
                <w:lang w:val="en-US" w:eastAsia="zh-CN"/>
              </w:rPr>
              <w:t>2</w:t>
            </w:r>
            <w:r>
              <w:rPr>
                <w:rFonts w:hint="eastAsia" w:ascii="仿宋" w:hAnsi="仿宋" w:eastAsia="仿宋" w:cs="仿宋_GB2312"/>
                <w:bCs/>
                <w:sz w:val="24"/>
                <w:szCs w:val="24"/>
                <w:highlight w:val="none"/>
              </w:rPr>
              <w:t>分，最高得</w:t>
            </w:r>
            <w:r>
              <w:rPr>
                <w:rFonts w:hint="eastAsia" w:ascii="仿宋" w:hAnsi="仿宋" w:eastAsia="仿宋" w:cs="仿宋_GB2312"/>
                <w:bCs/>
                <w:sz w:val="24"/>
                <w:szCs w:val="24"/>
                <w:highlight w:val="none"/>
                <w:lang w:val="en-US" w:eastAsia="zh-CN"/>
              </w:rPr>
              <w:t>12</w:t>
            </w:r>
            <w:r>
              <w:rPr>
                <w:rFonts w:hint="eastAsia" w:ascii="仿宋" w:hAnsi="仿宋" w:eastAsia="仿宋" w:cs="仿宋_GB2312"/>
                <w:bCs/>
                <w:sz w:val="24"/>
                <w:szCs w:val="24"/>
                <w:highlight w:val="none"/>
              </w:rPr>
              <w:t>分。</w:t>
            </w:r>
          </w:p>
        </w:tc>
      </w:tr>
      <w:tr w14:paraId="4A73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1" w:type="pct"/>
            <w:noWrap/>
            <w:vAlign w:val="center"/>
          </w:tcPr>
          <w:p w14:paraId="42A522E0">
            <w:pPr>
              <w:snapToGrid w:val="0"/>
              <w:spacing w:line="360" w:lineRule="auto"/>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rPr>
              <w:t>技术方案（</w:t>
            </w:r>
            <w:r>
              <w:rPr>
                <w:rFonts w:hint="eastAsia" w:ascii="仿宋" w:hAnsi="仿宋" w:eastAsia="仿宋" w:cs="仿宋_GB2312"/>
                <w:bCs/>
                <w:sz w:val="24"/>
                <w:szCs w:val="24"/>
                <w:highlight w:val="none"/>
                <w:lang w:val="en-US" w:eastAsia="zh-CN"/>
              </w:rPr>
              <w:t>20</w:t>
            </w:r>
            <w:r>
              <w:rPr>
                <w:rFonts w:hint="eastAsia" w:ascii="仿宋" w:hAnsi="仿宋" w:eastAsia="仿宋" w:cs="仿宋_GB2312"/>
                <w:bCs/>
                <w:sz w:val="24"/>
                <w:szCs w:val="24"/>
                <w:highlight w:val="none"/>
              </w:rPr>
              <w:t>分）</w:t>
            </w:r>
          </w:p>
        </w:tc>
        <w:tc>
          <w:tcPr>
            <w:tcW w:w="4278" w:type="pct"/>
            <w:noWrap/>
            <w:vAlign w:val="center"/>
          </w:tcPr>
          <w:p w14:paraId="087F16C2">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lang w:eastAsia="zh-CN"/>
              </w:rPr>
              <w:t>（</w:t>
            </w:r>
            <w:r>
              <w:rPr>
                <w:rFonts w:hint="eastAsia" w:ascii="仿宋" w:hAnsi="仿宋" w:eastAsia="仿宋" w:cs="仿宋_GB2312"/>
                <w:bCs/>
                <w:sz w:val="24"/>
                <w:szCs w:val="24"/>
                <w:highlight w:val="none"/>
                <w:lang w:val="en-US" w:eastAsia="zh-CN"/>
              </w:rPr>
              <w:t>一</w:t>
            </w:r>
            <w:r>
              <w:rPr>
                <w:rFonts w:hint="eastAsia" w:ascii="仿宋" w:hAnsi="仿宋" w:eastAsia="仿宋" w:cs="仿宋_GB2312"/>
                <w:bCs/>
                <w:sz w:val="24"/>
                <w:szCs w:val="24"/>
                <w:highlight w:val="none"/>
                <w:lang w:eastAsia="zh-CN"/>
              </w:rPr>
              <w:t>）</w:t>
            </w:r>
            <w:r>
              <w:rPr>
                <w:rFonts w:hint="eastAsia" w:ascii="仿宋" w:hAnsi="仿宋" w:eastAsia="仿宋" w:cs="仿宋_GB2312"/>
                <w:bCs/>
                <w:sz w:val="24"/>
                <w:szCs w:val="24"/>
                <w:highlight w:val="none"/>
              </w:rPr>
              <w:t>技术服务方案的完整性和专业性比较</w:t>
            </w:r>
          </w:p>
          <w:p w14:paraId="3B8DC774">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针对服务内容及服务方法有详细说明，描述详细，可行性高的得</w:t>
            </w:r>
            <w:r>
              <w:rPr>
                <w:rFonts w:hint="eastAsia" w:ascii="仿宋" w:hAnsi="仿宋" w:eastAsia="仿宋" w:cs="仿宋_GB2312"/>
                <w:bCs/>
                <w:sz w:val="24"/>
                <w:szCs w:val="24"/>
                <w:highlight w:val="none"/>
                <w:lang w:val="en-US" w:eastAsia="zh-CN"/>
              </w:rPr>
              <w:t>7</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10</w:t>
            </w:r>
            <w:r>
              <w:rPr>
                <w:rFonts w:hint="eastAsia" w:ascii="仿宋" w:hAnsi="仿宋" w:eastAsia="仿宋" w:cs="仿宋_GB2312"/>
                <w:bCs/>
                <w:sz w:val="24"/>
                <w:szCs w:val="24"/>
                <w:highlight w:val="none"/>
              </w:rPr>
              <w:t>（含）分；</w:t>
            </w:r>
          </w:p>
          <w:p w14:paraId="1983FD43">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描述较详细，可行性较高的得</w:t>
            </w:r>
            <w:r>
              <w:rPr>
                <w:rFonts w:hint="eastAsia" w:ascii="仿宋" w:hAnsi="仿宋" w:eastAsia="仿宋" w:cs="仿宋_GB2312"/>
                <w:bCs/>
                <w:sz w:val="24"/>
                <w:szCs w:val="24"/>
                <w:highlight w:val="none"/>
                <w:lang w:val="en-US" w:eastAsia="zh-CN"/>
              </w:rPr>
              <w:t>4</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7</w:t>
            </w:r>
            <w:r>
              <w:rPr>
                <w:rFonts w:hint="eastAsia" w:ascii="仿宋" w:hAnsi="仿宋" w:eastAsia="仿宋" w:cs="仿宋_GB2312"/>
                <w:bCs/>
                <w:sz w:val="24"/>
                <w:szCs w:val="24"/>
                <w:highlight w:val="none"/>
              </w:rPr>
              <w:t>（含）分；</w:t>
            </w:r>
          </w:p>
          <w:p w14:paraId="7D324953">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描述一般，可行性一般的得</w:t>
            </w:r>
            <w:r>
              <w:rPr>
                <w:rFonts w:hint="eastAsia" w:ascii="仿宋" w:hAnsi="仿宋" w:eastAsia="仿宋" w:cs="仿宋_GB2312"/>
                <w:bCs/>
                <w:sz w:val="24"/>
                <w:szCs w:val="24"/>
                <w:highlight w:val="none"/>
                <w:lang w:val="en-US" w:eastAsia="zh-CN"/>
              </w:rPr>
              <w:t>2</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4</w:t>
            </w:r>
            <w:r>
              <w:rPr>
                <w:rFonts w:hint="eastAsia" w:ascii="仿宋" w:hAnsi="仿宋" w:eastAsia="仿宋" w:cs="仿宋_GB2312"/>
                <w:bCs/>
                <w:sz w:val="24"/>
                <w:szCs w:val="24"/>
                <w:highlight w:val="none"/>
              </w:rPr>
              <w:t>（含）分；</w:t>
            </w:r>
          </w:p>
          <w:p w14:paraId="06DAB495">
            <w:pPr>
              <w:snapToGrid w:val="0"/>
              <w:spacing w:line="360" w:lineRule="auto"/>
              <w:jc w:val="left"/>
              <w:rPr>
                <w:rFonts w:hint="eastAsia" w:ascii="仿宋" w:hAnsi="仿宋" w:eastAsia="仿宋" w:cs="仿宋_GB2312"/>
                <w:bCs/>
                <w:sz w:val="24"/>
                <w:szCs w:val="24"/>
                <w:highlight w:val="none"/>
                <w:lang w:eastAsia="zh-CN"/>
              </w:rPr>
            </w:pPr>
            <w:r>
              <w:rPr>
                <w:rFonts w:hint="eastAsia" w:ascii="仿宋" w:hAnsi="仿宋" w:eastAsia="仿宋" w:cs="仿宋_GB2312"/>
                <w:bCs/>
                <w:sz w:val="24"/>
                <w:szCs w:val="24"/>
                <w:highlight w:val="none"/>
              </w:rPr>
              <w:t>描述较差，可行性低的得0-</w:t>
            </w:r>
            <w:r>
              <w:rPr>
                <w:rFonts w:hint="eastAsia" w:ascii="仿宋" w:hAnsi="仿宋" w:eastAsia="仿宋" w:cs="仿宋_GB2312"/>
                <w:bCs/>
                <w:sz w:val="24"/>
                <w:szCs w:val="24"/>
                <w:highlight w:val="none"/>
                <w:lang w:val="en-US" w:eastAsia="zh-CN"/>
              </w:rPr>
              <w:t>2</w:t>
            </w:r>
            <w:r>
              <w:rPr>
                <w:rFonts w:hint="eastAsia" w:ascii="仿宋" w:hAnsi="仿宋" w:eastAsia="仿宋" w:cs="仿宋_GB2312"/>
                <w:bCs/>
                <w:sz w:val="24"/>
                <w:szCs w:val="24"/>
                <w:highlight w:val="none"/>
              </w:rPr>
              <w:t>（含）分</w:t>
            </w:r>
            <w:r>
              <w:rPr>
                <w:rFonts w:hint="eastAsia" w:ascii="仿宋" w:hAnsi="仿宋" w:eastAsia="仿宋" w:cs="仿宋_GB2312"/>
                <w:bCs/>
                <w:sz w:val="24"/>
                <w:szCs w:val="24"/>
                <w:highlight w:val="none"/>
                <w:lang w:eastAsia="zh-CN"/>
              </w:rPr>
              <w:t>。</w:t>
            </w:r>
          </w:p>
          <w:p w14:paraId="5A64ED1E">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lang w:eastAsia="zh-CN"/>
              </w:rPr>
              <w:t>（</w:t>
            </w:r>
            <w:r>
              <w:rPr>
                <w:rFonts w:hint="eastAsia" w:ascii="仿宋" w:hAnsi="仿宋" w:eastAsia="仿宋" w:cs="仿宋_GB2312"/>
                <w:bCs/>
                <w:sz w:val="24"/>
                <w:szCs w:val="24"/>
                <w:highlight w:val="none"/>
                <w:lang w:val="en-US" w:eastAsia="zh-CN"/>
              </w:rPr>
              <w:t>二</w:t>
            </w:r>
            <w:r>
              <w:rPr>
                <w:rFonts w:hint="eastAsia" w:ascii="仿宋" w:hAnsi="仿宋" w:eastAsia="仿宋" w:cs="仿宋_GB2312"/>
                <w:bCs/>
                <w:sz w:val="24"/>
                <w:szCs w:val="24"/>
                <w:highlight w:val="none"/>
                <w:lang w:eastAsia="zh-CN"/>
              </w:rPr>
              <w:t>）</w:t>
            </w:r>
            <w:r>
              <w:rPr>
                <w:rFonts w:hint="eastAsia" w:ascii="仿宋" w:hAnsi="仿宋" w:eastAsia="仿宋" w:cs="仿宋_GB2312"/>
                <w:bCs/>
                <w:sz w:val="24"/>
                <w:szCs w:val="24"/>
                <w:highlight w:val="none"/>
              </w:rPr>
              <w:t>项目实施方案</w:t>
            </w:r>
          </w:p>
          <w:p w14:paraId="573A79D4">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项目实施方案包括但不限于时间计划、工具配备及人员的分工安排等；</w:t>
            </w:r>
          </w:p>
          <w:p w14:paraId="475DDA03">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人员工具分工，时间安排优秀，能有效指导实际服务的得</w:t>
            </w:r>
            <w:r>
              <w:rPr>
                <w:rFonts w:hint="eastAsia" w:ascii="仿宋" w:hAnsi="仿宋" w:eastAsia="仿宋" w:cs="仿宋_GB2312"/>
                <w:bCs/>
                <w:sz w:val="24"/>
                <w:szCs w:val="24"/>
                <w:highlight w:val="none"/>
                <w:lang w:val="en-US" w:eastAsia="zh-CN"/>
              </w:rPr>
              <w:t>7</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10</w:t>
            </w:r>
            <w:r>
              <w:rPr>
                <w:rFonts w:hint="eastAsia" w:ascii="仿宋" w:hAnsi="仿宋" w:eastAsia="仿宋" w:cs="仿宋_GB2312"/>
                <w:bCs/>
                <w:sz w:val="24"/>
                <w:szCs w:val="24"/>
                <w:highlight w:val="none"/>
              </w:rPr>
              <w:t>（含）分；</w:t>
            </w:r>
          </w:p>
          <w:p w14:paraId="4E079F08">
            <w:pPr>
              <w:snapToGrid w:val="0"/>
              <w:spacing w:line="360" w:lineRule="auto"/>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人员工具分工，时间安排良好，可指导实际服务的得</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7</w:t>
            </w:r>
            <w:r>
              <w:rPr>
                <w:rFonts w:hint="eastAsia" w:ascii="仿宋" w:hAnsi="仿宋" w:eastAsia="仿宋" w:cs="仿宋_GB2312"/>
                <w:bCs/>
                <w:sz w:val="24"/>
                <w:szCs w:val="24"/>
                <w:highlight w:val="none"/>
              </w:rPr>
              <w:t>（含）分；</w:t>
            </w:r>
          </w:p>
          <w:p w14:paraId="1EE95840">
            <w:pPr>
              <w:snapToGrid w:val="0"/>
              <w:spacing w:line="360" w:lineRule="auto"/>
              <w:jc w:val="left"/>
              <w:rPr>
                <w:rFonts w:hint="eastAsia" w:ascii="宋体" w:hAnsi="宋体" w:eastAsia="仿宋" w:cs="宋体"/>
                <w:sz w:val="24"/>
                <w:szCs w:val="24"/>
                <w:lang w:eastAsia="zh-CN"/>
              </w:rPr>
            </w:pPr>
            <w:r>
              <w:rPr>
                <w:rFonts w:hint="eastAsia" w:ascii="仿宋" w:hAnsi="仿宋" w:eastAsia="仿宋" w:cs="仿宋_GB2312"/>
                <w:bCs/>
                <w:sz w:val="24"/>
                <w:szCs w:val="24"/>
                <w:highlight w:val="none"/>
              </w:rPr>
              <w:t>人员工具分工，时间安排一般的得</w:t>
            </w:r>
            <w:r>
              <w:rPr>
                <w:rFonts w:hint="eastAsia" w:ascii="仿宋" w:hAnsi="仿宋" w:eastAsia="仿宋" w:cs="仿宋_GB2312"/>
                <w:bCs/>
                <w:sz w:val="24"/>
                <w:szCs w:val="24"/>
                <w:highlight w:val="none"/>
                <w:lang w:val="en-US" w:eastAsia="zh-CN"/>
              </w:rPr>
              <w:t>0</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3</w:t>
            </w:r>
            <w:r>
              <w:rPr>
                <w:rFonts w:hint="eastAsia" w:ascii="仿宋" w:hAnsi="仿宋" w:eastAsia="仿宋" w:cs="仿宋_GB2312"/>
                <w:bCs/>
                <w:sz w:val="24"/>
                <w:szCs w:val="24"/>
                <w:highlight w:val="none"/>
              </w:rPr>
              <w:t>（含）分</w:t>
            </w:r>
            <w:r>
              <w:rPr>
                <w:rFonts w:hint="eastAsia" w:ascii="仿宋" w:hAnsi="仿宋" w:eastAsia="仿宋" w:cs="仿宋_GB2312"/>
                <w:bCs/>
                <w:sz w:val="24"/>
                <w:szCs w:val="24"/>
                <w:highlight w:val="none"/>
                <w:lang w:eastAsia="zh-CN"/>
              </w:rPr>
              <w:t>。</w:t>
            </w:r>
          </w:p>
        </w:tc>
      </w:tr>
      <w:tr w14:paraId="3B5D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21" w:type="pct"/>
            <w:noWrap/>
            <w:vAlign w:val="center"/>
          </w:tcPr>
          <w:p w14:paraId="6CE2D248">
            <w:pPr>
              <w:snapToGrid w:val="0"/>
              <w:spacing w:line="360" w:lineRule="auto"/>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人员资质</w:t>
            </w:r>
          </w:p>
          <w:p w14:paraId="7E06B8D1">
            <w:pPr>
              <w:snapToGrid w:val="0"/>
              <w:spacing w:line="360" w:lineRule="auto"/>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w:t>
            </w:r>
            <w:r>
              <w:rPr>
                <w:rFonts w:hint="eastAsia" w:ascii="仿宋" w:hAnsi="仿宋" w:eastAsia="仿宋" w:cs="仿宋_GB2312"/>
                <w:bCs/>
                <w:color w:val="auto"/>
                <w:sz w:val="24"/>
                <w:szCs w:val="24"/>
                <w:highlight w:val="none"/>
                <w:lang w:val="en-US" w:eastAsia="zh-CN"/>
              </w:rPr>
              <w:t>34</w:t>
            </w:r>
            <w:r>
              <w:rPr>
                <w:rFonts w:hint="eastAsia" w:ascii="仿宋" w:hAnsi="仿宋" w:eastAsia="仿宋" w:cs="仿宋_GB2312"/>
                <w:bCs/>
                <w:color w:val="auto"/>
                <w:sz w:val="24"/>
                <w:szCs w:val="24"/>
                <w:highlight w:val="none"/>
              </w:rPr>
              <w:t>分）</w:t>
            </w:r>
          </w:p>
        </w:tc>
        <w:tc>
          <w:tcPr>
            <w:tcW w:w="4278" w:type="pct"/>
            <w:noWrap/>
            <w:vAlign w:val="center"/>
          </w:tcPr>
          <w:p w14:paraId="65EFBBE6">
            <w:pPr>
              <w:snapToGrid w:val="0"/>
              <w:spacing w:line="360" w:lineRule="auto"/>
              <w:jc w:val="left"/>
              <w:rPr>
                <w:rFonts w:hint="eastAsia"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承担本次项目的项目团队人员具备：</w:t>
            </w:r>
          </w:p>
          <w:p w14:paraId="08238CC2">
            <w:pPr>
              <w:numPr>
                <w:ilvl w:val="0"/>
                <w:numId w:val="3"/>
              </w:numPr>
              <w:spacing w:line="360" w:lineRule="auto"/>
              <w:ind w:left="425" w:leftChars="0" w:hanging="425" w:firstLineChars="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TW"/>
              </w:rPr>
              <w:t>供应商单位测评师资质实力比较，每具有1名高级测评师得2分，1名中级测评师得1分，最高得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TW"/>
              </w:rPr>
              <w:t>分；</w:t>
            </w:r>
          </w:p>
          <w:p w14:paraId="7C66D429">
            <w:pPr>
              <w:numPr>
                <w:ilvl w:val="0"/>
                <w:numId w:val="3"/>
              </w:numPr>
              <w:spacing w:line="360" w:lineRule="auto"/>
              <w:ind w:left="425" w:leftChars="0" w:hanging="425" w:firstLineChars="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项目经理同时具有CISAW信息安全保障人员证书风险管理方向（专业级）证书、IT服务项目经理资格证书（ITSS）、DJJS信息安全等级保护安全建设技术人员证书</w:t>
            </w:r>
            <w:r>
              <w:rPr>
                <w:rFonts w:hint="eastAsia" w:ascii="仿宋" w:hAnsi="仿宋" w:eastAsia="仿宋" w:cs="仿宋"/>
                <w:color w:val="auto"/>
                <w:sz w:val="24"/>
                <w:szCs w:val="24"/>
                <w:highlight w:val="none"/>
                <w:lang w:eastAsia="zh-CN"/>
              </w:rPr>
              <w:t>、工业和信息化部电子第五研究所颁发的密码安全工程师证证书</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eastAsia="zh-CN"/>
              </w:rPr>
              <w:t>信息产业信息安全测评中心颁发的注册密码安全专业人</w:t>
            </w:r>
            <w:r>
              <w:rPr>
                <w:rFonts w:hint="eastAsia" w:ascii="仿宋" w:hAnsi="仿宋" w:eastAsia="仿宋" w:cs="仿宋"/>
                <w:color w:val="auto"/>
                <w:sz w:val="24"/>
                <w:szCs w:val="24"/>
                <w:highlight w:val="none"/>
                <w:lang w:val="en-US" w:eastAsia="zh-CN"/>
              </w:rPr>
              <w:t>员</w:t>
            </w:r>
            <w:r>
              <w:rPr>
                <w:rFonts w:hint="eastAsia" w:ascii="仿宋" w:hAnsi="仿宋" w:eastAsia="仿宋" w:cs="仿宋"/>
                <w:color w:val="auto"/>
                <w:sz w:val="24"/>
                <w:szCs w:val="24"/>
                <w:highlight w:val="none"/>
                <w:lang w:eastAsia="zh-CN"/>
              </w:rPr>
              <w:t>（NSATP-CSP）证书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得5</w:t>
            </w:r>
            <w:r>
              <w:rPr>
                <w:rFonts w:hint="eastAsia" w:ascii="仿宋" w:hAnsi="仿宋" w:eastAsia="仿宋" w:cs="仿宋"/>
                <w:color w:val="auto"/>
                <w:sz w:val="24"/>
                <w:szCs w:val="24"/>
                <w:highlight w:val="none"/>
              </w:rPr>
              <w:t>分；</w:t>
            </w:r>
          </w:p>
          <w:p w14:paraId="06592C4D">
            <w:pPr>
              <w:numPr>
                <w:ilvl w:val="0"/>
                <w:numId w:val="3"/>
              </w:numPr>
              <w:spacing w:line="360" w:lineRule="auto"/>
              <w:ind w:left="425" w:leftChars="0" w:hanging="425" w:firstLineChars="0"/>
              <w:contextualSpacing/>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项目组成员具有中国信息安全测评中心颁发的注册渗透测试专家（CISP-PTS）证书</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 xml:space="preserve">得3分； </w:t>
            </w:r>
          </w:p>
          <w:p w14:paraId="7C10C7D2">
            <w:pPr>
              <w:pStyle w:val="2"/>
              <w:numPr>
                <w:ilvl w:val="0"/>
                <w:numId w:val="3"/>
              </w:numPr>
              <w:ind w:left="425" w:leftChars="0" w:hanging="425" w:firstLineChars="0"/>
              <w:rPr>
                <w:rFonts w:hint="eastAsia"/>
                <w:color w:val="auto"/>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项目组成员具有中国信息安全测评中心颁发的注册渗透测试工程师（CISP-PTE）证书</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NSATP-A（国家网络安全应用检测专业测评人员或注册网络渗透评估专业人员）</w:t>
            </w:r>
            <w:r>
              <w:rPr>
                <w:rFonts w:hint="eastAsia" w:ascii="仿宋" w:hAnsi="仿宋" w:eastAsia="仿宋" w:cs="仿宋"/>
                <w:color w:val="auto"/>
                <w:sz w:val="24"/>
                <w:szCs w:val="24"/>
                <w:highlight w:val="none"/>
                <w:lang w:val="en-US" w:eastAsia="zh-CN"/>
              </w:rPr>
              <w:t>的，得3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686E9DAA">
            <w:pPr>
              <w:numPr>
                <w:ilvl w:val="0"/>
                <w:numId w:val="3"/>
              </w:numPr>
              <w:spacing w:line="360" w:lineRule="auto"/>
              <w:ind w:left="425" w:leftChars="0" w:hanging="425" w:firstLineChars="0"/>
              <w:contextualSpacing/>
              <w:jc w:val="left"/>
              <w:rPr>
                <w:rFonts w:hint="eastAsia"/>
                <w:color w:val="auto"/>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项目组成员具有重要信息系统安全保护人员（CIIPT）证书</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得3分；</w:t>
            </w:r>
          </w:p>
          <w:p w14:paraId="482E42B5">
            <w:pPr>
              <w:numPr>
                <w:ilvl w:val="0"/>
                <w:numId w:val="3"/>
              </w:numPr>
              <w:spacing w:line="360" w:lineRule="auto"/>
              <w:ind w:left="425" w:leftChars="0" w:hanging="425" w:firstLineChars="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除项目经理外，项目组成员具有</w:t>
            </w:r>
            <w:r>
              <w:rPr>
                <w:rFonts w:hint="eastAsia" w:ascii="仿宋" w:hAnsi="仿宋" w:eastAsia="仿宋" w:cs="仿宋"/>
                <w:b w:val="0"/>
                <w:bCs w:val="0"/>
                <w:color w:val="auto"/>
                <w:sz w:val="24"/>
                <w:szCs w:val="24"/>
                <w:lang w:val="en-US" w:eastAsia="zh-CN"/>
              </w:rPr>
              <w:t>国际数据管理协会DMMA中国颁发的数据治理工程师证书的</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得3分；</w:t>
            </w:r>
          </w:p>
          <w:p w14:paraId="731A5239">
            <w:pPr>
              <w:numPr>
                <w:ilvl w:val="0"/>
                <w:numId w:val="3"/>
              </w:numPr>
              <w:spacing w:line="360" w:lineRule="auto"/>
              <w:ind w:left="425" w:leftChars="0" w:hanging="425" w:firstLineChars="0"/>
              <w:contextualSpacing/>
              <w:jc w:val="left"/>
              <w:rPr>
                <w:rFonts w:hint="eastAsia"/>
                <w:color w:val="auto"/>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项目组成员具有国家互联网应急中心颁发的CCSC网络安全能力认证证书</w:t>
            </w:r>
            <w:r>
              <w:rPr>
                <w:rFonts w:hint="eastAsia" w:ascii="仿宋" w:hAnsi="仿宋" w:eastAsia="仿宋" w:cs="仿宋"/>
                <w:color w:val="auto"/>
                <w:sz w:val="24"/>
                <w:szCs w:val="24"/>
                <w:highlight w:val="none"/>
                <w:lang w:val="en-US" w:eastAsia="zh-CN"/>
              </w:rPr>
              <w:t>的，得3分；</w:t>
            </w:r>
          </w:p>
          <w:p w14:paraId="4416CBEB">
            <w:pPr>
              <w:numPr>
                <w:ilvl w:val="0"/>
                <w:numId w:val="3"/>
              </w:numPr>
              <w:spacing w:line="360" w:lineRule="auto"/>
              <w:ind w:left="425" w:leftChars="0" w:hanging="425" w:firstLineChars="0"/>
              <w:contextualSpacing/>
              <w:jc w:val="left"/>
              <w:rPr>
                <w:rFonts w:hint="eastAsia"/>
                <w:color w:val="auto"/>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项目组成员具有CCRC数据安全官证书</w:t>
            </w:r>
            <w:r>
              <w:rPr>
                <w:rFonts w:hint="eastAsia" w:ascii="仿宋" w:hAnsi="仿宋" w:eastAsia="仿宋" w:cs="仿宋"/>
                <w:color w:val="auto"/>
                <w:sz w:val="24"/>
                <w:szCs w:val="24"/>
                <w:highlight w:val="none"/>
                <w:lang w:val="en-US" w:eastAsia="zh-CN"/>
              </w:rPr>
              <w:t>的，得2分；</w:t>
            </w:r>
          </w:p>
          <w:p w14:paraId="42234D23">
            <w:pPr>
              <w:numPr>
                <w:ilvl w:val="0"/>
                <w:numId w:val="3"/>
              </w:numPr>
              <w:spacing w:line="360" w:lineRule="auto"/>
              <w:ind w:left="425" w:leftChars="0" w:hanging="425" w:firstLineChars="0"/>
              <w:contextualSpacing/>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除项目经理外</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项目组成员具有具备工业和信息化部电子第五研究所颁发的密码安全工程师证书</w:t>
            </w:r>
            <w:r>
              <w:rPr>
                <w:rFonts w:hint="eastAsia" w:ascii="仿宋" w:hAnsi="仿宋" w:eastAsia="仿宋" w:cs="仿宋"/>
                <w:color w:val="auto"/>
                <w:sz w:val="24"/>
                <w:szCs w:val="24"/>
                <w:highlight w:val="none"/>
                <w:lang w:val="en-US" w:eastAsia="zh-CN"/>
              </w:rPr>
              <w:t>的，得2分；</w:t>
            </w:r>
          </w:p>
          <w:p w14:paraId="1871856E">
            <w:pPr>
              <w:numPr>
                <w:ilvl w:val="0"/>
                <w:numId w:val="3"/>
              </w:numPr>
              <w:spacing w:line="360" w:lineRule="auto"/>
              <w:ind w:left="425" w:leftChars="0" w:hanging="425" w:firstLineChars="0"/>
              <w:contextualSpacing/>
              <w:jc w:val="left"/>
              <w:rPr>
                <w:rFonts w:hint="eastAsia"/>
                <w:color w:val="auto"/>
              </w:rPr>
            </w:pPr>
            <w:r>
              <w:rPr>
                <w:rFonts w:hint="eastAsia" w:ascii="仿宋" w:hAnsi="仿宋" w:eastAsia="仿宋" w:cs="仿宋"/>
                <w:color w:val="auto"/>
                <w:sz w:val="24"/>
                <w:szCs w:val="24"/>
                <w:highlight w:val="none"/>
              </w:rPr>
              <w:t>除项目经理外，项目组成员中持有中国信息安全测评中心颁发</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注册信息安全工程师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CISE</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证书</w:t>
            </w:r>
            <w:r>
              <w:rPr>
                <w:rFonts w:hint="eastAsia" w:ascii="仿宋" w:hAnsi="仿宋" w:eastAsia="仿宋" w:cs="仿宋"/>
                <w:color w:val="auto"/>
                <w:sz w:val="24"/>
                <w:szCs w:val="24"/>
                <w:highlight w:val="none"/>
                <w:lang w:val="en-US" w:eastAsia="zh-CN"/>
              </w:rPr>
              <w:t>的，得2</w:t>
            </w:r>
            <w:r>
              <w:rPr>
                <w:rFonts w:hint="eastAsia" w:ascii="仿宋" w:hAnsi="仿宋" w:eastAsia="仿宋" w:cs="仿宋"/>
                <w:color w:val="auto"/>
                <w:sz w:val="24"/>
                <w:szCs w:val="24"/>
                <w:highlight w:val="none"/>
              </w:rPr>
              <w:t>分；</w:t>
            </w:r>
          </w:p>
          <w:p w14:paraId="4ED70F01">
            <w:pPr>
              <w:snapToGrid w:val="0"/>
              <w:spacing w:line="360" w:lineRule="auto"/>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 xml:space="preserve">证明材料： </w:t>
            </w:r>
          </w:p>
          <w:p w14:paraId="70962B5F">
            <w:pPr>
              <w:snapToGrid w:val="0"/>
              <w:spacing w:line="360" w:lineRule="auto"/>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1、提供拟派人员名单以及以上相关证明材料复印件并加盖供应商公章；</w:t>
            </w:r>
          </w:p>
          <w:p w14:paraId="4D4A4691">
            <w:pPr>
              <w:snapToGrid w:val="0"/>
              <w:spacing w:line="360" w:lineRule="auto"/>
              <w:jc w:val="left"/>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2、拟派人员为本单位正式员工，提供近期社保部门出具的供应商为其缴纳养老保险缴纳证明材料并加盖单位公章。</w:t>
            </w:r>
          </w:p>
        </w:tc>
      </w:tr>
    </w:tbl>
    <w:p w14:paraId="7E9BC693">
      <w:pPr>
        <w:autoSpaceDE w:val="0"/>
        <w:autoSpaceDN w:val="0"/>
        <w:adjustRightInd w:val="0"/>
        <w:snapToGrid w:val="0"/>
        <w:spacing w:line="360" w:lineRule="auto"/>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、价格分：</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0分</w:t>
      </w:r>
    </w:p>
    <w:p w14:paraId="01BE5E4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综合评分法中的价格分统一采用低价优先法计算，即满足磋商文件要求且最后报价最低的供应商的价格为磋商基准价，其价格分为满分。其他供应商的价格分统一按照下列公式计算：</w:t>
      </w:r>
    </w:p>
    <w:p w14:paraId="528748E6">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磋商报价得分=（磋商基准价/最后磋商报价）×</w:t>
      </w:r>
      <w:r>
        <w:rPr>
          <w:rFonts w:hint="eastAsia" w:ascii="仿宋" w:hAnsi="仿宋" w:eastAsia="仿宋" w:cs="仿宋"/>
          <w:sz w:val="28"/>
          <w:szCs w:val="28"/>
          <w:highlight w:val="none"/>
          <w:lang w:val="en-US" w:eastAsia="zh-CN"/>
        </w:rPr>
        <w:t>10</w:t>
      </w:r>
    </w:p>
    <w:p w14:paraId="397A5CF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项目评审过程中，不得去掉最后报价中的最高报价和最低报价。</w:t>
      </w:r>
    </w:p>
    <w:p w14:paraId="5E08F8DA">
      <w:pPr>
        <w:pStyle w:val="4"/>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八、采购项目落实的政府采购政策：</w:t>
      </w:r>
    </w:p>
    <w:p w14:paraId="4745265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1、根据财政部发布的《政府采购促进中小企业发展暂行办法》规定，本项目对小型和微型企业产品的价格给予10%的扣除。小微企业以供应商填写的《中小企业声明函》为判定标准，否则不予认定。</w:t>
      </w:r>
    </w:p>
    <w:p w14:paraId="0D0C2C9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根据财政部发布的《关于政府采购支持监狱企业发展有关问题的通知》规定，本项目对监狱企业产品的价格给予10%的扣除。监狱企业须供应商提供由省级以上监狱管理局、戒毒管理局（含新疆生产建设兵团）出具的属于监狱企业的证明文件，否则不予认定。</w:t>
      </w:r>
    </w:p>
    <w:p w14:paraId="75CB450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3、根据财政部、民政部、中国残疾人联合会发布的《关于促进残疾人就业政府采购政策的通知》规定，本项目对残疾人福利性单位产品的价格给予10%的扣除。（财库[2017]141号）</w:t>
      </w:r>
    </w:p>
    <w:p w14:paraId="2D0F07D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以上政策不重复享受。</w:t>
      </w:r>
    </w:p>
    <w:p w14:paraId="7E9DFB6D">
      <w:pPr>
        <w:pStyle w:val="4"/>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九、中标人的确定</w:t>
      </w:r>
    </w:p>
    <w:p w14:paraId="50FA850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14:paraId="3E90B319">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14:paraId="0CBF4E41">
      <w:pPr>
        <w:pStyle w:val="4"/>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十、其他注意事项</w:t>
      </w:r>
    </w:p>
    <w:p w14:paraId="6E50F6C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1、在投标、开标时间，供应商不得向评委询问情况，不得进行旨在影响评标结果的活动。</w:t>
      </w:r>
    </w:p>
    <w:p w14:paraId="1C39C4E8">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2、评委会不得向供应商解释落标原因。</w:t>
      </w:r>
    </w:p>
    <w:p w14:paraId="58063BC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3、在投标、评标过程中，如果供应商联合故意抬高报价或出现其他不正当行为，采购人有权中止投标或评标。</w:t>
      </w:r>
    </w:p>
    <w:p w14:paraId="55F669A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4、凡在投标、开标过程中，采购人已提示是否存在异议的事项，供应商当时没有提出异议的，事后供应商不得针对上述事项提出质疑。</w:t>
      </w:r>
    </w:p>
    <w:p w14:paraId="517554D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十一、中标通知</w:t>
      </w:r>
    </w:p>
    <w:p w14:paraId="1D45602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中标结果在网站上公示</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个工作日。《中标通知书》一经发出，如采购单位改变中标结果，或者中标供应商放弃中标的，各自承担相应的法律责任。《中标通知书》是采购合同的组成部分。</w:t>
      </w:r>
    </w:p>
    <w:p w14:paraId="0987798A">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14:paraId="2D4E58C8">
      <w:pPr>
        <w:pStyle w:val="3"/>
        <w:rPr>
          <w:color w:val="000000" w:themeColor="text1"/>
          <w14:textFill>
            <w14:solidFill>
              <w14:schemeClr w14:val="tx1"/>
            </w14:solidFill>
          </w14:textFill>
        </w:rPr>
      </w:pPr>
      <w:bookmarkStart w:id="10" w:name="_Toc177570064"/>
      <w:bookmarkStart w:id="11" w:name="_Toc99106006"/>
      <w:r>
        <w:rPr>
          <w:rFonts w:hint="eastAsia"/>
          <w:color w:val="000000" w:themeColor="text1"/>
          <w14:textFill>
            <w14:solidFill>
              <w14:schemeClr w14:val="tx1"/>
            </w14:solidFill>
          </w14:textFill>
        </w:rPr>
        <w:t>第五章 合同签订与验收付款</w:t>
      </w:r>
      <w:bookmarkEnd w:id="10"/>
      <w:bookmarkEnd w:id="11"/>
    </w:p>
    <w:p w14:paraId="31B0CC9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一、中标供应商在接到《中标通知书》后</w:t>
      </w: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14:paraId="66A5B82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bookmarkStart w:id="12" w:name="OLE_LINK2"/>
      <w:bookmarkStart w:id="13" w:name="OLE_LINK1"/>
      <w:r>
        <w:rPr>
          <w:rFonts w:hint="eastAsia" w:ascii="仿宋" w:hAnsi="仿宋" w:eastAsia="仿宋" w:cs="仿宋"/>
          <w:color w:val="000000" w:themeColor="text1"/>
          <w:sz w:val="28"/>
          <w:szCs w:val="28"/>
          <w14:textFill>
            <w14:solidFill>
              <w14:schemeClr w14:val="tx1"/>
            </w14:solidFill>
          </w14:textFill>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14:paraId="7E97E28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3DA2DC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中标供应商出现违约情形，应当及时纠正或补偿；造成损失的，按合同约定追究违约责任；发现有假冒、伪劣、走私产品、商业贿赂等违法情形的，应由采购单位移交工商、质监、公安等行政执法部门依法查处。</w:t>
      </w:r>
    </w:p>
    <w:p w14:paraId="041A47B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五、不响应付款方式的，视同无效投标处理。</w:t>
      </w:r>
    </w:p>
    <w:p w14:paraId="7F3E01F5">
      <w:pPr>
        <w:pStyle w:val="2"/>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提交测评报告后,采购人于10个工作日内一次性支付合同金额</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款项由采购人按相关财务支付规定办理支付手续。不得故意拖延支付时间。</w:t>
      </w:r>
      <w:bookmarkEnd w:id="12"/>
      <w:bookmarkEnd w:id="13"/>
    </w:p>
    <w:p w14:paraId="08DE02FA">
      <w:pPr>
        <w:pStyle w:val="3"/>
        <w:rPr>
          <w:color w:val="000000" w:themeColor="text1"/>
          <w14:textFill>
            <w14:solidFill>
              <w14:schemeClr w14:val="tx1"/>
            </w14:solidFill>
          </w14:textFill>
        </w:rPr>
      </w:pPr>
      <w:bookmarkStart w:id="14" w:name="_Toc177570065"/>
      <w:bookmarkStart w:id="15" w:name="_Toc99106007"/>
      <w:r>
        <w:rPr>
          <w:rFonts w:hint="eastAsia"/>
          <w:color w:val="000000" w:themeColor="text1"/>
          <w14:textFill>
            <w14:solidFill>
              <w14:schemeClr w14:val="tx1"/>
            </w14:solidFill>
          </w14:textFill>
        </w:rPr>
        <w:t>第六章 质疑提出和处理</w:t>
      </w:r>
      <w:bookmarkEnd w:id="14"/>
      <w:bookmarkEnd w:id="15"/>
    </w:p>
    <w:p w14:paraId="4824E4B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一、质疑的提出</w:t>
      </w:r>
    </w:p>
    <w:p w14:paraId="4A68488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1、质疑人必须是直接参加本次招标活动的当事人。</w:t>
      </w:r>
    </w:p>
    <w:p w14:paraId="1DB263E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14:paraId="5FAEF24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59250F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938B0C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对不能提供相关佐证材料的、涉及商业秘密的、非书面形式的、非送达的、匿名的《质疑函》将不予受理。</w:t>
      </w:r>
    </w:p>
    <w:p w14:paraId="3EE3949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相关佐证材料要具备客观性、关联性、合法性，无法查实的（如宣传册、媒体报道、猜测、推理等）不能作为佐证材料。</w:t>
      </w:r>
    </w:p>
    <w:p w14:paraId="3BC8692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采购人、采购单位不负责搜集相关佐证材料等工作。</w:t>
      </w:r>
    </w:p>
    <w:p w14:paraId="1277DB0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二、《质疑函》的受理和回复</w:t>
      </w:r>
    </w:p>
    <w:p w14:paraId="1B19B8A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1、《质疑函》须由质疑人的法定代表人或参加本次招标授权人送达采购单位和采购人。</w:t>
      </w:r>
    </w:p>
    <w:p w14:paraId="44CD280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14:paraId="0D861E3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3、对不符合提出质疑要求的，出具《质疑退回通知书》并提出相关补充材料要求，质疑人未在规定的时间内提供补充佐证材料的，视同放弃质疑。</w:t>
      </w:r>
    </w:p>
    <w:p w14:paraId="6D42E7B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4、采购单位、采购人负责将质疑人提出的质疑相关材料提供给相关专家或评委审核，并将审核意见回复质疑人。</w:t>
      </w:r>
    </w:p>
    <w:p w14:paraId="3AC15F3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276E3F6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5、因质疑情况复杂，组织论证或审查时间较长的，采购单位、采购人以书面形式通知质疑人，可适当延长质疑回复处理时间。</w:t>
      </w:r>
    </w:p>
    <w:p w14:paraId="4B8359B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三、质疑处理</w:t>
      </w:r>
    </w:p>
    <w:p w14:paraId="0916832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1、质疑成立的处理。采购人终止采购，并建议有关部门给相关当事人予以处理。</w:t>
      </w:r>
    </w:p>
    <w:p w14:paraId="3FB21A5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2、质疑不成立的处理。</w:t>
      </w:r>
    </w:p>
    <w:p w14:paraId="2EA8D3F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1）质疑人书面《申请撤回质疑函》的，不作违约处理。</w:t>
      </w:r>
    </w:p>
    <w:p w14:paraId="1DD8A79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2）质疑人在规定的时间内不配合进行质疑调查处理的，按自动撤回《质疑函》处理。</w:t>
      </w:r>
    </w:p>
    <w:p w14:paraId="1BA10A5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3）质疑人不按《质疑函》格式就提出质疑的，作违约处理。采购人有权收取其保证金的10%作为违约金；同时，视情列入不良供应商名单。</w:t>
      </w:r>
    </w:p>
    <w:p w14:paraId="0C15987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疑人虽提供了相关佐证材料，但不能证明其质疑成立的，采购人请质疑人补充相关佐证材料，仍不能证明其质疑成立的，作违约处理。采购人有权收取其保证金的50%作为违约金；同时，列入不良供应商名单。</w:t>
      </w:r>
    </w:p>
    <w:p w14:paraId="3386312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5）质疑人不能提供相关佐证材料的，采购人已指出，质疑人仍然坚持提出质疑的，作违约处理。采购人有权收取其保证金的100%作为违约金；取消相应会员资格6个月，同时，列入不良供应商名单。</w:t>
      </w:r>
    </w:p>
    <w:p w14:paraId="3E18293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14:paraId="3FF1F57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7）质疑人承担使用虚假材料或恶意方式质疑的法律责任。</w:t>
      </w:r>
    </w:p>
    <w:p w14:paraId="406322A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14:paraId="36348E7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14:paraId="194A87D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六、《质疑函》、《质疑回复函》，质疑、举报、投诉不成立的等相关情况，视情在南通市公共资源交易网及省、国家级等相关媒体予以披露。并建议相关政府采购机构对该供应商同步实施1至3年内禁入。</w:t>
      </w:r>
    </w:p>
    <w:p w14:paraId="5B49C1FB">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br w:type="page"/>
      </w:r>
    </w:p>
    <w:p w14:paraId="37A39E97">
      <w:pPr>
        <w:pStyle w:val="3"/>
        <w:rPr>
          <w:color w:val="000000" w:themeColor="text1"/>
          <w14:textFill>
            <w14:solidFill>
              <w14:schemeClr w14:val="tx1"/>
            </w14:solidFill>
          </w14:textFill>
        </w:rPr>
      </w:pPr>
      <w:bookmarkStart w:id="16" w:name="_Toc177570066"/>
      <w:bookmarkStart w:id="17" w:name="_Toc99106008"/>
      <w:r>
        <w:rPr>
          <w:rFonts w:hint="eastAsia"/>
          <w:color w:val="000000" w:themeColor="text1"/>
          <w14:textFill>
            <w14:solidFill>
              <w14:schemeClr w14:val="tx1"/>
            </w14:solidFill>
          </w14:textFill>
        </w:rPr>
        <w:t>第七章 投标文件组成</w:t>
      </w:r>
      <w:bookmarkEnd w:id="16"/>
      <w:bookmarkEnd w:id="17"/>
    </w:p>
    <w:p w14:paraId="1B07C9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bookmarkStart w:id="18" w:name="_Toc167781240"/>
      <w:r>
        <w:rPr>
          <w:rFonts w:hint="eastAsia" w:ascii="仿宋" w:hAnsi="仿宋" w:eastAsia="仿宋" w:cs="仿宋"/>
          <w:color w:val="000000" w:themeColor="text1"/>
          <w:sz w:val="28"/>
          <w:szCs w:val="28"/>
          <w14:textFill>
            <w14:solidFill>
              <w14:schemeClr w14:val="tx1"/>
            </w14:solidFill>
          </w14:textFill>
        </w:rPr>
        <w:t>投标文件由资格审查证明材料、商务技术文件、报价文件三部分组成。</w:t>
      </w:r>
    </w:p>
    <w:p w14:paraId="20D0CD6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0565E1F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309B3F0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4ECE28D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5601A18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179DFD8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2313DCD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4C0BF1C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、响应函（见附件）；</w:t>
      </w:r>
    </w:p>
    <w:p w14:paraId="0148538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4EB9979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40F9807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3EC2C0F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50713B6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2301252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7DFA31B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0252F5D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79480EB9">
      <w:pPr>
        <w:keepNext/>
        <w:keepLines/>
        <w:spacing w:before="156" w:after="156" w:line="360" w:lineRule="auto"/>
        <w:jc w:val="left"/>
        <w:outlineLvl w:val="0"/>
        <w:rPr>
          <w:rFonts w:ascii="仿宋" w:hAnsi="仿宋" w:eastAsia="仿宋" w:cs="仿宋"/>
          <w:b/>
          <w:bCs/>
          <w:color w:val="000000" w:themeColor="text1"/>
          <w:kern w:val="44"/>
          <w:sz w:val="32"/>
          <w:szCs w:val="32"/>
          <w14:textFill>
            <w14:solidFill>
              <w14:schemeClr w14:val="tx1"/>
            </w14:solidFill>
          </w14:textFill>
        </w:rPr>
      </w:pPr>
      <w:bookmarkStart w:id="19" w:name="_Toc177570067"/>
      <w:r>
        <w:rPr>
          <w:rFonts w:hint="eastAsia" w:ascii="仿宋" w:hAnsi="仿宋" w:eastAsia="仿宋" w:cs="仿宋"/>
          <w:b/>
          <w:bCs/>
          <w:color w:val="000000" w:themeColor="text1"/>
          <w:kern w:val="44"/>
          <w:sz w:val="32"/>
          <w:szCs w:val="32"/>
          <w14:textFill>
            <w14:solidFill>
              <w14:schemeClr w14:val="tx1"/>
            </w14:solidFill>
          </w14:textFill>
        </w:rPr>
        <w:t>附件</w:t>
      </w:r>
      <w:bookmarkEnd w:id="18"/>
      <w:bookmarkEnd w:id="19"/>
    </w:p>
    <w:p w14:paraId="5C69C1EC">
      <w:pPr>
        <w:rPr>
          <w:rFonts w:ascii="仿宋" w:hAnsi="仿宋" w:eastAsia="仿宋"/>
          <w:color w:val="000000" w:themeColor="text1"/>
          <w14:textFill>
            <w14:solidFill>
              <w14:schemeClr w14:val="tx1"/>
            </w14:solidFill>
          </w14:textFill>
        </w:rPr>
      </w:pPr>
    </w:p>
    <w:p w14:paraId="6041582B">
      <w:pPr>
        <w:rPr>
          <w:rFonts w:ascii="仿宋" w:hAnsi="仿宋" w:eastAsia="仿宋"/>
          <w:color w:val="000000" w:themeColor="text1"/>
          <w14:textFill>
            <w14:solidFill>
              <w14:schemeClr w14:val="tx1"/>
            </w14:solidFill>
          </w14:textFill>
        </w:rPr>
      </w:pPr>
    </w:p>
    <w:p w14:paraId="45E056DE">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一、法定代表人身份证明书</w:t>
      </w:r>
    </w:p>
    <w:p w14:paraId="4A71560B">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p>
    <w:p w14:paraId="78FEC433">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先生/女士：现任我单位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职务，为法定代表人，特此证明。</w:t>
      </w:r>
    </w:p>
    <w:p w14:paraId="60B9E16B">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身份证号码：</w:t>
      </w:r>
      <w:r>
        <w:rPr>
          <w:rFonts w:hint="eastAsia" w:ascii="仿宋" w:hAnsi="仿宋" w:eastAsia="仿宋"/>
          <w:color w:val="000000" w:themeColor="text1"/>
          <w:sz w:val="28"/>
          <w:szCs w:val="28"/>
          <w:u w:val="single"/>
          <w14:textFill>
            <w14:solidFill>
              <w14:schemeClr w14:val="tx1"/>
            </w14:solidFill>
          </w14:textFill>
        </w:rPr>
        <w:t xml:space="preserve">                    </w:t>
      </w:r>
    </w:p>
    <w:p w14:paraId="5609C0AD">
      <w:pPr>
        <w:widowControl/>
        <w:spacing w:line="360" w:lineRule="auto"/>
        <w:jc w:val="left"/>
        <w:rPr>
          <w:rFonts w:ascii="仿宋" w:hAnsi="仿宋" w:eastAsia="仿宋"/>
          <w:color w:val="000000" w:themeColor="text1"/>
          <w:sz w:val="28"/>
          <w:szCs w:val="28"/>
          <w14:textFill>
            <w14:solidFill>
              <w14:schemeClr w14:val="tx1"/>
            </w14:solidFill>
          </w14:textFill>
        </w:rPr>
      </w:pPr>
    </w:p>
    <w:p w14:paraId="4F31A1E3">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注：提供法定代表人的身份证复印件并加盖公章</w:t>
      </w:r>
    </w:p>
    <w:p w14:paraId="3E1C50AA">
      <w:pPr>
        <w:spacing w:line="360" w:lineRule="auto"/>
        <w:ind w:firstLine="560"/>
        <w:rPr>
          <w:rFonts w:ascii="仿宋" w:hAnsi="仿宋" w:eastAsia="仿宋"/>
          <w:color w:val="000000" w:themeColor="text1"/>
          <w:szCs w:val="24"/>
          <w14:textFill>
            <w14:solidFill>
              <w14:schemeClr w14:val="tx1"/>
            </w14:solidFill>
          </w14:textFill>
        </w:rPr>
      </w:pPr>
    </w:p>
    <w:p w14:paraId="5F4F635F">
      <w:pPr>
        <w:spacing w:line="360" w:lineRule="auto"/>
        <w:ind w:firstLine="560"/>
        <w:rPr>
          <w:rFonts w:ascii="仿宋" w:hAnsi="仿宋" w:eastAsia="仿宋"/>
          <w:color w:val="000000" w:themeColor="text1"/>
          <w:szCs w:val="24"/>
          <w14:textFill>
            <w14:solidFill>
              <w14:schemeClr w14:val="tx1"/>
            </w14:solidFill>
          </w14:textFill>
        </w:rPr>
      </w:pPr>
    </w:p>
    <w:p w14:paraId="03A416A5">
      <w:pPr>
        <w:spacing w:line="360" w:lineRule="auto"/>
        <w:ind w:firstLine="560"/>
        <w:rPr>
          <w:rFonts w:ascii="仿宋" w:hAnsi="仿宋" w:eastAsia="仿宋"/>
          <w:color w:val="000000" w:themeColor="text1"/>
          <w:szCs w:val="24"/>
          <w14:textFill>
            <w14:solidFill>
              <w14:schemeClr w14:val="tx1"/>
            </w14:solidFill>
          </w14:textFill>
        </w:rPr>
      </w:pPr>
    </w:p>
    <w:p w14:paraId="49057755">
      <w:pPr>
        <w:spacing w:line="360" w:lineRule="auto"/>
        <w:ind w:firstLine="560"/>
        <w:rPr>
          <w:rFonts w:ascii="仿宋" w:hAnsi="仿宋" w:eastAsia="仿宋"/>
          <w:color w:val="000000" w:themeColor="text1"/>
          <w:szCs w:val="24"/>
          <w14:textFill>
            <w14:solidFill>
              <w14:schemeClr w14:val="tx1"/>
            </w14:solidFill>
          </w14:textFill>
        </w:rPr>
      </w:pPr>
    </w:p>
    <w:p w14:paraId="71BFC4FA">
      <w:pPr>
        <w:spacing w:line="360" w:lineRule="auto"/>
        <w:ind w:firstLine="560"/>
        <w:rPr>
          <w:rFonts w:ascii="仿宋" w:hAnsi="仿宋" w:eastAsia="仿宋"/>
          <w:color w:val="000000" w:themeColor="text1"/>
          <w:szCs w:val="24"/>
          <w14:textFill>
            <w14:solidFill>
              <w14:schemeClr w14:val="tx1"/>
            </w14:solidFill>
          </w14:textFill>
        </w:rPr>
      </w:pPr>
    </w:p>
    <w:p w14:paraId="64F4A780">
      <w:pPr>
        <w:spacing w:line="360" w:lineRule="auto"/>
        <w:ind w:firstLine="560"/>
        <w:rPr>
          <w:rFonts w:ascii="仿宋" w:hAnsi="仿宋" w:eastAsia="仿宋"/>
          <w:color w:val="000000" w:themeColor="text1"/>
          <w:szCs w:val="24"/>
          <w14:textFill>
            <w14:solidFill>
              <w14:schemeClr w14:val="tx1"/>
            </w14:solidFill>
          </w14:textFill>
        </w:rPr>
      </w:pPr>
    </w:p>
    <w:p w14:paraId="18CABCEF">
      <w:pPr>
        <w:spacing w:line="360" w:lineRule="auto"/>
        <w:ind w:firstLine="560"/>
        <w:rPr>
          <w:rFonts w:ascii="仿宋" w:hAnsi="仿宋" w:eastAsia="仿宋"/>
          <w:color w:val="000000" w:themeColor="text1"/>
          <w:szCs w:val="24"/>
          <w14:textFill>
            <w14:solidFill>
              <w14:schemeClr w14:val="tx1"/>
            </w14:solidFill>
          </w14:textFill>
        </w:rPr>
      </w:pPr>
    </w:p>
    <w:p w14:paraId="34BED1BA">
      <w:pPr>
        <w:spacing w:line="360" w:lineRule="auto"/>
        <w:ind w:firstLine="560"/>
        <w:rPr>
          <w:rFonts w:ascii="仿宋" w:hAnsi="仿宋" w:eastAsia="仿宋"/>
          <w:color w:val="000000" w:themeColor="text1"/>
          <w:szCs w:val="24"/>
          <w14:textFill>
            <w14:solidFill>
              <w14:schemeClr w14:val="tx1"/>
            </w14:solidFill>
          </w14:textFill>
        </w:rPr>
      </w:pPr>
    </w:p>
    <w:p w14:paraId="17808931">
      <w:pPr>
        <w:spacing w:line="360" w:lineRule="auto"/>
        <w:ind w:firstLine="560"/>
        <w:rPr>
          <w:rFonts w:ascii="仿宋" w:hAnsi="仿宋" w:eastAsia="仿宋"/>
          <w:color w:val="000000" w:themeColor="text1"/>
          <w:szCs w:val="24"/>
          <w14:textFill>
            <w14:solidFill>
              <w14:schemeClr w14:val="tx1"/>
            </w14:solidFill>
          </w14:textFill>
        </w:rPr>
      </w:pPr>
    </w:p>
    <w:p w14:paraId="391BCE41">
      <w:pPr>
        <w:spacing w:line="360" w:lineRule="auto"/>
        <w:ind w:firstLine="560"/>
        <w:rPr>
          <w:rFonts w:ascii="仿宋" w:hAnsi="仿宋" w:eastAsia="仿宋"/>
          <w:color w:val="000000" w:themeColor="text1"/>
          <w:szCs w:val="24"/>
          <w14:textFill>
            <w14:solidFill>
              <w14:schemeClr w14:val="tx1"/>
            </w14:solidFill>
          </w14:textFill>
        </w:rPr>
      </w:pPr>
    </w:p>
    <w:p w14:paraId="7AC468F4">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5BFB5492">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二、法定代表人授权委托书</w:t>
      </w:r>
    </w:p>
    <w:p w14:paraId="53E84FA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1244F272">
      <w:pPr>
        <w:widowControl/>
        <w:spacing w:line="360" w:lineRule="auto"/>
        <w:ind w:left="105" w:leftChars="50"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本授权书声明：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（供应商名称）授权</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（被授权人的姓名）为我方就</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采购活动的合法代理人，以本公司名义全权处理一切与该项目采购有关的事务。</w:t>
      </w:r>
    </w:p>
    <w:p w14:paraId="7A15B00A">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日起生效，特此声明。</w:t>
      </w:r>
    </w:p>
    <w:p w14:paraId="2D0F6B6A">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43989E0B">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法定代表人（签字或盖章）：</w:t>
      </w:r>
      <w:r>
        <w:rPr>
          <w:rFonts w:hint="eastAsia" w:ascii="仿宋" w:hAnsi="仿宋" w:eastAsia="仿宋"/>
          <w:color w:val="000000" w:themeColor="text1"/>
          <w:sz w:val="28"/>
          <w:szCs w:val="28"/>
          <w:u w:val="single"/>
          <w14:textFill>
            <w14:solidFill>
              <w14:schemeClr w14:val="tx1"/>
            </w14:solidFill>
          </w14:textFill>
        </w:rPr>
        <w:t xml:space="preserve">    </w:t>
      </w:r>
    </w:p>
    <w:p w14:paraId="50F3F25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授权人（签字）：               </w:t>
      </w:r>
    </w:p>
    <w:p w14:paraId="39A51ED1">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0E9C13A4">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授权单位盖章：</w:t>
      </w:r>
      <w:r>
        <w:rPr>
          <w:rFonts w:hint="eastAsia" w:ascii="仿宋" w:hAnsi="仿宋" w:eastAsia="仿宋"/>
          <w:color w:val="000000" w:themeColor="text1"/>
          <w:sz w:val="28"/>
          <w:szCs w:val="28"/>
          <w:u w:val="single"/>
          <w14:textFill>
            <w14:solidFill>
              <w14:schemeClr w14:val="tx1"/>
            </w14:solidFill>
          </w14:textFill>
        </w:rPr>
        <w:t xml:space="preserve"> </w:t>
      </w:r>
    </w:p>
    <w:p w14:paraId="14AA3AA5">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61988B08">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color w:val="000000" w:themeColor="text1"/>
          <w:sz w:val="28"/>
          <w:szCs w:val="28"/>
          <w:u w:val="single"/>
          <w14:textFill>
            <w14:solidFill>
              <w14:schemeClr w14:val="tx1"/>
            </w14:solidFill>
          </w14:textFill>
        </w:rPr>
        <w:t xml:space="preserve">   </w:t>
      </w:r>
    </w:p>
    <w:p w14:paraId="341A898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日期：</w:t>
      </w:r>
      <w:r>
        <w:rPr>
          <w:rFonts w:hint="eastAsia" w:ascii="仿宋" w:hAnsi="仿宋" w:eastAsia="仿宋"/>
          <w:color w:val="000000" w:themeColor="text1"/>
          <w:sz w:val="28"/>
          <w:szCs w:val="28"/>
          <w:u w:val="single"/>
          <w14:textFill>
            <w14:solidFill>
              <w14:schemeClr w14:val="tx1"/>
            </w14:solidFill>
          </w14:textFill>
        </w:rPr>
        <w:t xml:space="preserve">                  </w:t>
      </w:r>
    </w:p>
    <w:p w14:paraId="7919B3EF">
      <w:pPr>
        <w:widowControl/>
        <w:spacing w:line="360" w:lineRule="auto"/>
        <w:jc w:val="left"/>
        <w:rPr>
          <w:rFonts w:ascii="仿宋" w:hAnsi="仿宋" w:eastAsia="仿宋"/>
          <w:color w:val="000000" w:themeColor="text1"/>
          <w:sz w:val="28"/>
          <w:szCs w:val="28"/>
          <w14:textFill>
            <w14:solidFill>
              <w14:schemeClr w14:val="tx1"/>
            </w14:solidFill>
          </w14:textFill>
        </w:rPr>
      </w:pPr>
    </w:p>
    <w:p w14:paraId="6A18E01E">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附：被授权人身份证复印件证明</w:t>
      </w:r>
    </w:p>
    <w:p w14:paraId="575AC852">
      <w:pPr>
        <w:spacing w:line="360" w:lineRule="auto"/>
        <w:ind w:firstLine="560"/>
        <w:rPr>
          <w:rFonts w:ascii="仿宋" w:hAnsi="仿宋" w:eastAsia="仿宋"/>
          <w:color w:val="000000" w:themeColor="text1"/>
          <w:sz w:val="28"/>
          <w:szCs w:val="28"/>
          <w14:textFill>
            <w14:solidFill>
              <w14:schemeClr w14:val="tx1"/>
            </w14:solidFill>
          </w14:textFill>
        </w:rPr>
      </w:pPr>
    </w:p>
    <w:p w14:paraId="50C3E16E">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05AC2B88">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三、符合《政府采购法》第二十二条要求的承诺函</w:t>
      </w:r>
    </w:p>
    <w:p w14:paraId="390EA978">
      <w:pPr>
        <w:spacing w:line="360" w:lineRule="auto"/>
        <w:ind w:firstLine="600"/>
        <w:rPr>
          <w:rFonts w:ascii="仿宋" w:hAnsi="仿宋" w:eastAsia="仿宋" w:cs="仿宋"/>
          <w:color w:val="000000" w:themeColor="text1"/>
          <w:kern w:val="0"/>
          <w:sz w:val="30"/>
          <w:szCs w:val="30"/>
          <w14:textFill>
            <w14:solidFill>
              <w14:schemeClr w14:val="tx1"/>
            </w14:solidFill>
          </w14:textFill>
        </w:rPr>
      </w:pPr>
    </w:p>
    <w:p w14:paraId="028828C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p w14:paraId="3C90248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0D5C2D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23A03EE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59A998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2700EBC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6962331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法定代表人或被委托授权人（签字或盖章）：</w:t>
      </w:r>
    </w:p>
    <w:p w14:paraId="774E041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06FFDC4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（投标供应商）公章：</w:t>
      </w:r>
    </w:p>
    <w:p w14:paraId="20B2FF7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0E003AE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  月 </w:t>
      </w:r>
      <w:r>
        <w:rPr>
          <w:rFonts w:hint="eastAsia" w:ascii="仿宋" w:hAnsi="仿宋" w:eastAsia="仿宋" w:cs="仿宋"/>
          <w:color w:val="000000" w:themeColor="text1"/>
          <w:sz w:val="28"/>
          <w:szCs w:val="28"/>
          <w14:textFill>
            <w14:solidFill>
              <w14:schemeClr w14:val="tx1"/>
            </w14:solidFill>
          </w14:textFill>
        </w:rPr>
        <w:tab/>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39DF5C65">
      <w:pPr>
        <w:spacing w:line="360" w:lineRule="auto"/>
        <w:rPr>
          <w:rFonts w:ascii="仿宋" w:hAnsi="仿宋" w:eastAsia="仿宋" w:cs="仿宋"/>
          <w:color w:val="000000" w:themeColor="text1"/>
          <w:sz w:val="28"/>
          <w:szCs w:val="28"/>
          <w14:textFill>
            <w14:solidFill>
              <w14:schemeClr w14:val="tx1"/>
            </w14:solidFill>
          </w14:textFill>
        </w:rPr>
      </w:pPr>
    </w:p>
    <w:p w14:paraId="48E8714C">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84F4BF3">
      <w:pPr>
        <w:keepNext/>
        <w:keepLines/>
        <w:spacing w:before="156" w:after="156" w:line="416" w:lineRule="auto"/>
        <w:ind w:firstLine="562"/>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四、投标承诺书</w:t>
      </w:r>
    </w:p>
    <w:p w14:paraId="35216CDD">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招标方名称：</w:t>
      </w:r>
    </w:p>
    <w:p w14:paraId="5E5A2DF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（投标单位全称）授权（姓  名）（职  务）为全权代表，参加（项目名称）招标的有关活动，并宣布同意如下：</w:t>
      </w:r>
    </w:p>
    <w:p w14:paraId="44A2CBE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1．我方愿意按照招标文件的全部要求进行投标（投标内容及价格以投标文件为准）。</w:t>
      </w:r>
    </w:p>
    <w:p w14:paraId="34752EF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2．我方完全理解并同意放弃对招标文件有不明及误解的权利。</w:t>
      </w:r>
    </w:p>
    <w:p w14:paraId="0E978F9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3．我方将按招标文件的规定履行合同责任和义务。</w:t>
      </w:r>
    </w:p>
    <w:p w14:paraId="676CC09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4．如果我方在投标有效期内撤回投标，投标保证金将被贵方没收。</w:t>
      </w:r>
    </w:p>
    <w:p w14:paraId="5224484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5．我方同意提供按照贵方可能要求的与其投标有关的一切数据或资料。</w:t>
      </w:r>
    </w:p>
    <w:p w14:paraId="54F692B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6．我方的投标书自开标后60天内有效</w:t>
      </w:r>
    </w:p>
    <w:p w14:paraId="1266F05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7．与本投标有关的一切往来通讯请寄：</w:t>
      </w:r>
    </w:p>
    <w:p w14:paraId="121EF12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　　　　　　　　　　　　　邮编：</w:t>
      </w:r>
    </w:p>
    <w:p w14:paraId="4815495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　　　　　　　　　　　　　传真：</w:t>
      </w:r>
    </w:p>
    <w:p w14:paraId="73AA897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授权委托人签字：　　　　　　　　职务：</w:t>
      </w:r>
    </w:p>
    <w:p w14:paraId="70682FF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投标单位：（加盖单位公章）</w:t>
      </w:r>
    </w:p>
    <w:p w14:paraId="6804BDE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年     月      日　　</w:t>
      </w:r>
    </w:p>
    <w:p w14:paraId="18F6BA36">
      <w:pPr>
        <w:spacing w:line="360" w:lineRule="auto"/>
        <w:ind w:firstLine="560"/>
        <w:rPr>
          <w:rFonts w:ascii="仿宋" w:hAnsi="仿宋" w:eastAsia="仿宋"/>
          <w:color w:val="000000" w:themeColor="text1"/>
          <w:szCs w:val="24"/>
          <w14:textFill>
            <w14:solidFill>
              <w14:schemeClr w14:val="tx1"/>
            </w14:solidFill>
          </w14:textFill>
        </w:rPr>
      </w:pPr>
    </w:p>
    <w:p w14:paraId="4C527B4A">
      <w:pPr>
        <w:spacing w:line="360" w:lineRule="auto"/>
        <w:ind w:firstLine="560"/>
        <w:rPr>
          <w:rFonts w:ascii="仿宋" w:hAnsi="仿宋" w:eastAsia="仿宋"/>
          <w:color w:val="000000" w:themeColor="text1"/>
          <w:szCs w:val="24"/>
          <w14:textFill>
            <w14:solidFill>
              <w14:schemeClr w14:val="tx1"/>
            </w14:solidFill>
          </w14:textFill>
        </w:rPr>
      </w:pPr>
    </w:p>
    <w:p w14:paraId="13509F46">
      <w:pPr>
        <w:spacing w:line="360" w:lineRule="auto"/>
        <w:ind w:firstLine="560"/>
        <w:rPr>
          <w:rFonts w:ascii="仿宋" w:hAnsi="仿宋" w:eastAsia="仿宋"/>
          <w:color w:val="000000" w:themeColor="text1"/>
          <w:szCs w:val="24"/>
          <w14:textFill>
            <w14:solidFill>
              <w14:schemeClr w14:val="tx1"/>
            </w14:solidFill>
          </w14:textFill>
        </w:rPr>
      </w:pPr>
    </w:p>
    <w:p w14:paraId="16FB0EA8">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386E0EC9">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中小企业声明函（工程、服务）</w:t>
      </w:r>
    </w:p>
    <w:p w14:paraId="713A00FF">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8"/>
          <w:szCs w:val="28"/>
          <w:u w:val="single"/>
          <w:lang w:bidi="zh-CN"/>
          <w14:textFill>
            <w14:solidFill>
              <w14:schemeClr w14:val="tx1"/>
            </w14:solidFill>
          </w14:textFill>
        </w:rPr>
        <w:t>（单位名称）</w:t>
      </w:r>
      <w:r>
        <w:rPr>
          <w:rFonts w:hint="eastAsia" w:ascii="仿宋" w:hAnsi="仿宋" w:eastAsia="仿宋" w:cs="仿宋"/>
          <w:color w:val="000000" w:themeColor="text1"/>
          <w:sz w:val="28"/>
          <w:szCs w:val="28"/>
          <w:lang w:bidi="zh-CN"/>
          <w14:textFill>
            <w14:solidFill>
              <w14:schemeClr w14:val="tx1"/>
            </w14:solidFill>
          </w14:textFill>
        </w:rPr>
        <w:t>的</w:t>
      </w:r>
      <w:r>
        <w:rPr>
          <w:rFonts w:hint="eastAsia" w:ascii="仿宋" w:hAnsi="仿宋" w:eastAsia="仿宋" w:cs="仿宋"/>
          <w:color w:val="000000" w:themeColor="text1"/>
          <w:sz w:val="28"/>
          <w:szCs w:val="28"/>
          <w:u w:val="single"/>
          <w:lang w:bidi="zh-CN"/>
          <w14:textFill>
            <w14:solidFill>
              <w14:schemeClr w14:val="tx1"/>
            </w14:solidFill>
          </w14:textFill>
        </w:rPr>
        <w:t>（项目名称）</w:t>
      </w:r>
      <w:r>
        <w:rPr>
          <w:rFonts w:hint="eastAsia" w:ascii="仿宋" w:hAnsi="仿宋" w:eastAsia="仿宋" w:cs="仿宋"/>
          <w:color w:val="000000" w:themeColor="text1"/>
          <w:sz w:val="28"/>
          <w:szCs w:val="28"/>
          <w:lang w:bidi="zh-CN"/>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14:paraId="59451785">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1.</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4AA41DE9">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2.</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151C5042">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w:t>
      </w:r>
    </w:p>
    <w:p w14:paraId="7A3FBAEE">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以上企业，不属于大企业的分支机构，不存在控股股东为大</w:t>
      </w:r>
      <w:r>
        <w:rPr>
          <w:rFonts w:hint="eastAsia" w:ascii="仿宋" w:hAnsi="仿宋" w:eastAsia="仿宋" w:cs="仿宋"/>
          <w:color w:val="000000" w:themeColor="text1"/>
          <w:sz w:val="28"/>
          <w:szCs w:val="28"/>
          <w14:textFill>
            <w14:solidFill>
              <w14:schemeClr w14:val="tx1"/>
            </w14:solidFill>
          </w14:textFill>
        </w:rPr>
        <w:t>企业</w:t>
      </w:r>
      <w:r>
        <w:rPr>
          <w:rFonts w:hint="eastAsia" w:ascii="仿宋" w:hAnsi="仿宋" w:eastAsia="仿宋" w:cs="仿宋"/>
          <w:color w:val="000000" w:themeColor="text1"/>
          <w:sz w:val="28"/>
          <w:szCs w:val="28"/>
          <w:lang w:bidi="zh-CN"/>
          <w14:textFill>
            <w14:solidFill>
              <w14:schemeClr w14:val="tx1"/>
            </w14:solidFill>
          </w14:textFill>
        </w:rPr>
        <w:t>的情形，也不存在与大企业的负责人为同一人的情形。</w:t>
      </w:r>
    </w:p>
    <w:p w14:paraId="79F33D2F">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本企业对上述声明内容的真实性负责。如有虚假，将依法承担相应责任。</w:t>
      </w:r>
    </w:p>
    <w:p w14:paraId="037F36AE">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企业名称（盖章）：</w:t>
      </w:r>
    </w:p>
    <w:p w14:paraId="42615567">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日期：</w:t>
      </w:r>
    </w:p>
    <w:p w14:paraId="077A6F58">
      <w:pPr>
        <w:spacing w:line="360" w:lineRule="auto"/>
        <w:ind w:firstLine="600" w:firstLineChars="200"/>
        <w:rPr>
          <w:rFonts w:ascii="仿宋" w:hAnsi="仿宋" w:eastAsia="仿宋" w:cs="仿宋"/>
          <w:color w:val="000000" w:themeColor="text1"/>
          <w:sz w:val="30"/>
          <w:szCs w:val="30"/>
          <w14:textFill>
            <w14:solidFill>
              <w14:schemeClr w14:val="tx1"/>
            </w14:solidFill>
          </w14:textFill>
        </w:rPr>
        <w:sectPr>
          <w:footerReference r:id="rId3" w:type="default"/>
          <w:pgSz w:w="11906" w:h="16838"/>
          <w:pgMar w:top="1418" w:right="1474" w:bottom="1418" w:left="1474" w:header="851" w:footer="907" w:gutter="0"/>
          <w:cols w:space="720" w:num="1"/>
          <w:titlePg/>
          <w:docGrid w:type="lines" w:linePitch="312" w:charSpace="0"/>
        </w:sectPr>
      </w:pPr>
    </w:p>
    <w:p w14:paraId="0AD6295F">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残疾人福利性单位声明函</w:t>
      </w:r>
    </w:p>
    <w:p w14:paraId="54FDC9A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72EB31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本单位对上述声明的真实性负责。如有虚假，将依法承担相应责任。</w:t>
      </w:r>
    </w:p>
    <w:p w14:paraId="459A1B0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（备注：1、供应商如不提供此声明函，价格将不做相应扣除。2、中标人为残疾人福利单位的，此声明函将随中标结果同时公告，接受社会监督）</w:t>
      </w:r>
    </w:p>
    <w:p w14:paraId="440BBDED">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1181F389">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4168785B">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5FDE0DA1">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64BDB9C5">
      <w:pPr>
        <w:spacing w:line="360" w:lineRule="auto"/>
        <w:ind w:firstLine="584"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供应商全称（盖章）：</w:t>
      </w:r>
    </w:p>
    <w:p w14:paraId="5D8CA41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  期：</w:t>
      </w:r>
    </w:p>
    <w:p w14:paraId="777EF06C">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5BDA4DAD">
      <w:pPr>
        <w:keepNext/>
        <w:keepLines/>
        <w:spacing w:before="156" w:after="156" w:line="416" w:lineRule="auto"/>
        <w:ind w:firstLine="562"/>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监狱和戒毒企业证明材料</w:t>
      </w:r>
    </w:p>
    <w:p w14:paraId="60E2DC28">
      <w:pPr>
        <w:snapToGrid w:val="0"/>
        <w:spacing w:line="420" w:lineRule="exact"/>
        <w:ind w:firstLine="531" w:firstLineChars="177"/>
        <w:rPr>
          <w:rFonts w:ascii="仿宋" w:hAnsi="仿宋" w:eastAsia="仿宋" w:cs="仿宋"/>
          <w:color w:val="000000" w:themeColor="text1"/>
          <w:sz w:val="30"/>
          <w:szCs w:val="30"/>
          <w14:textFill>
            <w14:solidFill>
              <w14:schemeClr w14:val="tx1"/>
            </w14:solidFill>
          </w14:textFill>
        </w:rPr>
      </w:pPr>
    </w:p>
    <w:p w14:paraId="7A24E376">
      <w:pPr>
        <w:snapToGrid w:val="0"/>
        <w:spacing w:line="420" w:lineRule="exact"/>
        <w:ind w:firstLine="498" w:firstLineChars="177"/>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（格式自拟）</w:t>
      </w:r>
    </w:p>
    <w:p w14:paraId="74372C83">
      <w:pPr>
        <w:snapToGrid w:val="0"/>
        <w:spacing w:line="420" w:lineRule="exact"/>
        <w:ind w:firstLine="495" w:firstLineChars="177"/>
        <w:rPr>
          <w:rFonts w:ascii="仿宋" w:hAnsi="仿宋" w:eastAsia="仿宋" w:cs="仿宋"/>
          <w:color w:val="000000" w:themeColor="text1"/>
          <w:sz w:val="28"/>
          <w:szCs w:val="28"/>
          <w14:textFill>
            <w14:solidFill>
              <w14:schemeClr w14:val="tx1"/>
            </w14:solidFill>
          </w14:textFill>
        </w:rPr>
      </w:pPr>
    </w:p>
    <w:p w14:paraId="03B3872B">
      <w:pPr>
        <w:snapToGrid w:val="0"/>
        <w:spacing w:line="420" w:lineRule="exact"/>
        <w:ind w:firstLine="660" w:firstLineChars="23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9552D8D">
      <w:pPr>
        <w:keepNext/>
        <w:keepLines/>
        <w:spacing w:before="156" w:after="156" w:line="416" w:lineRule="auto"/>
        <w:ind w:firstLine="640"/>
        <w:jc w:val="center"/>
        <w:outlineLvl w:val="1"/>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八、响应函</w:t>
      </w:r>
    </w:p>
    <w:p w14:paraId="73C1452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致    （采购人）    ：</w:t>
      </w:r>
    </w:p>
    <w:p w14:paraId="5886B538">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根据贵方的</w:t>
      </w:r>
      <w:r>
        <w:rPr>
          <w:rFonts w:hint="eastAsia" w:ascii="仿宋" w:hAnsi="仿宋" w:eastAsia="仿宋" w:cs="仿宋"/>
          <w:color w:val="000000" w:themeColor="text1"/>
          <w:sz w:val="28"/>
          <w:szCs w:val="28"/>
          <w:u w:val="single"/>
          <w14:textFill>
            <w14:solidFill>
              <w14:schemeClr w14:val="tx1"/>
            </w14:solidFill>
          </w14:textFill>
        </w:rPr>
        <w:t xml:space="preserve">        （公开招标项目名称和项目编号）</w:t>
      </w:r>
      <w:r>
        <w:rPr>
          <w:rFonts w:hint="eastAsia" w:ascii="仿宋" w:hAnsi="仿宋" w:eastAsia="仿宋" w:cs="仿宋"/>
          <w:color w:val="000000" w:themeColor="text1"/>
          <w:sz w:val="28"/>
          <w:szCs w:val="28"/>
          <w14:textFill>
            <w14:solidFill>
              <w14:schemeClr w14:val="tx1"/>
            </w14:solidFill>
          </w14:textFill>
        </w:rPr>
        <w:t>公开招标文件，正式授权下述签字人</w:t>
      </w:r>
      <w:r>
        <w:rPr>
          <w:rFonts w:hint="eastAsia" w:ascii="仿宋" w:hAnsi="仿宋" w:eastAsia="仿宋" w:cs="仿宋"/>
          <w:color w:val="000000" w:themeColor="text1"/>
          <w:sz w:val="28"/>
          <w:szCs w:val="28"/>
          <w:u w:val="single"/>
          <w14:textFill>
            <w14:solidFill>
              <w14:schemeClr w14:val="tx1"/>
            </w14:solidFill>
          </w14:textFill>
        </w:rPr>
        <w:t xml:space="preserve">         (姓名和职务)</w:t>
      </w:r>
      <w:r>
        <w:rPr>
          <w:rFonts w:hint="eastAsia" w:ascii="仿宋" w:hAnsi="仿宋" w:eastAsia="仿宋" w:cs="仿宋"/>
          <w:color w:val="000000" w:themeColor="text1"/>
          <w:sz w:val="28"/>
          <w:szCs w:val="28"/>
          <w14:textFill>
            <w14:solidFill>
              <w14:schemeClr w14:val="tx1"/>
            </w14:solidFill>
          </w14:textFill>
        </w:rPr>
        <w:t>代表我方</w:t>
      </w:r>
      <w:r>
        <w:rPr>
          <w:rFonts w:hint="eastAsia" w:ascii="仿宋" w:hAnsi="仿宋" w:eastAsia="仿宋" w:cs="仿宋"/>
          <w:color w:val="000000" w:themeColor="text1"/>
          <w:sz w:val="28"/>
          <w:szCs w:val="28"/>
          <w:u w:val="single"/>
          <w14:textFill>
            <w14:solidFill>
              <w14:schemeClr w14:val="tx1"/>
            </w14:solidFill>
          </w14:textFill>
        </w:rPr>
        <w:t xml:space="preserve">         （供应商的名称）</w:t>
      </w:r>
      <w:r>
        <w:rPr>
          <w:rFonts w:hint="eastAsia" w:ascii="仿宋" w:hAnsi="仿宋" w:eastAsia="仿宋" w:cs="仿宋"/>
          <w:color w:val="000000" w:themeColor="text1"/>
          <w:sz w:val="28"/>
          <w:szCs w:val="28"/>
          <w14:textFill>
            <w14:solidFill>
              <w14:schemeClr w14:val="tx1"/>
            </w14:solidFill>
          </w14:textFill>
        </w:rPr>
        <w:t>，全权处理本次项目公开招标采购的有关事宜。</w:t>
      </w:r>
    </w:p>
    <w:p w14:paraId="42E30D45">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据此函，</w:t>
      </w:r>
      <w:r>
        <w:rPr>
          <w:rFonts w:hint="eastAsia" w:ascii="仿宋" w:hAnsi="仿宋" w:eastAsia="仿宋" w:cs="仿宋"/>
          <w:color w:val="000000" w:themeColor="text1"/>
          <w:sz w:val="28"/>
          <w:szCs w:val="28"/>
          <w:u w:val="single"/>
          <w14:textFill>
            <w14:solidFill>
              <w14:schemeClr w14:val="tx1"/>
            </w14:solidFill>
          </w14:textFill>
        </w:rPr>
        <w:t xml:space="preserve">       （签字人姓名）</w:t>
      </w:r>
      <w:r>
        <w:rPr>
          <w:rFonts w:hint="eastAsia" w:ascii="仿宋" w:hAnsi="仿宋" w:eastAsia="仿宋" w:cs="仿宋"/>
          <w:color w:val="000000" w:themeColor="text1"/>
          <w:sz w:val="28"/>
          <w:szCs w:val="28"/>
          <w14:textFill>
            <w14:solidFill>
              <w14:schemeClr w14:val="tx1"/>
            </w14:solidFill>
          </w14:textFill>
        </w:rPr>
        <w:t>兹宣布同意如下：</w:t>
      </w:r>
    </w:p>
    <w:p w14:paraId="1B80E76F">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1.按公开招标文件规定的各项要求，向买方提供所需货物、服务。</w:t>
      </w:r>
    </w:p>
    <w:p w14:paraId="3B3B5F39">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2.我们已详细审核全部公开招标文件及其有效补充文件，我们知道必须放弃提出含糊不清或误解问题的权利。</w:t>
      </w:r>
    </w:p>
    <w:p w14:paraId="6FC0D5A3">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3.我们同意从规定的响应文件接收截止时间起遵循本响应文件，并在规定的公开招标、有效期期满之前均具有约束力。</w:t>
      </w:r>
    </w:p>
    <w:p w14:paraId="53D0B670">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4.同意向贵方提供贵方可能另外要求的与公开招标采购有关的任何证据或资料，并保证我方已提供和将要提供的文件是真实的、准确的。</w:t>
      </w:r>
    </w:p>
    <w:p w14:paraId="08F3DA01">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5.一旦我方成交，我方将根据公开招标文件的规定，严格履行合同的责任和义务，并保证在公开招标文件规定的时间完成项目，交付买方验收、使用。</w:t>
      </w:r>
    </w:p>
    <w:p w14:paraId="0DFF20BF">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6.遵守公开招标文件中要求的收费项目和标准。</w:t>
      </w:r>
    </w:p>
    <w:p w14:paraId="0F9804B3">
      <w:pPr>
        <w:pStyle w:val="8"/>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7.与本公开招标采购有关的正式通讯地址为：</w:t>
      </w:r>
    </w:p>
    <w:p w14:paraId="55F8FB2D">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地址</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4BC8D75F">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邮编</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72FB322C">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电话</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29C0B9F2">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传真</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61AA4B69">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供应商开户行</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5D1BD475">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账户</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0FB27A21">
      <w:pPr>
        <w:widowControl/>
        <w:shd w:val="clear" w:color="auto" w:fill="FFFFFF"/>
        <w:wordWrap w:val="0"/>
        <w:spacing w:line="480" w:lineRule="exact"/>
        <w:jc w:val="left"/>
        <w:rPr>
          <w:rFonts w:ascii="仿宋" w:hAnsi="仿宋" w:eastAsia="仿宋" w:cs="仿宋"/>
          <w:color w:val="000000" w:themeColor="text1"/>
          <w:kern w:val="0"/>
          <w:sz w:val="28"/>
          <w:szCs w:val="28"/>
          <w14:textFill>
            <w14:solidFill>
              <w14:schemeClr w14:val="tx1"/>
            </w14:solidFill>
          </w14:textFill>
        </w:rPr>
      </w:pPr>
    </w:p>
    <w:p w14:paraId="4D03ED80">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供应商：（盖章）             </w:t>
      </w:r>
    </w:p>
    <w:p w14:paraId="2ABB131B">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法定代表人或被授权人（签字或盖章）：</w:t>
      </w:r>
    </w:p>
    <w:p w14:paraId="65D8B0D9">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79F253C5">
      <w:pPr>
        <w:keepNext/>
        <w:keepLines/>
        <w:spacing w:before="156" w:after="156" w:line="416" w:lineRule="auto"/>
        <w:ind w:firstLine="562"/>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九、正负偏离表</w:t>
      </w:r>
    </w:p>
    <w:p w14:paraId="6084AF9D">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5D520E66">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商务部分正负偏离表</w:t>
      </w:r>
    </w:p>
    <w:tbl>
      <w:tblPr>
        <w:tblStyle w:val="9"/>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4074E6C1">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FFF3C4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6DB7D50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05EB6625">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FC55958">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3101800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21986395">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6E310DF6">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AF1977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514CAF3C">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7846D8E5">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2BA48A6">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2F81CC6A">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218BDC9F">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D9B78A3">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06FB386">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735F573A">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0FBB264">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62F7811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4C1F41BE">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629E452">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702916DF">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5EC6F3D2">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2BA253C4">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D745E3F">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44505AC6">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9B72722">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62652EF2">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1184AD70">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29FE559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1D273D28">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0561E83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181596A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0F40C834">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434D3654">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技术部分正负偏离表</w:t>
      </w:r>
    </w:p>
    <w:p w14:paraId="0429FA47">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p>
    <w:tbl>
      <w:tblPr>
        <w:tblStyle w:val="9"/>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6B53A509">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59732D6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32A126A0">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43B4D2AC">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02EF2D1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2CA2086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5F29159C">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462EE95F">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0BBCA5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0F4E238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6B0FEF76">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0B02DCEA">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7E1BAFA">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79CEC49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C5992EE">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63666A7B">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021F92DA">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D626898">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23536A42">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5220340D">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879BAE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31040423">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08345D57">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10516A66">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1E6B7D30">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1CAE5269">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69C53EB">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164C4D0B">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5BED8AE0">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42F59D06">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6395CD5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04F44EFE">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2B871076">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778F3C75">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4D0F3A2E">
      <w:pPr>
        <w:keepNext/>
        <w:keepLines/>
        <w:spacing w:before="156" w:after="156" w:line="416" w:lineRule="auto"/>
        <w:ind w:firstLine="562"/>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十、投标报价总表</w:t>
      </w:r>
    </w:p>
    <w:p w14:paraId="5C37E348">
      <w:pPr>
        <w:rPr>
          <w:rFonts w:ascii="仿宋" w:hAnsi="仿宋" w:eastAsia="仿宋"/>
          <w:color w:val="000000" w:themeColor="text1"/>
          <w14:textFill>
            <w14:solidFill>
              <w14:schemeClr w14:val="tx1"/>
            </w14:solidFill>
          </w14:textFill>
        </w:rPr>
      </w:pP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087"/>
      </w:tblGrid>
      <w:tr w14:paraId="76E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vMerge w:val="restart"/>
            <w:vAlign w:val="center"/>
          </w:tcPr>
          <w:p w14:paraId="67172290">
            <w:pPr>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投标报价总计</w:t>
            </w:r>
          </w:p>
        </w:tc>
        <w:tc>
          <w:tcPr>
            <w:tcW w:w="7087" w:type="dxa"/>
            <w:vAlign w:val="center"/>
          </w:tcPr>
          <w:p w14:paraId="7D95CD3E">
            <w:pPr>
              <w:spacing w:line="360" w:lineRule="auto"/>
              <w:ind w:firstLine="562"/>
              <w:rPr>
                <w:rFonts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（大写）人民币：</w:t>
            </w:r>
          </w:p>
        </w:tc>
      </w:tr>
      <w:tr w14:paraId="4ACD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vMerge w:val="continue"/>
            <w:vAlign w:val="center"/>
          </w:tcPr>
          <w:p w14:paraId="68009F35">
            <w:pPr>
              <w:spacing w:line="360" w:lineRule="auto"/>
              <w:ind w:firstLine="562"/>
              <w:rPr>
                <w:rFonts w:ascii="仿宋" w:hAnsi="仿宋" w:eastAsia="仿宋" w:cs="仿宋"/>
                <w:b/>
                <w:bCs/>
                <w:color w:val="000000" w:themeColor="text1"/>
                <w:sz w:val="28"/>
                <w:szCs w:val="28"/>
                <w14:textFill>
                  <w14:solidFill>
                    <w14:schemeClr w14:val="tx1"/>
                  </w14:solidFill>
                </w14:textFill>
              </w:rPr>
            </w:pPr>
          </w:p>
        </w:tc>
        <w:tc>
          <w:tcPr>
            <w:tcW w:w="7087" w:type="dxa"/>
            <w:vAlign w:val="center"/>
          </w:tcPr>
          <w:p w14:paraId="7AE8A9F7">
            <w:pPr>
              <w:spacing w:line="360" w:lineRule="auto"/>
              <w:ind w:firstLine="56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（小写）￥：</w:t>
            </w:r>
          </w:p>
        </w:tc>
      </w:tr>
    </w:tbl>
    <w:p w14:paraId="418DB532">
      <w:pPr>
        <w:spacing w:line="360" w:lineRule="auto"/>
        <w:rPr>
          <w:rFonts w:ascii="仿宋" w:hAnsi="仿宋" w:eastAsia="仿宋" w:cs="仿宋"/>
          <w:color w:val="000000" w:themeColor="text1"/>
          <w:sz w:val="28"/>
          <w:szCs w:val="28"/>
          <w14:textFill>
            <w14:solidFill>
              <w14:schemeClr w14:val="tx1"/>
            </w14:solidFill>
          </w14:textFill>
        </w:rPr>
      </w:pPr>
    </w:p>
    <w:p w14:paraId="746D0D3D">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w:t>
      </w:r>
    </w:p>
    <w:p w14:paraId="16A1C158">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参加投标供应商（盖章）：</w:t>
      </w:r>
    </w:p>
    <w:p w14:paraId="5682FAE6">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79E030A7">
      <w:pPr>
        <w:spacing w:line="360" w:lineRule="auto"/>
        <w:ind w:firstLine="56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特别说明：</w:t>
      </w:r>
    </w:p>
    <w:p w14:paraId="28B77479">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上述表格格式不得自行修改，根据实际内容填写</w:t>
      </w:r>
      <w:r>
        <w:rPr>
          <w:rFonts w:ascii="仿宋" w:hAnsi="仿宋" w:eastAsia="仿宋" w:cs="仿宋"/>
          <w:color w:val="000000" w:themeColor="text1"/>
          <w:sz w:val="28"/>
          <w:szCs w:val="28"/>
          <w14:textFill>
            <w14:solidFill>
              <w14:schemeClr w14:val="tx1"/>
            </w14:solidFill>
          </w14:textFill>
        </w:rPr>
        <w:t>。</w:t>
      </w:r>
    </w:p>
    <w:p w14:paraId="20FC1EE6">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p w14:paraId="033A2856">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bookmarkEnd w:id="9"/>
    <w:p w14:paraId="692A295B">
      <w:pPr>
        <w:pStyle w:val="2"/>
        <w:rPr>
          <w:color w:val="000000" w:themeColor="text1"/>
          <w14:textFill>
            <w14:solidFill>
              <w14:schemeClr w14:val="tx1"/>
            </w14:solidFill>
          </w14:textFill>
        </w:rPr>
      </w:pPr>
    </w:p>
    <w:p w14:paraId="11817828">
      <w:pPr>
        <w:rPr>
          <w:rFonts w:ascii="仿宋" w:hAnsi="仿宋" w:eastAsia="仿宋"/>
          <w:color w:val="000000" w:themeColor="text1"/>
          <w14:textFill>
            <w14:solidFill>
              <w14:schemeClr w14:val="tx1"/>
            </w14:solidFill>
          </w14:textFill>
        </w:rPr>
      </w:pPr>
    </w:p>
    <w:sectPr>
      <w:footerReference r:id="rId4" w:type="default"/>
      <w:pgSz w:w="11906" w:h="16838"/>
      <w:pgMar w:top="1417" w:right="1247" w:bottom="1417" w:left="124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F16E">
    <w:pPr>
      <w:pStyle w:val="5"/>
      <w:ind w:firstLine="36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8273">
    <w:pPr>
      <w:pStyle w:val="5"/>
      <w:spacing w:before="120" w:after="120"/>
      <w:ind w:firstLine="420"/>
      <w:jc w:val="center"/>
      <w:rPr>
        <w:rFonts w:ascii="宋体"/>
        <w:sz w:val="21"/>
        <w:szCs w:val="21"/>
      </w:rPr>
    </w:pPr>
    <w:r>
      <w:rPr>
        <w:rFonts w:ascii="宋体"/>
        <w:sz w:val="21"/>
        <w:szCs w:val="21"/>
      </w:rPr>
      <w:fldChar w:fldCharType="begin"/>
    </w:r>
    <w:r>
      <w:rPr>
        <w:rFonts w:ascii="宋体"/>
        <w:sz w:val="21"/>
        <w:szCs w:val="21"/>
      </w:rPr>
      <w:instrText xml:space="preserve">PAGE   \* MERGEFORMAT</w:instrText>
    </w:r>
    <w:r>
      <w:rPr>
        <w:rFonts w:ascii="宋体"/>
        <w:sz w:val="21"/>
        <w:szCs w:val="21"/>
      </w:rPr>
      <w:fldChar w:fldCharType="separate"/>
    </w:r>
    <w:r>
      <w:rPr>
        <w:rFonts w:ascii="宋体"/>
        <w:sz w:val="21"/>
        <w:szCs w:val="21"/>
        <w:lang w:val="zh-CN"/>
      </w:rPr>
      <w:t>1</w:t>
    </w:r>
    <w:r>
      <w:rPr>
        <w:rFonts w:ascii="宋体"/>
        <w:sz w:val="21"/>
        <w:szCs w:val="21"/>
      </w:rPr>
      <w:fldChar w:fldCharType="end"/>
    </w:r>
  </w:p>
  <w:p w14:paraId="7049B29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DB9E5"/>
    <w:multiLevelType w:val="singleLevel"/>
    <w:tmpl w:val="E86DB9E5"/>
    <w:lvl w:ilvl="0" w:tentative="0">
      <w:start w:val="1"/>
      <w:numFmt w:val="decimal"/>
      <w:suff w:val="nothing"/>
      <w:lvlText w:val="%1、"/>
      <w:lvlJc w:val="left"/>
    </w:lvl>
  </w:abstractNum>
  <w:abstractNum w:abstractNumId="1">
    <w:nsid w:val="4D0415DB"/>
    <w:multiLevelType w:val="singleLevel"/>
    <w:tmpl w:val="4D0415DB"/>
    <w:lvl w:ilvl="0" w:tentative="0">
      <w:start w:val="7"/>
      <w:numFmt w:val="chineseCounting"/>
      <w:suff w:val="nothing"/>
      <w:lvlText w:val="%1、"/>
      <w:lvlJc w:val="left"/>
      <w:rPr>
        <w:rFonts w:hint="eastAsia"/>
      </w:rPr>
    </w:lvl>
  </w:abstractNum>
  <w:abstractNum w:abstractNumId="2">
    <w:nsid w:val="520D4188"/>
    <w:multiLevelType w:val="singleLevel"/>
    <w:tmpl w:val="520D4188"/>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3N2VjNzRjMTU4NTQzNmU1YThjYzZjZGE2MjAzZDcifQ=="/>
  </w:docVars>
  <w:rsids>
    <w:rsidRoot w:val="00082DDD"/>
    <w:rsid w:val="0004417F"/>
    <w:rsid w:val="00082DDD"/>
    <w:rsid w:val="000D34F6"/>
    <w:rsid w:val="000D7AF9"/>
    <w:rsid w:val="0013566C"/>
    <w:rsid w:val="001E240F"/>
    <w:rsid w:val="001E4650"/>
    <w:rsid w:val="001F2FC2"/>
    <w:rsid w:val="0020400F"/>
    <w:rsid w:val="002600DB"/>
    <w:rsid w:val="00380CAF"/>
    <w:rsid w:val="003C213A"/>
    <w:rsid w:val="00421F12"/>
    <w:rsid w:val="004733E8"/>
    <w:rsid w:val="004C5C04"/>
    <w:rsid w:val="004F1F3C"/>
    <w:rsid w:val="00577493"/>
    <w:rsid w:val="00583F18"/>
    <w:rsid w:val="005B45BD"/>
    <w:rsid w:val="00616E40"/>
    <w:rsid w:val="00617BC8"/>
    <w:rsid w:val="00621F8C"/>
    <w:rsid w:val="00625635"/>
    <w:rsid w:val="00645AA5"/>
    <w:rsid w:val="00650D75"/>
    <w:rsid w:val="0069263E"/>
    <w:rsid w:val="006B4BDB"/>
    <w:rsid w:val="006C45A4"/>
    <w:rsid w:val="007711AF"/>
    <w:rsid w:val="007757F5"/>
    <w:rsid w:val="008527D6"/>
    <w:rsid w:val="00957CC1"/>
    <w:rsid w:val="009D7862"/>
    <w:rsid w:val="009F7908"/>
    <w:rsid w:val="00A0789A"/>
    <w:rsid w:val="00A15526"/>
    <w:rsid w:val="00A41066"/>
    <w:rsid w:val="00AE1B95"/>
    <w:rsid w:val="00AE4EAC"/>
    <w:rsid w:val="00B679D5"/>
    <w:rsid w:val="00C06740"/>
    <w:rsid w:val="00CA57D0"/>
    <w:rsid w:val="00CE776E"/>
    <w:rsid w:val="00D12C4F"/>
    <w:rsid w:val="00D36F85"/>
    <w:rsid w:val="00D6691F"/>
    <w:rsid w:val="00D6737B"/>
    <w:rsid w:val="00D843D9"/>
    <w:rsid w:val="00DC0378"/>
    <w:rsid w:val="00E03F9F"/>
    <w:rsid w:val="00E41BA5"/>
    <w:rsid w:val="00ED47D1"/>
    <w:rsid w:val="00F23455"/>
    <w:rsid w:val="00F517C1"/>
    <w:rsid w:val="00F92178"/>
    <w:rsid w:val="014B0D56"/>
    <w:rsid w:val="19BC6BE1"/>
    <w:rsid w:val="23E629DD"/>
    <w:rsid w:val="38A625CD"/>
    <w:rsid w:val="39111E53"/>
    <w:rsid w:val="46D85D5E"/>
    <w:rsid w:val="478006F8"/>
    <w:rsid w:val="5D9702C9"/>
    <w:rsid w:val="65C07C91"/>
    <w:rsid w:val="65EC2811"/>
    <w:rsid w:val="6EDE5C00"/>
    <w:rsid w:val="7992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3">
    <w:name w:val="heading 1"/>
    <w:basedOn w:val="1"/>
    <w:next w:val="1"/>
    <w:link w:val="12"/>
    <w:autoRedefine/>
    <w:qFormat/>
    <w:uiPriority w:val="99"/>
    <w:pPr>
      <w:keepNext/>
      <w:keepLines/>
      <w:spacing w:before="156" w:after="156" w:line="360" w:lineRule="auto"/>
      <w:jc w:val="center"/>
      <w:outlineLvl w:val="0"/>
    </w:pPr>
    <w:rPr>
      <w:rFonts w:ascii="仿宋" w:hAnsi="仿宋" w:eastAsia="仿宋" w:cs="仿宋"/>
      <w:b/>
      <w:bCs/>
      <w:kern w:val="44"/>
      <w:sz w:val="32"/>
      <w:szCs w:val="32"/>
    </w:rPr>
  </w:style>
  <w:style w:type="paragraph" w:styleId="4">
    <w:name w:val="heading 2"/>
    <w:basedOn w:val="1"/>
    <w:next w:val="1"/>
    <w:link w:val="13"/>
    <w:autoRedefine/>
    <w:unhideWhenUsed/>
    <w:qFormat/>
    <w:uiPriority w:val="9"/>
    <w:pPr>
      <w:keepNext/>
      <w:keepLines/>
      <w:spacing w:before="156" w:after="156" w:line="360" w:lineRule="auto"/>
      <w:outlineLvl w:val="1"/>
    </w:pPr>
    <w:rPr>
      <w:rFonts w:ascii="仿宋" w:hAnsi="仿宋" w:eastAsia="仿宋" w:cs="仿宋"/>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autoRedefine/>
    <w:qFormat/>
    <w:uiPriority w:val="0"/>
    <w:pPr>
      <w:spacing w:line="360" w:lineRule="auto"/>
      <w:ind w:firstLine="560" w:firstLineChars="200"/>
    </w:pPr>
    <w:rPr>
      <w:rFonts w:ascii="仿宋" w:hAnsi="仿宋" w:eastAsia="仿宋"/>
      <w:color w:val="FF0000"/>
      <w:sz w:val="28"/>
      <w:szCs w:val="2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Normal (Web)"/>
    <w:basedOn w:val="1"/>
    <w:qFormat/>
    <w:uiPriority w:val="99"/>
    <w:rPr>
      <w:rFonts w:ascii="Times New Roman" w:hAnsi="Times New Roman" w:eastAsiaTheme="minorEastAsia" w:cstheme="minorBidi"/>
      <w:szCs w:val="24"/>
    </w:rPr>
  </w:style>
  <w:style w:type="character" w:styleId="11">
    <w:name w:val="Hyperlink"/>
    <w:basedOn w:val="10"/>
    <w:autoRedefine/>
    <w:qFormat/>
    <w:uiPriority w:val="99"/>
    <w:rPr>
      <w:rFonts w:cs="Times New Roman"/>
      <w:color w:val="0000FF"/>
      <w:u w:val="single"/>
    </w:rPr>
  </w:style>
  <w:style w:type="character" w:customStyle="1" w:styleId="12">
    <w:name w:val="标题 1 字符"/>
    <w:basedOn w:val="10"/>
    <w:link w:val="3"/>
    <w:qFormat/>
    <w:uiPriority w:val="99"/>
    <w:rPr>
      <w:rFonts w:ascii="仿宋" w:hAnsi="仿宋" w:eastAsia="仿宋" w:cs="仿宋"/>
      <w:b/>
      <w:bCs/>
      <w:kern w:val="44"/>
      <w:sz w:val="32"/>
      <w:szCs w:val="32"/>
      <w14:ligatures w14:val="none"/>
    </w:rPr>
  </w:style>
  <w:style w:type="character" w:customStyle="1" w:styleId="13">
    <w:name w:val="标题 2 字符"/>
    <w:basedOn w:val="10"/>
    <w:link w:val="4"/>
    <w:qFormat/>
    <w:uiPriority w:val="9"/>
    <w:rPr>
      <w:rFonts w:ascii="仿宋" w:hAnsi="仿宋" w:eastAsia="仿宋" w:cs="仿宋"/>
      <w:b/>
      <w:bCs/>
      <w:sz w:val="28"/>
      <w:szCs w:val="28"/>
      <w14:ligatures w14:val="none"/>
    </w:rPr>
  </w:style>
  <w:style w:type="character" w:customStyle="1" w:styleId="14">
    <w:name w:val="页脚 字符"/>
    <w:basedOn w:val="10"/>
    <w:link w:val="5"/>
    <w:qFormat/>
    <w:uiPriority w:val="99"/>
    <w:rPr>
      <w:rFonts w:ascii="Calibri" w:hAnsi="Calibri" w:eastAsia="宋体" w:cs="Times New Roman"/>
      <w:sz w:val="18"/>
      <w:szCs w:val="18"/>
      <w14:ligatures w14:val="none"/>
    </w:rPr>
  </w:style>
  <w:style w:type="paragraph" w:customStyle="1" w:styleId="15">
    <w:name w:val="TOC 标题1"/>
    <w:basedOn w:val="3"/>
    <w:next w:val="1"/>
    <w:autoRedefine/>
    <w:qFormat/>
    <w:uiPriority w:val="99"/>
    <w:pPr>
      <w:widowControl/>
      <w:spacing w:before="480" w:after="0"/>
      <w:outlineLvl w:val="9"/>
    </w:pPr>
    <w:rPr>
      <w:color w:val="365F91"/>
      <w:kern w:val="0"/>
      <w:lang w:val="zh-CN"/>
    </w:rPr>
  </w:style>
  <w:style w:type="character" w:customStyle="1" w:styleId="16">
    <w:name w:val="样式 小四 加粗"/>
    <w:basedOn w:val="10"/>
    <w:autoRedefine/>
    <w:qFormat/>
    <w:uiPriority w:val="0"/>
    <w:rPr>
      <w:rFonts w:eastAsia="黑体"/>
      <w:b/>
      <w:bCs/>
      <w:sz w:val="24"/>
    </w:rPr>
  </w:style>
  <w:style w:type="paragraph" w:customStyle="1" w:styleId="17">
    <w:name w:val="p"/>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页眉 字符"/>
    <w:basedOn w:val="10"/>
    <w:link w:val="6"/>
    <w:qFormat/>
    <w:uiPriority w:val="99"/>
    <w:rPr>
      <w:rFonts w:ascii="Calibri" w:hAnsi="Calibri" w:eastAsia="宋体" w:cs="Times New Roman"/>
      <w:sz w:val="18"/>
      <w:szCs w:val="18"/>
      <w14:ligatures w14: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13103</Words>
  <Characters>13388</Characters>
  <Lines>107</Lines>
  <Paragraphs>30</Paragraphs>
  <TotalTime>4</TotalTime>
  <ScaleCrop>false</ScaleCrop>
  <LinksUpToDate>false</LinksUpToDate>
  <CharactersWithSpaces>13908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2024-09-18T08:18:00Z</dcterms:created>
  <dc:creator>邵楠 王</dc:creator>
  <cp:lastModifiedBy>Gddddd.</cp:lastModifiedBy>
  <dcterms:modified xsi:type="dcterms:W3CDTF">2024-10-25T09:12:54Z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B7176D1C445C45A88EBE259E2C2697CF_13</vt:lpwstr>
  </property>
</Properties>
</file>