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07D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val="0"/>
          <w:color w:val="auto"/>
          <w:spacing w:val="-4"/>
          <w:sz w:val="44"/>
          <w:szCs w:val="44"/>
          <w:highlight w:val="none"/>
        </w:rPr>
      </w:pPr>
      <w:r>
        <w:rPr>
          <w:rFonts w:hint="eastAsia" w:ascii="Times New Roman" w:hAnsi="Times New Roman" w:eastAsia="方正小标宋_GBK" w:cs="Times New Roman"/>
          <w:b w:val="0"/>
          <w:bCs w:val="0"/>
          <w:color w:val="auto"/>
          <w:spacing w:val="-4"/>
          <w:sz w:val="44"/>
          <w:szCs w:val="44"/>
          <w:highlight w:val="none"/>
          <w:lang w:val="en-US" w:eastAsia="zh-CN"/>
        </w:rPr>
        <w:t>业主</w:t>
      </w:r>
      <w:r>
        <w:rPr>
          <w:rFonts w:hint="default" w:ascii="Times New Roman" w:hAnsi="Times New Roman" w:eastAsia="方正小标宋_GBK" w:cs="Times New Roman"/>
          <w:b w:val="0"/>
          <w:bCs w:val="0"/>
          <w:color w:val="auto"/>
          <w:spacing w:val="-4"/>
          <w:sz w:val="44"/>
          <w:szCs w:val="44"/>
          <w:highlight w:val="none"/>
        </w:rPr>
        <w:t>单位</w:t>
      </w:r>
      <w:r>
        <w:rPr>
          <w:rFonts w:hint="eastAsia" w:ascii="Times New Roman" w:hAnsi="Times New Roman" w:eastAsia="方正小标宋_GBK" w:cs="Times New Roman"/>
          <w:b w:val="0"/>
          <w:bCs w:val="0"/>
          <w:color w:val="auto"/>
          <w:spacing w:val="-4"/>
          <w:sz w:val="44"/>
          <w:szCs w:val="44"/>
          <w:highlight w:val="none"/>
        </w:rPr>
        <w:t>对中介机构</w:t>
      </w:r>
      <w:r>
        <w:rPr>
          <w:rFonts w:hint="eastAsia" w:ascii="Times New Roman" w:hAnsi="Times New Roman" w:eastAsia="方正小标宋_GBK" w:cs="Times New Roman"/>
          <w:b w:val="0"/>
          <w:bCs w:val="0"/>
          <w:color w:val="auto"/>
          <w:spacing w:val="-4"/>
          <w:sz w:val="44"/>
          <w:szCs w:val="44"/>
          <w:highlight w:val="none"/>
          <w:lang w:eastAsia="zh-CN"/>
        </w:rPr>
        <w:t>描述性</w:t>
      </w:r>
      <w:r>
        <w:rPr>
          <w:rFonts w:hint="eastAsia" w:ascii="Times New Roman" w:hAnsi="Times New Roman" w:eastAsia="方正小标宋_GBK" w:cs="Times New Roman"/>
          <w:b w:val="0"/>
          <w:bCs w:val="0"/>
          <w:color w:val="auto"/>
          <w:spacing w:val="-4"/>
          <w:sz w:val="44"/>
          <w:szCs w:val="44"/>
          <w:highlight w:val="none"/>
        </w:rPr>
        <w:t>评价表</w:t>
      </w:r>
    </w:p>
    <w:p w14:paraId="598DB1A2">
      <w:pPr>
        <w:pStyle w:val="3"/>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0" w:lineRule="atLeast"/>
        <w:ind w:left="0" w:firstLine="624"/>
        <w:jc w:val="center"/>
      </w:pPr>
      <w:r>
        <w:t> </w:t>
      </w:r>
    </w:p>
    <w:tbl>
      <w:tblPr>
        <w:tblStyle w:val="4"/>
        <w:tblpPr w:leftFromText="180" w:rightFromText="180" w:vertAnchor="text" w:horzAnchor="page" w:tblpX="1615" w:tblpY="298"/>
        <w:tblOverlap w:val="never"/>
        <w:tblW w:w="0" w:type="auto"/>
        <w:tblCellSpacing w:w="0"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760"/>
        <w:gridCol w:w="1320"/>
        <w:gridCol w:w="1860"/>
        <w:gridCol w:w="1574"/>
        <w:gridCol w:w="2044"/>
      </w:tblGrid>
      <w:tr w14:paraId="13B19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760" w:type="dxa"/>
            <w:tcBorders>
              <w:tl2br w:val="nil"/>
              <w:tr2bl w:val="nil"/>
            </w:tcBorders>
            <w:shd w:val="clear" w:color="auto" w:fill="FFFFFF"/>
            <w:noWrap w:val="0"/>
            <w:tcMar>
              <w:left w:w="108" w:type="dxa"/>
              <w:right w:w="108" w:type="dxa"/>
            </w:tcMar>
            <w:vAlign w:val="center"/>
          </w:tcPr>
          <w:p w14:paraId="5621B8B1">
            <w:pPr>
              <w:jc w:val="cente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项目名称</w:t>
            </w:r>
          </w:p>
        </w:tc>
        <w:tc>
          <w:tcPr>
            <w:tcW w:w="6798" w:type="dxa"/>
            <w:gridSpan w:val="4"/>
            <w:tcBorders>
              <w:tl2br w:val="nil"/>
              <w:tr2bl w:val="nil"/>
            </w:tcBorders>
            <w:shd w:val="clear" w:color="auto" w:fill="FFFFFF"/>
            <w:noWrap w:val="0"/>
            <w:tcMar>
              <w:left w:w="108" w:type="dxa"/>
              <w:right w:w="108" w:type="dxa"/>
            </w:tcMar>
            <w:vAlign w:val="center"/>
          </w:tcPr>
          <w:p w14:paraId="48679E8F">
            <w:pP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一般建设项目环境影响评价审批</w:t>
            </w:r>
          </w:p>
        </w:tc>
      </w:tr>
      <w:tr w14:paraId="10102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7" w:hRule="atLeast"/>
          <w:tblCellSpacing w:w="0" w:type="dxa"/>
        </w:trPr>
        <w:tc>
          <w:tcPr>
            <w:tcW w:w="1760" w:type="dxa"/>
            <w:tcBorders>
              <w:tl2br w:val="nil"/>
              <w:tr2bl w:val="nil"/>
            </w:tcBorders>
            <w:shd w:val="clear" w:color="auto" w:fill="FFFFFF"/>
            <w:noWrap w:val="0"/>
            <w:tcMar>
              <w:left w:w="108" w:type="dxa"/>
              <w:right w:w="108" w:type="dxa"/>
            </w:tcMar>
            <w:vAlign w:val="center"/>
          </w:tcPr>
          <w:p w14:paraId="6C2606C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中介服务事项</w:t>
            </w:r>
          </w:p>
        </w:tc>
        <w:tc>
          <w:tcPr>
            <w:tcW w:w="6798" w:type="dxa"/>
            <w:gridSpan w:val="4"/>
            <w:tcBorders>
              <w:tl2br w:val="nil"/>
              <w:tr2bl w:val="nil"/>
            </w:tcBorders>
            <w:shd w:val="clear" w:color="auto" w:fill="FFFFFF"/>
            <w:noWrap w:val="0"/>
            <w:tcMar>
              <w:left w:w="108" w:type="dxa"/>
              <w:right w:w="108" w:type="dxa"/>
            </w:tcMar>
            <w:vAlign w:val="center"/>
          </w:tcPr>
          <w:p w14:paraId="35E7F7A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4"/>
                <w:szCs w:val="24"/>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编制建设项目环境影响</w:t>
            </w:r>
            <w:bookmarkStart w:id="0" w:name="_GoBack"/>
            <w:bookmarkEnd w:id="0"/>
            <w:r>
              <w:rPr>
                <w:rFonts w:hint="eastAsia" w:ascii="Times New Roman" w:hAnsi="Times New Roman" w:eastAsia="仿宋_GB2312" w:cs="Times New Roman"/>
                <w:color w:val="auto"/>
                <w:sz w:val="24"/>
                <w:szCs w:val="24"/>
                <w:highlight w:val="none"/>
                <w:u w:val="none"/>
                <w:vertAlign w:val="baseline"/>
                <w:lang w:val="en-US" w:eastAsia="zh-CN"/>
              </w:rPr>
              <w:t>报告表</w:t>
            </w:r>
          </w:p>
        </w:tc>
      </w:tr>
      <w:tr w14:paraId="30DD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7" w:hRule="atLeast"/>
          <w:tblCellSpacing w:w="0" w:type="dxa"/>
        </w:trPr>
        <w:tc>
          <w:tcPr>
            <w:tcW w:w="1760" w:type="dxa"/>
            <w:vMerge w:val="restart"/>
            <w:tcBorders>
              <w:tl2br w:val="nil"/>
              <w:tr2bl w:val="nil"/>
            </w:tcBorders>
            <w:shd w:val="clear" w:color="auto" w:fill="FFFFFF"/>
            <w:noWrap w:val="0"/>
            <w:tcMar>
              <w:left w:w="108" w:type="dxa"/>
              <w:right w:w="108" w:type="dxa"/>
            </w:tcMar>
            <w:vAlign w:val="center"/>
          </w:tcPr>
          <w:p w14:paraId="40CA1258">
            <w:pPr>
              <w:jc w:val="cente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建设单位</w:t>
            </w:r>
          </w:p>
        </w:tc>
        <w:tc>
          <w:tcPr>
            <w:tcW w:w="6798" w:type="dxa"/>
            <w:gridSpan w:val="4"/>
            <w:tcBorders>
              <w:tl2br w:val="nil"/>
              <w:tr2bl w:val="nil"/>
            </w:tcBorders>
            <w:shd w:val="clear" w:color="auto" w:fill="FFFFFF"/>
            <w:noWrap w:val="0"/>
            <w:tcMar>
              <w:left w:w="108" w:type="dxa"/>
              <w:right w:w="108" w:type="dxa"/>
            </w:tcMar>
            <w:vAlign w:val="center"/>
          </w:tcPr>
          <w:p w14:paraId="29F59DE3">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p>
        </w:tc>
      </w:tr>
      <w:tr w14:paraId="702E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7" w:hRule="atLeast"/>
          <w:tblCellSpacing w:w="0" w:type="dxa"/>
        </w:trPr>
        <w:tc>
          <w:tcPr>
            <w:tcW w:w="1760" w:type="dxa"/>
            <w:vMerge w:val="continue"/>
            <w:tcBorders>
              <w:tl2br w:val="nil"/>
              <w:tr2bl w:val="nil"/>
            </w:tcBorders>
            <w:shd w:val="clear" w:color="auto" w:fill="FFFFFF"/>
            <w:noWrap w:val="0"/>
            <w:tcMar>
              <w:left w:w="108" w:type="dxa"/>
              <w:right w:w="108" w:type="dxa"/>
            </w:tcMar>
            <w:vAlign w:val="center"/>
          </w:tcPr>
          <w:p w14:paraId="5DFA2CFB">
            <w:pPr>
              <w:jc w:val="center"/>
              <w:rPr>
                <w:rFonts w:hint="eastAsia" w:ascii="方正黑体_GBK" w:hAnsi="方正黑体_GBK" w:eastAsia="方正黑体_GBK" w:cs="方正黑体_GBK"/>
                <w:sz w:val="24"/>
                <w:szCs w:val="24"/>
                <w:lang w:val="en-US" w:eastAsia="zh-CN"/>
              </w:rPr>
            </w:pPr>
          </w:p>
        </w:tc>
        <w:tc>
          <w:tcPr>
            <w:tcW w:w="1320" w:type="dxa"/>
            <w:tcBorders>
              <w:tl2br w:val="nil"/>
              <w:tr2bl w:val="nil"/>
            </w:tcBorders>
            <w:shd w:val="clear" w:color="auto" w:fill="FFFFFF"/>
            <w:noWrap w:val="0"/>
            <w:tcMar>
              <w:left w:w="108" w:type="dxa"/>
              <w:right w:w="108" w:type="dxa"/>
            </w:tcMar>
            <w:vAlign w:val="center"/>
          </w:tcPr>
          <w:p w14:paraId="68B49D40">
            <w:pPr>
              <w:jc w:val="cente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rPr>
              <w:t>联系人</w:t>
            </w:r>
          </w:p>
        </w:tc>
        <w:tc>
          <w:tcPr>
            <w:tcW w:w="1860" w:type="dxa"/>
            <w:tcBorders>
              <w:tl2br w:val="nil"/>
              <w:tr2bl w:val="nil"/>
            </w:tcBorders>
            <w:shd w:val="clear" w:color="auto" w:fill="FFFFFF"/>
            <w:noWrap w:val="0"/>
            <w:tcMar>
              <w:left w:w="108" w:type="dxa"/>
              <w:right w:w="108" w:type="dxa"/>
            </w:tcMar>
            <w:vAlign w:val="center"/>
          </w:tcPr>
          <w:p w14:paraId="1BF1B9FD">
            <w:pPr>
              <w:jc w:val="center"/>
              <w:rPr>
                <w:rFonts w:hint="eastAsia" w:ascii="方正黑体_GBK" w:hAnsi="方正黑体_GBK" w:eastAsia="方正黑体_GBK" w:cs="方正黑体_GBK"/>
                <w:sz w:val="24"/>
                <w:szCs w:val="24"/>
                <w:lang w:val="en-US" w:eastAsia="zh-CN"/>
              </w:rPr>
            </w:pPr>
          </w:p>
        </w:tc>
        <w:tc>
          <w:tcPr>
            <w:tcW w:w="1574" w:type="dxa"/>
            <w:tcBorders>
              <w:tl2br w:val="nil"/>
              <w:tr2bl w:val="nil"/>
            </w:tcBorders>
            <w:shd w:val="clear" w:color="auto" w:fill="FFFFFF"/>
            <w:noWrap w:val="0"/>
            <w:tcMar>
              <w:left w:w="108" w:type="dxa"/>
              <w:right w:w="108" w:type="dxa"/>
            </w:tcMar>
            <w:vAlign w:val="center"/>
          </w:tcPr>
          <w:p w14:paraId="5814B5F8">
            <w:pPr>
              <w:jc w:val="cente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rPr>
              <w:t>联系电话</w:t>
            </w:r>
          </w:p>
        </w:tc>
        <w:tc>
          <w:tcPr>
            <w:tcW w:w="2044" w:type="dxa"/>
            <w:tcBorders>
              <w:tl2br w:val="nil"/>
              <w:tr2bl w:val="nil"/>
            </w:tcBorders>
            <w:shd w:val="clear" w:color="auto" w:fill="FFFFFF"/>
            <w:noWrap w:val="0"/>
            <w:tcMar>
              <w:left w:w="108" w:type="dxa"/>
              <w:right w:w="108" w:type="dxa"/>
            </w:tcMar>
            <w:vAlign w:val="center"/>
          </w:tcPr>
          <w:p w14:paraId="245E3ADA">
            <w:pPr>
              <w:rPr>
                <w:rFonts w:hint="eastAsia" w:ascii="仿宋_GB2312" w:hAnsi="仿宋_GB2312" w:eastAsia="仿宋_GB2312" w:cs="仿宋_GB2312"/>
                <w:sz w:val="24"/>
                <w:szCs w:val="24"/>
              </w:rPr>
            </w:pPr>
          </w:p>
        </w:tc>
      </w:tr>
      <w:tr w14:paraId="185B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23" w:hRule="atLeast"/>
          <w:tblCellSpacing w:w="0" w:type="dxa"/>
        </w:trPr>
        <w:tc>
          <w:tcPr>
            <w:tcW w:w="1760" w:type="dxa"/>
            <w:tcBorders>
              <w:tl2br w:val="nil"/>
              <w:tr2bl w:val="nil"/>
            </w:tcBorders>
            <w:shd w:val="clear" w:color="auto" w:fill="FFFFFF"/>
            <w:noWrap w:val="0"/>
            <w:tcMar>
              <w:left w:w="108" w:type="dxa"/>
              <w:right w:w="108" w:type="dxa"/>
            </w:tcMar>
            <w:vAlign w:val="center"/>
          </w:tcPr>
          <w:p w14:paraId="4520802D">
            <w:pPr>
              <w:jc w:val="cente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环评编制单位</w:t>
            </w:r>
          </w:p>
        </w:tc>
        <w:tc>
          <w:tcPr>
            <w:tcW w:w="6798" w:type="dxa"/>
            <w:gridSpan w:val="4"/>
            <w:tcBorders>
              <w:tl2br w:val="nil"/>
              <w:tr2bl w:val="nil"/>
            </w:tcBorders>
            <w:shd w:val="clear" w:color="auto" w:fill="FFFFFF"/>
            <w:noWrap w:val="0"/>
            <w:tcMar>
              <w:left w:w="108" w:type="dxa"/>
              <w:right w:w="108" w:type="dxa"/>
            </w:tcMar>
            <w:vAlign w:val="center"/>
          </w:tcPr>
          <w:p w14:paraId="7E9114A4">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p>
        </w:tc>
      </w:tr>
      <w:tr w14:paraId="21B48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7" w:hRule="atLeast"/>
          <w:tblCellSpacing w:w="0" w:type="dxa"/>
        </w:trPr>
        <w:tc>
          <w:tcPr>
            <w:tcW w:w="1760" w:type="dxa"/>
            <w:tcBorders>
              <w:tl2br w:val="nil"/>
              <w:tr2bl w:val="nil"/>
            </w:tcBorders>
            <w:shd w:val="clear" w:color="auto" w:fill="FFFFFF"/>
            <w:noWrap w:val="0"/>
            <w:tcMar>
              <w:left w:w="108" w:type="dxa"/>
              <w:right w:w="108" w:type="dxa"/>
            </w:tcMar>
            <w:vAlign w:val="center"/>
          </w:tcPr>
          <w:p w14:paraId="58064610">
            <w:pPr>
              <w:jc w:val="cente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评价内容</w:t>
            </w:r>
          </w:p>
        </w:tc>
        <w:tc>
          <w:tcPr>
            <w:tcW w:w="4754" w:type="dxa"/>
            <w:gridSpan w:val="3"/>
            <w:tcBorders>
              <w:tl2br w:val="nil"/>
              <w:tr2bl w:val="nil"/>
            </w:tcBorders>
            <w:shd w:val="clear" w:color="auto" w:fill="FFFFFF"/>
            <w:noWrap w:val="0"/>
            <w:tcMar>
              <w:left w:w="108" w:type="dxa"/>
              <w:right w:w="108" w:type="dxa"/>
            </w:tcMar>
            <w:vAlign w:val="center"/>
          </w:tcPr>
          <w:p w14:paraId="4DF84EC4">
            <w:pPr>
              <w:jc w:val="cente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评价标准</w:t>
            </w:r>
          </w:p>
        </w:tc>
        <w:tc>
          <w:tcPr>
            <w:tcW w:w="2044" w:type="dxa"/>
            <w:tcBorders>
              <w:tl2br w:val="nil"/>
              <w:tr2bl w:val="nil"/>
            </w:tcBorders>
            <w:shd w:val="clear" w:color="auto" w:fill="FFFFFF"/>
            <w:noWrap w:val="0"/>
            <w:tcMar>
              <w:left w:w="108" w:type="dxa"/>
              <w:right w:w="108" w:type="dxa"/>
            </w:tcMar>
            <w:vAlign w:val="center"/>
          </w:tcPr>
          <w:p w14:paraId="1C7257C7">
            <w:pPr>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评价结果（是/否）</w:t>
            </w:r>
          </w:p>
        </w:tc>
      </w:tr>
      <w:tr w14:paraId="4F65F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19" w:hRule="atLeast"/>
          <w:tblCellSpacing w:w="0" w:type="dxa"/>
        </w:trPr>
        <w:tc>
          <w:tcPr>
            <w:tcW w:w="1760" w:type="dxa"/>
            <w:vMerge w:val="restart"/>
            <w:tcBorders>
              <w:tl2br w:val="nil"/>
              <w:tr2bl w:val="nil"/>
            </w:tcBorders>
            <w:shd w:val="clear" w:color="auto" w:fill="FFFFFF"/>
            <w:noWrap w:val="0"/>
            <w:tcMar>
              <w:left w:w="108" w:type="dxa"/>
              <w:right w:w="108" w:type="dxa"/>
            </w:tcMar>
            <w:vAlign w:val="center"/>
          </w:tcPr>
          <w:p w14:paraId="7A2AD899">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服务</w:t>
            </w:r>
            <w:r>
              <w:rPr>
                <w:rFonts w:hint="eastAsia" w:ascii="仿宋_GB2312" w:hAnsi="仿宋_GB2312" w:eastAsia="仿宋_GB2312" w:cs="仿宋_GB2312"/>
                <w:sz w:val="24"/>
                <w:szCs w:val="24"/>
              </w:rPr>
              <w:t>效能</w:t>
            </w:r>
          </w:p>
        </w:tc>
        <w:tc>
          <w:tcPr>
            <w:tcW w:w="4754" w:type="dxa"/>
            <w:gridSpan w:val="3"/>
            <w:tcBorders>
              <w:tl2br w:val="nil"/>
              <w:tr2bl w:val="nil"/>
            </w:tcBorders>
            <w:shd w:val="clear" w:color="auto" w:fill="FFFFFF"/>
            <w:noWrap w:val="0"/>
            <w:tcMar>
              <w:left w:w="108" w:type="dxa"/>
              <w:right w:w="108" w:type="dxa"/>
            </w:tcMar>
            <w:vAlign w:val="center"/>
          </w:tcPr>
          <w:p w14:paraId="39D16514">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合同中是否约定环评文本编制完成所需时间或是否承诺过环评文本编制完成时间，并按约定（承诺）时间完成环评报告编制。</w:t>
            </w:r>
          </w:p>
        </w:tc>
        <w:tc>
          <w:tcPr>
            <w:tcW w:w="2044" w:type="dxa"/>
            <w:tcBorders>
              <w:tl2br w:val="nil"/>
              <w:tr2bl w:val="nil"/>
            </w:tcBorders>
            <w:shd w:val="clear" w:color="auto" w:fill="FFFFFF"/>
            <w:noWrap w:val="0"/>
            <w:tcMar>
              <w:left w:w="108" w:type="dxa"/>
              <w:right w:w="108" w:type="dxa"/>
            </w:tcMar>
            <w:vAlign w:val="center"/>
          </w:tcPr>
          <w:p w14:paraId="3A46C5F3">
            <w:pPr>
              <w:rPr>
                <w:rFonts w:hint="eastAsia" w:ascii="仿宋_GB2312" w:hAnsi="仿宋_GB2312" w:eastAsia="仿宋_GB2312" w:cs="仿宋_GB2312"/>
                <w:sz w:val="24"/>
                <w:szCs w:val="24"/>
              </w:rPr>
            </w:pPr>
          </w:p>
        </w:tc>
      </w:tr>
      <w:tr w14:paraId="3D74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17" w:hRule="atLeast"/>
          <w:tblCellSpacing w:w="0" w:type="dxa"/>
        </w:trPr>
        <w:tc>
          <w:tcPr>
            <w:tcW w:w="1760" w:type="dxa"/>
            <w:vMerge w:val="continue"/>
            <w:tcBorders>
              <w:tl2br w:val="nil"/>
              <w:tr2bl w:val="nil"/>
            </w:tcBorders>
            <w:shd w:val="clear" w:color="auto" w:fill="FFFFFF"/>
            <w:noWrap w:val="0"/>
            <w:tcMar>
              <w:left w:w="108" w:type="dxa"/>
              <w:right w:w="108" w:type="dxa"/>
            </w:tcMar>
            <w:vAlign w:val="center"/>
          </w:tcPr>
          <w:p w14:paraId="40F37C82">
            <w:pPr>
              <w:jc w:val="center"/>
              <w:rPr>
                <w:rFonts w:hint="eastAsia" w:ascii="仿宋_GB2312" w:hAnsi="仿宋_GB2312" w:eastAsia="仿宋_GB2312" w:cs="仿宋_GB2312"/>
                <w:sz w:val="24"/>
                <w:szCs w:val="24"/>
              </w:rPr>
            </w:pPr>
          </w:p>
        </w:tc>
        <w:tc>
          <w:tcPr>
            <w:tcW w:w="4754" w:type="dxa"/>
            <w:gridSpan w:val="3"/>
            <w:tcBorders>
              <w:tl2br w:val="nil"/>
              <w:tr2bl w:val="nil"/>
            </w:tcBorders>
            <w:shd w:val="clear" w:color="auto" w:fill="FFFFFF"/>
            <w:noWrap w:val="0"/>
            <w:tcMar>
              <w:left w:w="108" w:type="dxa"/>
              <w:right w:w="108" w:type="dxa"/>
            </w:tcMar>
            <w:vAlign w:val="center"/>
          </w:tcPr>
          <w:p w14:paraId="6125DC8B">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环评编制单位在编制过程中是否存在为不能按期完成工作而寻找各种借口（诸如审批部门要求高、专家要求高等）的行为。</w:t>
            </w:r>
          </w:p>
        </w:tc>
        <w:tc>
          <w:tcPr>
            <w:tcW w:w="2044" w:type="dxa"/>
            <w:tcBorders>
              <w:tl2br w:val="nil"/>
              <w:tr2bl w:val="nil"/>
            </w:tcBorders>
            <w:shd w:val="clear" w:color="auto" w:fill="FFFFFF"/>
            <w:noWrap w:val="0"/>
            <w:tcMar>
              <w:left w:w="108" w:type="dxa"/>
              <w:right w:w="108" w:type="dxa"/>
            </w:tcMar>
            <w:vAlign w:val="center"/>
          </w:tcPr>
          <w:p w14:paraId="058DF21E">
            <w:pPr>
              <w:rPr>
                <w:rFonts w:hint="eastAsia" w:ascii="仿宋_GB2312" w:hAnsi="仿宋_GB2312" w:eastAsia="仿宋_GB2312" w:cs="仿宋_GB2312"/>
                <w:sz w:val="24"/>
                <w:szCs w:val="24"/>
              </w:rPr>
            </w:pPr>
          </w:p>
        </w:tc>
      </w:tr>
      <w:tr w14:paraId="2E0B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63" w:hRule="atLeast"/>
          <w:tblCellSpacing w:w="0" w:type="dxa"/>
        </w:trPr>
        <w:tc>
          <w:tcPr>
            <w:tcW w:w="1760" w:type="dxa"/>
            <w:vMerge w:val="restart"/>
            <w:tcBorders>
              <w:tl2br w:val="nil"/>
              <w:tr2bl w:val="nil"/>
            </w:tcBorders>
            <w:shd w:val="clear" w:color="auto" w:fill="FFFFFF"/>
            <w:noWrap w:val="0"/>
            <w:tcMar>
              <w:left w:w="108" w:type="dxa"/>
              <w:right w:w="108" w:type="dxa"/>
            </w:tcMar>
            <w:vAlign w:val="center"/>
          </w:tcPr>
          <w:p w14:paraId="2D54796E">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服务收费</w:t>
            </w:r>
          </w:p>
        </w:tc>
        <w:tc>
          <w:tcPr>
            <w:tcW w:w="4754" w:type="dxa"/>
            <w:gridSpan w:val="3"/>
            <w:tcBorders>
              <w:tl2br w:val="nil"/>
              <w:tr2bl w:val="nil"/>
            </w:tcBorders>
            <w:shd w:val="clear" w:color="auto" w:fill="FFFFFF"/>
            <w:noWrap w:val="0"/>
            <w:tcMar>
              <w:left w:w="108" w:type="dxa"/>
              <w:right w:w="108" w:type="dxa"/>
            </w:tcMar>
            <w:vAlign w:val="center"/>
          </w:tcPr>
          <w:p w14:paraId="6B898597">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合同签订后，在环评文件编制过程中是否存在额外收费（包括增加检验检测费、专家咨询费等，确因建设单位原因的除外）。</w:t>
            </w:r>
          </w:p>
        </w:tc>
        <w:tc>
          <w:tcPr>
            <w:tcW w:w="2044" w:type="dxa"/>
            <w:tcBorders>
              <w:tl2br w:val="nil"/>
              <w:tr2bl w:val="nil"/>
            </w:tcBorders>
            <w:shd w:val="clear" w:color="auto" w:fill="FFFFFF"/>
            <w:noWrap w:val="0"/>
            <w:tcMar>
              <w:left w:w="108" w:type="dxa"/>
              <w:right w:w="108" w:type="dxa"/>
            </w:tcMar>
            <w:vAlign w:val="center"/>
          </w:tcPr>
          <w:p w14:paraId="4AC16670">
            <w:pPr>
              <w:rPr>
                <w:rFonts w:hint="eastAsia" w:ascii="仿宋_GB2312" w:hAnsi="仿宋_GB2312" w:eastAsia="仿宋_GB2312" w:cs="仿宋_GB2312"/>
                <w:sz w:val="24"/>
                <w:szCs w:val="24"/>
              </w:rPr>
            </w:pPr>
          </w:p>
        </w:tc>
      </w:tr>
      <w:tr w14:paraId="6062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50" w:hRule="atLeast"/>
          <w:tblCellSpacing w:w="0" w:type="dxa"/>
        </w:trPr>
        <w:tc>
          <w:tcPr>
            <w:tcW w:w="1760" w:type="dxa"/>
            <w:vMerge w:val="continue"/>
            <w:tcBorders>
              <w:tl2br w:val="nil"/>
              <w:tr2bl w:val="nil"/>
            </w:tcBorders>
            <w:shd w:val="clear" w:color="auto" w:fill="FFFFFF"/>
            <w:noWrap w:val="0"/>
            <w:tcMar>
              <w:left w:w="108" w:type="dxa"/>
              <w:right w:w="108" w:type="dxa"/>
            </w:tcMar>
            <w:vAlign w:val="center"/>
          </w:tcPr>
          <w:p w14:paraId="47D96DFD">
            <w:pPr>
              <w:jc w:val="center"/>
              <w:rPr>
                <w:rFonts w:hint="eastAsia" w:ascii="仿宋_GB2312" w:hAnsi="仿宋_GB2312" w:eastAsia="仿宋_GB2312" w:cs="仿宋_GB2312"/>
                <w:sz w:val="24"/>
                <w:szCs w:val="24"/>
              </w:rPr>
            </w:pPr>
          </w:p>
        </w:tc>
        <w:tc>
          <w:tcPr>
            <w:tcW w:w="4754" w:type="dxa"/>
            <w:gridSpan w:val="3"/>
            <w:tcBorders>
              <w:tl2br w:val="nil"/>
              <w:tr2bl w:val="nil"/>
            </w:tcBorders>
            <w:shd w:val="clear" w:color="auto" w:fill="FFFFFF"/>
            <w:noWrap w:val="0"/>
            <w:tcMar>
              <w:left w:w="108" w:type="dxa"/>
              <w:right w:w="108" w:type="dxa"/>
            </w:tcMar>
            <w:vAlign w:val="center"/>
          </w:tcPr>
          <w:p w14:paraId="21063087">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是否存在收款单位与环评编制单位不一致情况。</w:t>
            </w:r>
          </w:p>
        </w:tc>
        <w:tc>
          <w:tcPr>
            <w:tcW w:w="2044" w:type="dxa"/>
            <w:tcBorders>
              <w:tl2br w:val="nil"/>
              <w:tr2bl w:val="nil"/>
            </w:tcBorders>
            <w:shd w:val="clear" w:color="auto" w:fill="FFFFFF"/>
            <w:noWrap w:val="0"/>
            <w:tcMar>
              <w:left w:w="108" w:type="dxa"/>
              <w:right w:w="108" w:type="dxa"/>
            </w:tcMar>
            <w:vAlign w:val="center"/>
          </w:tcPr>
          <w:p w14:paraId="0329FE19">
            <w:pPr>
              <w:rPr>
                <w:rFonts w:hint="eastAsia" w:ascii="仿宋_GB2312" w:hAnsi="仿宋_GB2312" w:eastAsia="仿宋_GB2312" w:cs="仿宋_GB2312"/>
                <w:sz w:val="24"/>
                <w:szCs w:val="24"/>
              </w:rPr>
            </w:pPr>
          </w:p>
        </w:tc>
      </w:tr>
      <w:tr w14:paraId="7650C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63" w:hRule="atLeast"/>
          <w:tblCellSpacing w:w="0" w:type="dxa"/>
        </w:trPr>
        <w:tc>
          <w:tcPr>
            <w:tcW w:w="1760" w:type="dxa"/>
            <w:vMerge w:val="restart"/>
            <w:tcBorders>
              <w:tl2br w:val="nil"/>
              <w:tr2bl w:val="nil"/>
            </w:tcBorders>
            <w:shd w:val="clear" w:color="auto" w:fill="FFFFFF"/>
            <w:noWrap w:val="0"/>
            <w:tcMar>
              <w:left w:w="108" w:type="dxa"/>
              <w:right w:w="108" w:type="dxa"/>
            </w:tcMar>
            <w:vAlign w:val="center"/>
          </w:tcPr>
          <w:p w14:paraId="72A63D25">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服务态度</w:t>
            </w:r>
          </w:p>
        </w:tc>
        <w:tc>
          <w:tcPr>
            <w:tcW w:w="4754" w:type="dxa"/>
            <w:gridSpan w:val="3"/>
            <w:tcBorders>
              <w:tl2br w:val="nil"/>
              <w:tr2bl w:val="nil"/>
            </w:tcBorders>
            <w:shd w:val="clear" w:color="auto" w:fill="FFFFFF"/>
            <w:noWrap w:val="0"/>
            <w:tcMar>
              <w:left w:w="108" w:type="dxa"/>
              <w:right w:w="108" w:type="dxa"/>
            </w:tcMar>
            <w:vAlign w:val="center"/>
          </w:tcPr>
          <w:p w14:paraId="2029AD80">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接受委托后，是否一次性告知需</w:t>
            </w:r>
            <w:r>
              <w:rPr>
                <w:rFonts w:hint="default" w:ascii="仿宋_GB2312" w:hAnsi="仿宋_GB2312" w:eastAsia="仿宋_GB2312" w:cs="仿宋_GB2312"/>
                <w:sz w:val="24"/>
                <w:szCs w:val="24"/>
                <w:lang w:val="en-US" w:eastAsia="zh-CN"/>
              </w:rPr>
              <w:t>委托人</w:t>
            </w:r>
            <w:r>
              <w:rPr>
                <w:rFonts w:hint="eastAsia" w:ascii="仿宋_GB2312" w:hAnsi="仿宋_GB2312" w:eastAsia="仿宋_GB2312" w:cs="仿宋_GB2312"/>
                <w:sz w:val="24"/>
                <w:szCs w:val="24"/>
                <w:lang w:val="en-US" w:eastAsia="zh-CN"/>
              </w:rPr>
              <w:t>完成的事项（含相关资料）、需委托人配合完成的事项。</w:t>
            </w:r>
          </w:p>
        </w:tc>
        <w:tc>
          <w:tcPr>
            <w:tcW w:w="2044" w:type="dxa"/>
            <w:tcBorders>
              <w:tl2br w:val="nil"/>
              <w:tr2bl w:val="nil"/>
            </w:tcBorders>
            <w:shd w:val="clear" w:color="auto" w:fill="FFFFFF"/>
            <w:noWrap w:val="0"/>
            <w:tcMar>
              <w:left w:w="108" w:type="dxa"/>
              <w:right w:w="108" w:type="dxa"/>
            </w:tcMar>
            <w:vAlign w:val="center"/>
          </w:tcPr>
          <w:p w14:paraId="30EC74EC">
            <w:pPr>
              <w:rPr>
                <w:rFonts w:hint="eastAsia" w:ascii="仿宋_GB2312" w:hAnsi="仿宋_GB2312" w:eastAsia="仿宋_GB2312" w:cs="仿宋_GB2312"/>
                <w:sz w:val="24"/>
                <w:szCs w:val="24"/>
              </w:rPr>
            </w:pPr>
          </w:p>
        </w:tc>
      </w:tr>
      <w:tr w14:paraId="0CB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069" w:hRule="atLeast"/>
          <w:tblCellSpacing w:w="0" w:type="dxa"/>
        </w:trPr>
        <w:tc>
          <w:tcPr>
            <w:tcW w:w="1760" w:type="dxa"/>
            <w:vMerge w:val="continue"/>
            <w:tcBorders>
              <w:tl2br w:val="nil"/>
              <w:tr2bl w:val="nil"/>
            </w:tcBorders>
            <w:shd w:val="clear" w:color="auto" w:fill="FFFFFF"/>
            <w:noWrap w:val="0"/>
            <w:tcMar>
              <w:left w:w="108" w:type="dxa"/>
              <w:right w:w="108" w:type="dxa"/>
            </w:tcMar>
            <w:vAlign w:val="center"/>
          </w:tcPr>
          <w:p w14:paraId="16DA3498">
            <w:pPr>
              <w:jc w:val="distribute"/>
              <w:rPr>
                <w:rFonts w:hint="eastAsia" w:ascii="仿宋_GB2312" w:hAnsi="仿宋_GB2312" w:eastAsia="仿宋_GB2312" w:cs="仿宋_GB2312"/>
                <w:sz w:val="24"/>
                <w:szCs w:val="24"/>
              </w:rPr>
            </w:pPr>
          </w:p>
        </w:tc>
        <w:tc>
          <w:tcPr>
            <w:tcW w:w="4754" w:type="dxa"/>
            <w:gridSpan w:val="3"/>
            <w:tcBorders>
              <w:tl2br w:val="nil"/>
              <w:tr2bl w:val="nil"/>
            </w:tcBorders>
            <w:shd w:val="clear" w:color="auto" w:fill="FFFFFF"/>
            <w:noWrap w:val="0"/>
            <w:tcMar>
              <w:left w:w="108" w:type="dxa"/>
              <w:right w:w="108" w:type="dxa"/>
            </w:tcMar>
            <w:vAlign w:val="center"/>
          </w:tcPr>
          <w:p w14:paraId="4A8FE229">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环评文件编制过程中是否向建设单位解释清楚当前环境保护要求，并指导建设单位如何做好环境保护工作。</w:t>
            </w:r>
          </w:p>
        </w:tc>
        <w:tc>
          <w:tcPr>
            <w:tcW w:w="2044" w:type="dxa"/>
            <w:tcBorders>
              <w:tl2br w:val="nil"/>
              <w:tr2bl w:val="nil"/>
            </w:tcBorders>
            <w:shd w:val="clear" w:color="auto" w:fill="FFFFFF"/>
            <w:noWrap w:val="0"/>
            <w:tcMar>
              <w:left w:w="108" w:type="dxa"/>
              <w:right w:w="108" w:type="dxa"/>
            </w:tcMar>
            <w:vAlign w:val="center"/>
          </w:tcPr>
          <w:p w14:paraId="0CC38B52">
            <w:pPr>
              <w:rPr>
                <w:rFonts w:hint="eastAsia" w:ascii="仿宋_GB2312" w:hAnsi="仿宋_GB2312" w:eastAsia="仿宋_GB2312" w:cs="仿宋_GB2312"/>
                <w:sz w:val="24"/>
                <w:szCs w:val="24"/>
              </w:rPr>
            </w:pPr>
          </w:p>
        </w:tc>
      </w:tr>
    </w:tbl>
    <w:p w14:paraId="4993A3A7">
      <w:pPr>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34F5C"/>
    <w:rsid w:val="02271514"/>
    <w:rsid w:val="02815F22"/>
    <w:rsid w:val="0D56420A"/>
    <w:rsid w:val="0F8D62AB"/>
    <w:rsid w:val="11DB1C4B"/>
    <w:rsid w:val="16C975F8"/>
    <w:rsid w:val="252D7AA3"/>
    <w:rsid w:val="270B0685"/>
    <w:rsid w:val="2A140221"/>
    <w:rsid w:val="338A6BD6"/>
    <w:rsid w:val="360702A0"/>
    <w:rsid w:val="36792C3A"/>
    <w:rsid w:val="3A1931E3"/>
    <w:rsid w:val="49FB7211"/>
    <w:rsid w:val="604C2842"/>
    <w:rsid w:val="62880B49"/>
    <w:rsid w:val="6A1D0124"/>
    <w:rsid w:val="6BB44824"/>
    <w:rsid w:val="6D19654B"/>
    <w:rsid w:val="75601215"/>
    <w:rsid w:val="77562191"/>
    <w:rsid w:val="77F78D68"/>
    <w:rsid w:val="7DBC1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odyText"/>
    <w:basedOn w:val="1"/>
    <w:qFormat/>
    <w:uiPriority w:val="0"/>
    <w:pPr>
      <w:textAlignment w:val="baseline"/>
    </w:pPr>
    <w:rPr>
      <w:rFonts w:ascii="Calibri" w:hAnsi="Calibri"/>
      <w:sz w:val="32"/>
      <w:szCs w:val="32"/>
    </w:rPr>
  </w:style>
  <w:style w:type="character" w:customStyle="1" w:styleId="8">
    <w:name w:val="font11"/>
    <w:basedOn w:val="6"/>
    <w:qFormat/>
    <w:uiPriority w:val="0"/>
    <w:rPr>
      <w:rFonts w:ascii="方正仿宋_GBK" w:hAnsi="方正仿宋_GBK" w:eastAsia="方正仿宋_GBK" w:cs="方正仿宋_GBK"/>
      <w:color w:val="000000"/>
      <w:sz w:val="22"/>
      <w:szCs w:val="22"/>
      <w:u w:val="none"/>
    </w:rPr>
  </w:style>
  <w:style w:type="character" w:customStyle="1" w:styleId="9">
    <w:name w:val="font21"/>
    <w:basedOn w:val="6"/>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2024-11-26T17:55:00Z</dcterms:created>
  <dc:creator>wlm</dc:creator>
  <cp:lastModifiedBy>箱子(^o^)Box</cp:lastModifiedBy>
  <cp:lastPrinted>2026-03-04T17:15:00Z</cp:lastPrinted>
  <dcterms:modified xsi:type="dcterms:W3CDTF">2026-03-05T10:37:49Z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KSOTemplateDocerSaveRecord">
    <vt:lpwstr>eyJoZGlkIjoiZmU5Y2RiYWUzZTJhMDUwNmViNGZlZmZmN2Q1OGJkMTYiLCJ1c2VySWQiOiIxNzIyMDg0OTU3In0=</vt:lpwstr>
  </property>
  <property fmtid="{D5CDD505-2E9C-101B-9397-08002B2CF9AE}" pid="4" name="ICV">
    <vt:lpwstr>9D39BFA860A6412B813049DBA743B20F_13</vt:lpwstr>
  </property>
</Properties>
</file>