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5099" w:type="pct"/>
        <w:jc w:val="center"/>
        <w:tblLayout w:type="fixed"/>
        <w:tblCellMar>
          <w:top w:w="0" w:type="dxa"/>
          <w:left w:w="108" w:type="dxa"/>
          <w:bottom w:w="0" w:type="dxa"/>
          <w:right w:w="108" w:type="dxa"/>
        </w:tblCellMar>
      </w:tblPr>
      <w:tblGrid>
        <w:gridCol w:w="486"/>
        <w:gridCol w:w="1305"/>
        <w:gridCol w:w="675"/>
        <w:gridCol w:w="1799"/>
        <w:gridCol w:w="2986"/>
        <w:gridCol w:w="625"/>
        <w:gridCol w:w="820"/>
      </w:tblGrid>
      <w:tr w14:paraId="614AE006">
        <w:tblPrEx>
          <w:tblCellMar>
            <w:top w:w="0" w:type="dxa"/>
            <w:left w:w="108" w:type="dxa"/>
            <w:bottom w:w="0" w:type="dxa"/>
            <w:right w:w="108" w:type="dxa"/>
          </w:tblCellMar>
        </w:tblPrEx>
        <w:trPr>
          <w:trHeight w:val="540" w:hRule="atLeast"/>
          <w:jc w:val="center"/>
        </w:trPr>
        <w:tc>
          <w:tcPr>
            <w:tcW w:w="4528" w:type="pct"/>
            <w:gridSpan w:val="6"/>
            <w:tcBorders>
              <w:top w:val="nil"/>
              <w:left w:val="nil"/>
              <w:bottom w:val="single" w:color="auto" w:sz="4" w:space="0"/>
              <w:right w:val="nil"/>
            </w:tcBorders>
            <w:shd w:val="clear" w:color="auto" w:fill="auto"/>
            <w:noWrap/>
            <w:vAlign w:val="center"/>
          </w:tcPr>
          <w:p w14:paraId="05418646">
            <w:pPr>
              <w:keepNext w:val="0"/>
              <w:keepLines w:val="0"/>
              <w:pageBreakBefore w:val="0"/>
              <w:widowControl w:val="0"/>
              <w:kinsoku/>
              <w:wordWrap/>
              <w:overflowPunct/>
              <w:topLinePunct w:val="0"/>
              <w:autoSpaceDE/>
              <w:autoSpaceDN/>
              <w:bidi w:val="0"/>
              <w:adjustRightInd/>
              <w:snapToGrid/>
              <w:spacing w:line="660" w:lineRule="exact"/>
              <w:ind w:left="0"/>
              <w:jc w:val="center"/>
              <w:textAlignment w:val="auto"/>
              <w:rPr>
                <w:rFonts w:hint="default" w:ascii="Times New Roman" w:hAnsi="Times New Roman" w:eastAsia="方正小标宋_GBK" w:cs="Times New Roman"/>
                <w:b w:val="0"/>
                <w:bCs w:val="0"/>
                <w:color w:val="auto"/>
                <w:spacing w:val="-6"/>
                <w:sz w:val="44"/>
                <w:szCs w:val="44"/>
                <w:highlight w:val="none"/>
                <w:lang w:eastAsia="zh-CN"/>
              </w:rPr>
            </w:pPr>
            <w:bookmarkStart w:id="0" w:name="RANGE!A1:G40"/>
            <w:r>
              <w:rPr>
                <w:rFonts w:hint="eastAsia" w:ascii="Times New Roman" w:hAnsi="Times New Roman" w:eastAsia="方正小标宋_GBK" w:cs="Times New Roman"/>
                <w:b w:val="0"/>
                <w:bCs w:val="0"/>
                <w:color w:val="auto"/>
                <w:spacing w:val="-6"/>
                <w:sz w:val="44"/>
                <w:szCs w:val="44"/>
                <w:highlight w:val="none"/>
                <w:lang w:eastAsia="zh-CN"/>
              </w:rPr>
              <w:t>行政管理部门对中介机构</w:t>
            </w:r>
            <w:r>
              <w:rPr>
                <w:rFonts w:hint="eastAsia" w:ascii="Times New Roman" w:hAnsi="Times New Roman" w:eastAsia="方正小标宋_GBK" w:cs="Times New Roman"/>
                <w:b w:val="0"/>
                <w:bCs w:val="0"/>
                <w:color w:val="auto"/>
                <w:spacing w:val="-6"/>
                <w:sz w:val="44"/>
                <w:szCs w:val="44"/>
                <w:highlight w:val="none"/>
                <w:lang w:val="en-US" w:eastAsia="zh-CN"/>
              </w:rPr>
              <w:t>量化</w:t>
            </w:r>
            <w:r>
              <w:rPr>
                <w:rFonts w:hint="eastAsia" w:ascii="Times New Roman" w:hAnsi="Times New Roman" w:eastAsia="方正小标宋_GBK" w:cs="Times New Roman"/>
                <w:b w:val="0"/>
                <w:bCs w:val="0"/>
                <w:color w:val="auto"/>
                <w:spacing w:val="-6"/>
                <w:sz w:val="44"/>
                <w:szCs w:val="44"/>
                <w:highlight w:val="none"/>
                <w:lang w:eastAsia="zh-CN"/>
              </w:rPr>
              <w:t>评价表</w:t>
            </w:r>
          </w:p>
          <w:p w14:paraId="48108774">
            <w:pPr>
              <w:jc w:val="both"/>
              <w:rPr>
                <w:rFonts w:hint="eastAsia" w:ascii="仿宋_GB2312" w:hAnsi="仿宋_GB2312" w:eastAsia="仿宋_GB2312" w:cs="仿宋_GB2312"/>
                <w:color w:val="auto"/>
                <w:sz w:val="28"/>
                <w:szCs w:val="28"/>
                <w:highlight w:val="none"/>
                <w:lang w:eastAsia="zh-CN"/>
              </w:rPr>
            </w:pPr>
          </w:p>
          <w:p w14:paraId="69B288DB">
            <w:pPr>
              <w:spacing w:line="300" w:lineRule="auto"/>
              <w:contextualSpacing/>
              <w:jc w:val="center"/>
              <w:rPr>
                <w:rFonts w:ascii="方正小标宋简体" w:eastAsia="方正小标宋简体"/>
                <w:sz w:val="44"/>
                <w:szCs w:val="44"/>
              </w:rPr>
            </w:pPr>
            <w:r>
              <w:rPr>
                <w:rFonts w:hint="eastAsia" w:ascii="仿宋_GB2312" w:hAnsi="仿宋_GB2312" w:eastAsia="仿宋_GB2312" w:cs="仿宋_GB2312"/>
                <w:color w:val="auto"/>
                <w:sz w:val="28"/>
                <w:szCs w:val="28"/>
                <w:highlight w:val="none"/>
                <w:lang w:eastAsia="zh-CN"/>
              </w:rPr>
              <w:t>填报单位（盖章）：</w:t>
            </w:r>
            <w:r>
              <w:rPr>
                <w:rFonts w:hint="eastAsia" w:ascii="仿宋_GB2312" w:hAnsi="仿宋_GB2312" w:eastAsia="仿宋_GB2312" w:cs="仿宋_GB2312"/>
                <w:color w:val="auto"/>
                <w:sz w:val="28"/>
                <w:szCs w:val="28"/>
                <w:highlight w:val="none"/>
                <w:lang w:val="en-US" w:eastAsia="zh-CN"/>
              </w:rPr>
              <w:t xml:space="preserve">                      填报时间：   </w:t>
            </w:r>
            <w:r>
              <w:rPr>
                <w:rFonts w:hint="eastAsia" w:ascii="方正小标宋_GBK" w:hAnsi="方正小标宋_GBK" w:eastAsia="方正小标宋_GBK" w:cs="方正小标宋_GBK"/>
                <w:color w:val="auto"/>
                <w:sz w:val="28"/>
                <w:szCs w:val="28"/>
                <w:highlight w:val="none"/>
                <w:lang w:val="en-US" w:eastAsia="zh-CN"/>
              </w:rPr>
              <w:t xml:space="preserve"> </w:t>
            </w:r>
          </w:p>
        </w:tc>
        <w:tc>
          <w:tcPr>
            <w:tcW w:w="471" w:type="pct"/>
            <w:tcBorders>
              <w:top w:val="nil"/>
              <w:left w:val="nil"/>
              <w:bottom w:val="single" w:color="auto" w:sz="4" w:space="0"/>
              <w:right w:val="nil"/>
            </w:tcBorders>
          </w:tcPr>
          <w:p w14:paraId="662BC972">
            <w:pPr>
              <w:spacing w:line="300" w:lineRule="auto"/>
              <w:contextualSpacing/>
              <w:jc w:val="center"/>
              <w:rPr>
                <w:rFonts w:ascii="方正小标宋简体" w:eastAsia="方正小标宋简体"/>
                <w:sz w:val="36"/>
                <w:szCs w:val="36"/>
              </w:rPr>
            </w:pPr>
          </w:p>
          <w:p w14:paraId="5517D737">
            <w:pPr>
              <w:pStyle w:val="2"/>
              <w:rPr>
                <w:rFonts w:ascii="方正小标宋简体" w:eastAsia="方正小标宋简体"/>
                <w:sz w:val="36"/>
                <w:szCs w:val="36"/>
              </w:rPr>
            </w:pPr>
          </w:p>
          <w:p w14:paraId="64FA04E2">
            <w:pPr>
              <w:pStyle w:val="2"/>
              <w:rPr>
                <w:rFonts w:ascii="方正小标宋简体" w:eastAsia="方正小标宋简体"/>
                <w:sz w:val="36"/>
                <w:szCs w:val="36"/>
              </w:rPr>
            </w:pPr>
          </w:p>
        </w:tc>
      </w:tr>
      <w:tr w14:paraId="2F1B4B13">
        <w:tblPrEx>
          <w:tblCellMar>
            <w:top w:w="0" w:type="dxa"/>
            <w:left w:w="108" w:type="dxa"/>
            <w:bottom w:w="0" w:type="dxa"/>
            <w:right w:w="108" w:type="dxa"/>
          </w:tblCellMar>
        </w:tblPrEx>
        <w:trPr>
          <w:trHeight w:val="720" w:hRule="atLeast"/>
          <w:jc w:val="center"/>
        </w:trPr>
        <w:tc>
          <w:tcPr>
            <w:tcW w:w="1417"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B91EB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20"/>
                <w:szCs w:val="20"/>
              </w:rPr>
            </w:pPr>
            <w:r>
              <w:rPr>
                <w:rFonts w:hint="default" w:ascii="Times New Roman" w:hAnsi="Times New Roman" w:eastAsia="黑体" w:cs="Times New Roman"/>
                <w:color w:val="auto"/>
                <w:sz w:val="24"/>
                <w:szCs w:val="24"/>
                <w:highlight w:val="none"/>
                <w:vertAlign w:val="baseline"/>
                <w:lang w:eastAsia="zh-CN"/>
              </w:rPr>
              <w:t>项目名称</w:t>
            </w:r>
          </w:p>
        </w:tc>
        <w:tc>
          <w:tcPr>
            <w:tcW w:w="3582" w:type="pct"/>
            <w:gridSpan w:val="4"/>
            <w:tcBorders>
              <w:top w:val="single" w:color="auto" w:sz="4" w:space="0"/>
              <w:left w:val="nil"/>
              <w:bottom w:val="single" w:color="auto" w:sz="4" w:space="0"/>
              <w:right w:val="single" w:color="auto" w:sz="4" w:space="0"/>
            </w:tcBorders>
            <w:shd w:val="clear" w:color="auto" w:fill="auto"/>
            <w:vAlign w:val="center"/>
          </w:tcPr>
          <w:p w14:paraId="24472599">
            <w:pPr>
              <w:autoSpaceDE/>
              <w:autoSpaceDN/>
              <w:jc w:val="center"/>
              <w:rPr>
                <w:rFonts w:hint="default" w:ascii="仿宋_GB2312" w:hAnsi="仿宋_GB2312" w:eastAsia="仿宋_GB2312" w:cs="仿宋_GB2312"/>
                <w:b w:val="0"/>
                <w:bCs/>
                <w:kern w:val="2"/>
                <w:sz w:val="24"/>
                <w:szCs w:val="24"/>
                <w:lang w:val="en-US" w:eastAsia="zh-CN"/>
              </w:rPr>
            </w:pPr>
            <w:r>
              <w:rPr>
                <w:rFonts w:hint="default" w:ascii="仿宋_GB2312" w:hAnsi="仿宋_GB2312" w:eastAsia="仿宋_GB2312" w:cs="仿宋_GB2312"/>
                <w:b w:val="0"/>
                <w:bCs/>
                <w:kern w:val="2"/>
                <w:sz w:val="24"/>
                <w:szCs w:val="24"/>
                <w:lang w:val="en-US" w:eastAsia="zh-CN"/>
              </w:rPr>
              <w:t>临时用地审批</w:t>
            </w:r>
          </w:p>
        </w:tc>
      </w:tr>
      <w:tr w14:paraId="52A1656B">
        <w:tblPrEx>
          <w:tblCellMar>
            <w:top w:w="0" w:type="dxa"/>
            <w:left w:w="108" w:type="dxa"/>
            <w:bottom w:w="0" w:type="dxa"/>
            <w:right w:w="108" w:type="dxa"/>
          </w:tblCellMar>
        </w:tblPrEx>
        <w:trPr>
          <w:trHeight w:val="720" w:hRule="atLeast"/>
          <w:jc w:val="center"/>
        </w:trPr>
        <w:tc>
          <w:tcPr>
            <w:tcW w:w="1417"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5902C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rPr>
            </w:pPr>
            <w:r>
              <w:rPr>
                <w:rFonts w:hint="default" w:ascii="Times New Roman" w:hAnsi="Times New Roman" w:eastAsia="黑体" w:cs="Times New Roman"/>
                <w:color w:val="auto"/>
                <w:sz w:val="24"/>
                <w:szCs w:val="24"/>
                <w:highlight w:val="none"/>
                <w:vertAlign w:val="baseline"/>
                <w:lang w:eastAsia="zh-CN"/>
              </w:rPr>
              <w:t>中介服务事项</w:t>
            </w:r>
          </w:p>
        </w:tc>
        <w:tc>
          <w:tcPr>
            <w:tcW w:w="3582" w:type="pct"/>
            <w:gridSpan w:val="4"/>
            <w:tcBorders>
              <w:top w:val="single" w:color="auto" w:sz="4" w:space="0"/>
              <w:left w:val="nil"/>
              <w:bottom w:val="single" w:color="auto" w:sz="4" w:space="0"/>
              <w:right w:val="single" w:color="auto" w:sz="4" w:space="0"/>
            </w:tcBorders>
            <w:shd w:val="clear" w:color="auto" w:fill="auto"/>
            <w:vAlign w:val="center"/>
          </w:tcPr>
          <w:p w14:paraId="08A07B1D">
            <w:pPr>
              <w:autoSpaceDE/>
              <w:autoSpaceDN/>
              <w:jc w:val="center"/>
              <w:rPr>
                <w:rFonts w:hint="eastAsia" w:ascii="仿宋_GB2312" w:hAnsi="仿宋_GB2312" w:eastAsia="仿宋_GB2312" w:cs="仿宋_GB2312"/>
                <w:b w:val="0"/>
                <w:bCs/>
                <w:kern w:val="2"/>
                <w:sz w:val="24"/>
                <w:szCs w:val="24"/>
                <w:lang w:val="en-US" w:eastAsia="zh-CN"/>
              </w:rPr>
            </w:pPr>
            <w:r>
              <w:rPr>
                <w:rFonts w:hint="default" w:ascii="仿宋_GB2312" w:hAnsi="仿宋_GB2312" w:eastAsia="仿宋_GB2312" w:cs="仿宋_GB2312"/>
                <w:b w:val="0"/>
                <w:bCs/>
                <w:kern w:val="2"/>
                <w:sz w:val="24"/>
                <w:szCs w:val="24"/>
                <w:lang w:val="en-US" w:eastAsia="zh-CN"/>
              </w:rPr>
              <w:t>编制土地复垦方案</w:t>
            </w:r>
          </w:p>
        </w:tc>
      </w:tr>
      <w:tr w14:paraId="52077C11">
        <w:tblPrEx>
          <w:tblCellMar>
            <w:top w:w="0" w:type="dxa"/>
            <w:left w:w="108" w:type="dxa"/>
            <w:bottom w:w="0" w:type="dxa"/>
            <w:right w:w="108" w:type="dxa"/>
          </w:tblCellMar>
        </w:tblPrEx>
        <w:trPr>
          <w:trHeight w:val="720" w:hRule="atLeast"/>
          <w:jc w:val="center"/>
        </w:trPr>
        <w:tc>
          <w:tcPr>
            <w:tcW w:w="1417"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B241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rPr>
            </w:pPr>
            <w:r>
              <w:rPr>
                <w:rFonts w:hint="default" w:ascii="Times New Roman" w:hAnsi="Times New Roman" w:eastAsia="黑体" w:cs="Times New Roman"/>
                <w:color w:val="auto"/>
                <w:sz w:val="24"/>
                <w:szCs w:val="24"/>
                <w:highlight w:val="none"/>
                <w:vertAlign w:val="baseline"/>
                <w:lang w:eastAsia="zh-CN"/>
              </w:rPr>
              <w:t>中介机构名称</w:t>
            </w:r>
          </w:p>
        </w:tc>
        <w:tc>
          <w:tcPr>
            <w:tcW w:w="1034" w:type="pct"/>
            <w:tcBorders>
              <w:top w:val="single" w:color="auto" w:sz="4" w:space="0"/>
              <w:left w:val="nil"/>
              <w:bottom w:val="single" w:color="auto" w:sz="4" w:space="0"/>
              <w:right w:val="single" w:color="auto" w:sz="4" w:space="0"/>
            </w:tcBorders>
            <w:shd w:val="clear" w:color="auto" w:fill="auto"/>
            <w:vAlign w:val="top"/>
          </w:tcPr>
          <w:p w14:paraId="31E31684">
            <w:pPr>
              <w:jc w:val="center"/>
              <w:rPr>
                <w:rFonts w:hint="eastAsia"/>
                <w:sz w:val="20"/>
                <w:szCs w:val="20"/>
              </w:rPr>
            </w:pPr>
          </w:p>
        </w:tc>
        <w:tc>
          <w:tcPr>
            <w:tcW w:w="1716" w:type="pct"/>
            <w:tcBorders>
              <w:top w:val="single" w:color="auto" w:sz="4" w:space="0"/>
              <w:left w:val="nil"/>
              <w:bottom w:val="single" w:color="auto" w:sz="4" w:space="0"/>
              <w:right w:val="single" w:color="auto" w:sz="4" w:space="0"/>
            </w:tcBorders>
            <w:shd w:val="clear" w:color="auto" w:fill="auto"/>
            <w:noWrap/>
            <w:vAlign w:val="center"/>
          </w:tcPr>
          <w:p w14:paraId="2E182381">
            <w:pPr>
              <w:jc w:val="center"/>
              <w:rPr>
                <w:rFonts w:hint="eastAsia"/>
                <w:sz w:val="20"/>
                <w:szCs w:val="20"/>
              </w:rPr>
            </w:pPr>
            <w:r>
              <w:rPr>
                <w:rFonts w:hint="default" w:ascii="Times New Roman" w:hAnsi="Times New Roman" w:eastAsia="黑体" w:cs="Times New Roman"/>
                <w:color w:val="auto"/>
                <w:sz w:val="24"/>
                <w:szCs w:val="24"/>
                <w:highlight w:val="none"/>
                <w:vertAlign w:val="baseline"/>
                <w:lang w:eastAsia="zh-CN"/>
              </w:rPr>
              <w:t>办结时间</w:t>
            </w:r>
          </w:p>
        </w:tc>
        <w:tc>
          <w:tcPr>
            <w:tcW w:w="830" w:type="pct"/>
            <w:gridSpan w:val="2"/>
            <w:tcBorders>
              <w:top w:val="single" w:color="auto" w:sz="4" w:space="0"/>
              <w:left w:val="nil"/>
              <w:bottom w:val="single" w:color="auto" w:sz="4" w:space="0"/>
              <w:right w:val="single" w:color="auto" w:sz="4" w:space="0"/>
            </w:tcBorders>
            <w:vAlign w:val="top"/>
          </w:tcPr>
          <w:p w14:paraId="549D93CE">
            <w:pPr>
              <w:jc w:val="center"/>
              <w:rPr>
                <w:rFonts w:hint="eastAsia"/>
                <w:sz w:val="20"/>
                <w:szCs w:val="20"/>
              </w:rPr>
            </w:pPr>
          </w:p>
        </w:tc>
      </w:tr>
      <w:tr w14:paraId="063272FA">
        <w:tblPrEx>
          <w:tblCellMar>
            <w:top w:w="0" w:type="dxa"/>
            <w:left w:w="108" w:type="dxa"/>
            <w:bottom w:w="0" w:type="dxa"/>
            <w:right w:w="108" w:type="dxa"/>
          </w:tblCellMar>
        </w:tblPrEx>
        <w:trPr>
          <w:trHeight w:val="815" w:hRule="atLeast"/>
          <w:jc w:val="center"/>
        </w:trPr>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DE346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eastAsia="zh-CN"/>
              </w:rPr>
              <w:t>序号</w:t>
            </w:r>
          </w:p>
        </w:tc>
        <w:tc>
          <w:tcPr>
            <w:tcW w:w="750" w:type="pct"/>
            <w:tcBorders>
              <w:top w:val="single" w:color="auto" w:sz="4" w:space="0"/>
              <w:left w:val="nil"/>
              <w:bottom w:val="single" w:color="auto" w:sz="4" w:space="0"/>
              <w:right w:val="single" w:color="auto" w:sz="4" w:space="0"/>
            </w:tcBorders>
            <w:shd w:val="clear" w:color="auto" w:fill="auto"/>
            <w:vAlign w:val="center"/>
          </w:tcPr>
          <w:p w14:paraId="5D7198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eastAsia="zh-CN"/>
              </w:rPr>
              <w:t>评审内容</w:t>
            </w:r>
          </w:p>
        </w:tc>
        <w:tc>
          <w:tcPr>
            <w:tcW w:w="388" w:type="pct"/>
            <w:tcBorders>
              <w:top w:val="single" w:color="auto" w:sz="4" w:space="0"/>
              <w:left w:val="nil"/>
              <w:bottom w:val="single" w:color="auto" w:sz="4" w:space="0"/>
              <w:right w:val="single" w:color="auto" w:sz="4" w:space="0"/>
            </w:tcBorders>
            <w:shd w:val="clear" w:color="auto" w:fill="auto"/>
            <w:vAlign w:val="center"/>
          </w:tcPr>
          <w:p w14:paraId="2D2D48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eastAsia="zh-CN"/>
              </w:rPr>
              <w:t>总分值</w:t>
            </w:r>
          </w:p>
        </w:tc>
        <w:tc>
          <w:tcPr>
            <w:tcW w:w="2751" w:type="pct"/>
            <w:gridSpan w:val="2"/>
            <w:tcBorders>
              <w:top w:val="single" w:color="auto" w:sz="4" w:space="0"/>
              <w:left w:val="nil"/>
              <w:bottom w:val="single" w:color="auto" w:sz="4" w:space="0"/>
              <w:right w:val="single" w:color="auto" w:sz="4" w:space="0"/>
            </w:tcBorders>
            <w:shd w:val="clear" w:color="auto" w:fill="auto"/>
            <w:vAlign w:val="center"/>
          </w:tcPr>
          <w:p w14:paraId="745978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eastAsia="zh-CN"/>
              </w:rPr>
              <w:t>评分要点</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7EF244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eastAsia="zh-CN"/>
              </w:rPr>
              <w:t>得分</w:t>
            </w:r>
          </w:p>
        </w:tc>
        <w:tc>
          <w:tcPr>
            <w:tcW w:w="471" w:type="pct"/>
            <w:tcBorders>
              <w:top w:val="single" w:color="auto" w:sz="4" w:space="0"/>
              <w:left w:val="nil"/>
              <w:bottom w:val="single" w:color="auto" w:sz="4" w:space="0"/>
              <w:right w:val="single" w:color="auto" w:sz="4" w:space="0"/>
            </w:tcBorders>
            <w:shd w:val="clear" w:color="auto" w:fill="auto"/>
            <w:vAlign w:val="center"/>
          </w:tcPr>
          <w:p w14:paraId="6FE330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eastAsia="zh-CN"/>
              </w:rPr>
              <w:t>扣分说明</w:t>
            </w:r>
          </w:p>
        </w:tc>
      </w:tr>
      <w:tr w14:paraId="3A4E722E">
        <w:tblPrEx>
          <w:tblCellMar>
            <w:top w:w="0" w:type="dxa"/>
            <w:left w:w="108" w:type="dxa"/>
            <w:bottom w:w="0" w:type="dxa"/>
            <w:right w:w="108" w:type="dxa"/>
          </w:tblCellMar>
        </w:tblPrEx>
        <w:trPr>
          <w:trHeight w:val="3420" w:hRule="atLeast"/>
          <w:jc w:val="center"/>
        </w:trPr>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2114F2">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w:t>
            </w:r>
          </w:p>
        </w:tc>
        <w:tc>
          <w:tcPr>
            <w:tcW w:w="750" w:type="pct"/>
            <w:tcBorders>
              <w:top w:val="single" w:color="auto" w:sz="4" w:space="0"/>
              <w:left w:val="nil"/>
              <w:bottom w:val="single" w:color="auto" w:sz="4" w:space="0"/>
              <w:right w:val="single" w:color="auto" w:sz="4" w:space="0"/>
            </w:tcBorders>
            <w:shd w:val="clear" w:color="auto" w:fill="auto"/>
            <w:vAlign w:val="center"/>
          </w:tcPr>
          <w:p w14:paraId="343FCBB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项目基本情况表述是否真实、准确</w:t>
            </w:r>
          </w:p>
        </w:tc>
        <w:tc>
          <w:tcPr>
            <w:tcW w:w="388" w:type="pct"/>
            <w:tcBorders>
              <w:top w:val="single" w:color="auto" w:sz="4" w:space="0"/>
              <w:left w:val="nil"/>
              <w:bottom w:val="single" w:color="auto" w:sz="4" w:space="0"/>
              <w:right w:val="single" w:color="auto" w:sz="4" w:space="0"/>
            </w:tcBorders>
            <w:shd w:val="clear" w:color="auto" w:fill="auto"/>
            <w:vAlign w:val="center"/>
          </w:tcPr>
          <w:p w14:paraId="10B2F976">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10</w:t>
            </w:r>
          </w:p>
        </w:tc>
        <w:tc>
          <w:tcPr>
            <w:tcW w:w="2751" w:type="pct"/>
            <w:gridSpan w:val="2"/>
            <w:tcBorders>
              <w:top w:val="single" w:color="auto" w:sz="4" w:space="0"/>
              <w:left w:val="nil"/>
              <w:bottom w:val="single" w:color="auto" w:sz="4" w:space="0"/>
              <w:right w:val="single" w:color="auto" w:sz="4" w:space="0"/>
            </w:tcBorders>
            <w:shd w:val="clear" w:color="auto" w:fill="auto"/>
            <w:vAlign w:val="center"/>
          </w:tcPr>
          <w:p w14:paraId="5C19C33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1.复垦区土地利用现状是否准确，权属是否清晰，是否具体到行政村，是否具体到二级类。</w:t>
            </w:r>
          </w:p>
          <w:p w14:paraId="5421459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2.是否说明已损毁或拟损毁土地的类型、范围、面积和损毁程度等。</w:t>
            </w:r>
          </w:p>
          <w:p w14:paraId="4037C7BD">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3.拟损毁土地面积测算依据是否充分，测算方法是否科学合理；是否紧密结合生产建设方式、施工工艺流程等；说明生产建设过程中土地损毁的形式、环节、时序和拟损毁耕地耕作层土壤剥离再利用情况。</w:t>
            </w:r>
          </w:p>
          <w:p w14:paraId="2B21CC5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4.生产建设周期较长项目是否分时段或区段说明土地损毁的方式、类型、面积、程度。</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40E3B18F">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471" w:type="pct"/>
            <w:tcBorders>
              <w:top w:val="single" w:color="auto" w:sz="4" w:space="0"/>
              <w:left w:val="nil"/>
              <w:bottom w:val="single" w:color="auto" w:sz="4" w:space="0"/>
              <w:right w:val="single" w:color="auto" w:sz="4" w:space="0"/>
            </w:tcBorders>
          </w:tcPr>
          <w:p w14:paraId="3511629F">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p>
        </w:tc>
      </w:tr>
      <w:tr w14:paraId="41D44597">
        <w:tblPrEx>
          <w:tblCellMar>
            <w:top w:w="0" w:type="dxa"/>
            <w:left w:w="108" w:type="dxa"/>
            <w:bottom w:w="0" w:type="dxa"/>
            <w:right w:w="108" w:type="dxa"/>
          </w:tblCellMar>
        </w:tblPrEx>
        <w:trPr>
          <w:trHeight w:val="1790" w:hRule="atLeast"/>
          <w:jc w:val="center"/>
        </w:trPr>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D3ABC6">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2</w:t>
            </w:r>
          </w:p>
        </w:tc>
        <w:tc>
          <w:tcPr>
            <w:tcW w:w="750" w:type="pct"/>
            <w:tcBorders>
              <w:top w:val="single" w:color="auto" w:sz="4" w:space="0"/>
              <w:left w:val="nil"/>
              <w:bottom w:val="single" w:color="auto" w:sz="4" w:space="0"/>
              <w:right w:val="single" w:color="auto" w:sz="4" w:space="0"/>
            </w:tcBorders>
            <w:shd w:val="clear" w:color="auto" w:fill="auto"/>
            <w:vAlign w:val="center"/>
          </w:tcPr>
          <w:p w14:paraId="3BC97D3A">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土地复垦责任范围是否准确、合理</w:t>
            </w:r>
          </w:p>
        </w:tc>
        <w:tc>
          <w:tcPr>
            <w:tcW w:w="388" w:type="pct"/>
            <w:tcBorders>
              <w:top w:val="single" w:color="auto" w:sz="4" w:space="0"/>
              <w:left w:val="nil"/>
              <w:bottom w:val="single" w:color="auto" w:sz="4" w:space="0"/>
              <w:right w:val="single" w:color="auto" w:sz="4" w:space="0"/>
            </w:tcBorders>
            <w:shd w:val="clear" w:color="auto" w:fill="auto"/>
            <w:vAlign w:val="center"/>
          </w:tcPr>
          <w:p w14:paraId="7DD89FB5">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10</w:t>
            </w:r>
          </w:p>
        </w:tc>
        <w:tc>
          <w:tcPr>
            <w:tcW w:w="2751" w:type="pct"/>
            <w:gridSpan w:val="2"/>
            <w:tcBorders>
              <w:top w:val="single" w:color="auto" w:sz="4" w:space="0"/>
              <w:left w:val="nil"/>
              <w:bottom w:val="single" w:color="auto" w:sz="4" w:space="0"/>
              <w:right w:val="single" w:color="auto" w:sz="4" w:space="0"/>
            </w:tcBorders>
            <w:shd w:val="clear" w:color="auto" w:fill="auto"/>
            <w:vAlign w:val="center"/>
          </w:tcPr>
          <w:p w14:paraId="601774B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土地复垦责任范围包括生产建设过程中已损毁或拟损毁的土地。已损毁未复垦或已复垦未达标的土地，均应纳入复垦责任范围。涉及异地取土的，取土场也应纳入复垦责任范围；是否依据土地损毁分析与预测结果合理确定复垦责任范围。</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28D29F8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471" w:type="pct"/>
            <w:tcBorders>
              <w:top w:val="single" w:color="auto" w:sz="4" w:space="0"/>
              <w:left w:val="nil"/>
              <w:bottom w:val="single" w:color="auto" w:sz="4" w:space="0"/>
              <w:right w:val="single" w:color="auto" w:sz="4" w:space="0"/>
            </w:tcBorders>
          </w:tcPr>
          <w:p w14:paraId="77363EC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p>
        </w:tc>
      </w:tr>
      <w:tr w14:paraId="1DEBFCC4">
        <w:tblPrEx>
          <w:tblCellMar>
            <w:top w:w="0" w:type="dxa"/>
            <w:left w:w="108" w:type="dxa"/>
            <w:bottom w:w="0" w:type="dxa"/>
            <w:right w:w="108" w:type="dxa"/>
          </w:tblCellMar>
        </w:tblPrEx>
        <w:trPr>
          <w:trHeight w:val="3200" w:hRule="atLeast"/>
          <w:jc w:val="center"/>
        </w:trPr>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DA0EC4">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3</w:t>
            </w:r>
          </w:p>
        </w:tc>
        <w:tc>
          <w:tcPr>
            <w:tcW w:w="750" w:type="pct"/>
            <w:tcBorders>
              <w:top w:val="single" w:color="auto" w:sz="4" w:space="0"/>
              <w:left w:val="nil"/>
              <w:bottom w:val="single" w:color="auto" w:sz="4" w:space="0"/>
              <w:right w:val="single" w:color="auto" w:sz="4" w:space="0"/>
            </w:tcBorders>
            <w:shd w:val="clear" w:color="auto" w:fill="auto"/>
            <w:vAlign w:val="center"/>
          </w:tcPr>
          <w:p w14:paraId="776DEBA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土地复垦方向及土地复垦适宜性评价是否合理、合规</w:t>
            </w:r>
          </w:p>
        </w:tc>
        <w:tc>
          <w:tcPr>
            <w:tcW w:w="388" w:type="pct"/>
            <w:tcBorders>
              <w:top w:val="single" w:color="auto" w:sz="4" w:space="0"/>
              <w:left w:val="nil"/>
              <w:bottom w:val="single" w:color="auto" w:sz="4" w:space="0"/>
              <w:right w:val="single" w:color="auto" w:sz="4" w:space="0"/>
            </w:tcBorders>
            <w:shd w:val="clear" w:color="auto" w:fill="auto"/>
            <w:vAlign w:val="center"/>
          </w:tcPr>
          <w:p w14:paraId="2D467B0B">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15</w:t>
            </w:r>
          </w:p>
        </w:tc>
        <w:tc>
          <w:tcPr>
            <w:tcW w:w="2751" w:type="pct"/>
            <w:gridSpan w:val="2"/>
            <w:tcBorders>
              <w:top w:val="single" w:color="auto" w:sz="4" w:space="0"/>
              <w:left w:val="nil"/>
              <w:bottom w:val="single" w:color="auto" w:sz="4" w:space="0"/>
              <w:right w:val="single" w:color="auto" w:sz="4" w:space="0"/>
            </w:tcBorders>
            <w:shd w:val="clear" w:color="auto" w:fill="auto"/>
            <w:vAlign w:val="center"/>
          </w:tcPr>
          <w:p w14:paraId="066C432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1.损毁土地是否优先复垦为耕地，是否实现复垦前后耕地总量不减少，质量不降低。</w:t>
            </w:r>
          </w:p>
          <w:p w14:paraId="0DD3F19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2.土地复垦方向是否满足当地群众的生产生活习惯；是否与周边土地利用现状或原土地利用方式基本协调；是否有利于节约集约用地。</w:t>
            </w:r>
          </w:p>
          <w:p w14:paraId="2EA7146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3.涉及占用基本农田的，是否清楚表述所占数量和分布情况。</w:t>
            </w:r>
          </w:p>
          <w:p w14:paraId="7B7E03A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4.土地复垦适宜性评价的依据是否充分，评价方法是否正确，评价过程是否科学，评价结果是否合理。</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0B8D435D">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471" w:type="pct"/>
            <w:tcBorders>
              <w:top w:val="single" w:color="auto" w:sz="4" w:space="0"/>
              <w:left w:val="nil"/>
              <w:bottom w:val="single" w:color="auto" w:sz="4" w:space="0"/>
              <w:right w:val="single" w:color="auto" w:sz="4" w:space="0"/>
            </w:tcBorders>
          </w:tcPr>
          <w:p w14:paraId="7D15492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p>
        </w:tc>
      </w:tr>
      <w:tr w14:paraId="64C687DE">
        <w:tblPrEx>
          <w:tblCellMar>
            <w:top w:w="0" w:type="dxa"/>
            <w:left w:w="108" w:type="dxa"/>
            <w:bottom w:w="0" w:type="dxa"/>
            <w:right w:w="108" w:type="dxa"/>
          </w:tblCellMar>
        </w:tblPrEx>
        <w:trPr>
          <w:trHeight w:val="4405" w:hRule="atLeast"/>
          <w:jc w:val="center"/>
        </w:trPr>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0DC583D">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4</w:t>
            </w:r>
          </w:p>
        </w:tc>
        <w:tc>
          <w:tcPr>
            <w:tcW w:w="750" w:type="pct"/>
            <w:tcBorders>
              <w:top w:val="single" w:color="auto" w:sz="4" w:space="0"/>
              <w:left w:val="nil"/>
              <w:bottom w:val="single" w:color="auto" w:sz="4" w:space="0"/>
              <w:right w:val="single" w:color="auto" w:sz="4" w:space="0"/>
            </w:tcBorders>
            <w:shd w:val="clear" w:color="auto" w:fill="auto"/>
            <w:vAlign w:val="center"/>
          </w:tcPr>
          <w:p w14:paraId="5B18902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土地复垦目标及土地复垦质量标准是否符合要求</w:t>
            </w:r>
          </w:p>
        </w:tc>
        <w:tc>
          <w:tcPr>
            <w:tcW w:w="388" w:type="pct"/>
            <w:tcBorders>
              <w:top w:val="single" w:color="auto" w:sz="4" w:space="0"/>
              <w:left w:val="nil"/>
              <w:bottom w:val="single" w:color="auto" w:sz="4" w:space="0"/>
              <w:right w:val="single" w:color="auto" w:sz="4" w:space="0"/>
            </w:tcBorders>
            <w:shd w:val="clear" w:color="auto" w:fill="auto"/>
            <w:vAlign w:val="center"/>
          </w:tcPr>
          <w:p w14:paraId="45698993">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15</w:t>
            </w:r>
          </w:p>
        </w:tc>
        <w:tc>
          <w:tcPr>
            <w:tcW w:w="2751" w:type="pct"/>
            <w:gridSpan w:val="2"/>
            <w:tcBorders>
              <w:top w:val="single" w:color="auto" w:sz="4" w:space="0"/>
              <w:left w:val="nil"/>
              <w:bottom w:val="single" w:color="auto" w:sz="4" w:space="0"/>
              <w:right w:val="single" w:color="auto" w:sz="4" w:space="0"/>
            </w:tcBorders>
            <w:shd w:val="clear" w:color="auto" w:fill="auto"/>
            <w:vAlign w:val="center"/>
          </w:tcPr>
          <w:p w14:paraId="7E9EFD3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1.土地复垦目标是否明确并量化。设定的土地复垦目标是否有依据并体现因地制宜、占补平衡的原则，是否既有数量目标，也有质量目标。</w:t>
            </w:r>
          </w:p>
          <w:p w14:paraId="628FB9E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2.土地复垦率原则上应达到100%，没有达到的，应说明情况。</w:t>
            </w:r>
          </w:p>
          <w:p w14:paraId="4B37EFD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3.土地复垦方案服务年限是否满足土地复垦的最短时限要求。</w:t>
            </w:r>
          </w:p>
          <w:p w14:paraId="23C589EB">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4.土地复垦质量标准是否执行《江苏省土地开发整理工程建设标准（试行）》等相关规定。</w:t>
            </w:r>
          </w:p>
          <w:p w14:paraId="7B5CA9B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5.土地复垦质量是否符合当地实际情况，是否针对原有土地利用类型和不同土地复垦方向明确不同复垦单元的土地复垦质量标准。</w:t>
            </w:r>
          </w:p>
          <w:p w14:paraId="042C781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6.土地复垦质量是否与原（或周边）土地利用类型的土壤质量和生产力水平相衔接。</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7FAFF05F">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471" w:type="pct"/>
            <w:tcBorders>
              <w:top w:val="single" w:color="auto" w:sz="4" w:space="0"/>
              <w:left w:val="nil"/>
              <w:bottom w:val="single" w:color="auto" w:sz="4" w:space="0"/>
              <w:right w:val="single" w:color="auto" w:sz="4" w:space="0"/>
            </w:tcBorders>
          </w:tcPr>
          <w:p w14:paraId="4FAF5CB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p>
        </w:tc>
      </w:tr>
      <w:tr w14:paraId="770FB7B8">
        <w:tblPrEx>
          <w:tblCellMar>
            <w:top w:w="0" w:type="dxa"/>
            <w:left w:w="108" w:type="dxa"/>
            <w:bottom w:w="0" w:type="dxa"/>
            <w:right w:w="108" w:type="dxa"/>
          </w:tblCellMar>
        </w:tblPrEx>
        <w:trPr>
          <w:trHeight w:val="5415" w:hRule="atLeast"/>
          <w:jc w:val="center"/>
        </w:trPr>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F6DA83">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5</w:t>
            </w:r>
          </w:p>
        </w:tc>
        <w:tc>
          <w:tcPr>
            <w:tcW w:w="750" w:type="pct"/>
            <w:tcBorders>
              <w:top w:val="single" w:color="auto" w:sz="4" w:space="0"/>
              <w:left w:val="nil"/>
              <w:bottom w:val="single" w:color="auto" w:sz="4" w:space="0"/>
              <w:right w:val="single" w:color="auto" w:sz="4" w:space="0"/>
            </w:tcBorders>
            <w:shd w:val="clear" w:color="auto" w:fill="auto"/>
            <w:vAlign w:val="center"/>
          </w:tcPr>
          <w:p w14:paraId="53989D1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土地复垦措施及工程设计是否得当、可行，</w:t>
            </w:r>
          </w:p>
          <w:p w14:paraId="0B7C0DC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工程量测算及图件是否科学、准确</w:t>
            </w:r>
          </w:p>
        </w:tc>
        <w:tc>
          <w:tcPr>
            <w:tcW w:w="388" w:type="pct"/>
            <w:tcBorders>
              <w:top w:val="single" w:color="auto" w:sz="4" w:space="0"/>
              <w:left w:val="nil"/>
              <w:bottom w:val="single" w:color="auto" w:sz="4" w:space="0"/>
              <w:right w:val="single" w:color="auto" w:sz="4" w:space="0"/>
            </w:tcBorders>
            <w:shd w:val="clear" w:color="auto" w:fill="auto"/>
            <w:vAlign w:val="center"/>
          </w:tcPr>
          <w:p w14:paraId="026A7C4E">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30</w:t>
            </w:r>
          </w:p>
        </w:tc>
        <w:tc>
          <w:tcPr>
            <w:tcW w:w="2751" w:type="pct"/>
            <w:gridSpan w:val="2"/>
            <w:tcBorders>
              <w:top w:val="single" w:color="auto" w:sz="4" w:space="0"/>
              <w:left w:val="nil"/>
              <w:bottom w:val="single" w:color="auto" w:sz="4" w:space="0"/>
              <w:right w:val="single" w:color="auto" w:sz="4" w:space="0"/>
            </w:tcBorders>
            <w:shd w:val="clear" w:color="auto" w:fill="auto"/>
            <w:vAlign w:val="center"/>
          </w:tcPr>
          <w:p w14:paraId="273AD2F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1.预防控制措施是否执行“保护、预防和控制为主，生产建设与复垦相结合”的原则，是否说明生产建设过程中为减少土地损毁拟采取的预防与控制措施。</w:t>
            </w:r>
          </w:p>
          <w:p w14:paraId="6DF280B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2.土地复垦拟采取的工程技术措施是否体现了因地制宜的原则，是否满足复垦方向要求。</w:t>
            </w:r>
          </w:p>
          <w:p w14:paraId="188937A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3.土地复垦拟采取的生物化学措施是否具体，是否明确了植物种植的立地条件和所选取植物的生态学特征。</w:t>
            </w:r>
          </w:p>
          <w:p w14:paraId="04E9F2E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4.是否针对不同复垦单元制定了合理的土地损毁和复垦效果的监测措施。</w:t>
            </w:r>
          </w:p>
          <w:p w14:paraId="6925B35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5.是否结合项目特点以及所在区域的自然特征，有针对性地制定了管护措施。</w:t>
            </w:r>
          </w:p>
          <w:p w14:paraId="5DB6E03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6.是否根据临时用地复垦拟采取的复垦措施进行了工程设计，工程设计是否能满足不同土地复垦方向和质量要求。</w:t>
            </w:r>
          </w:p>
          <w:p w14:paraId="5BEC0DE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7.主要技术参数确定是否科学，工程设计是否合理，工程量测算依据是否充分，结果是否准确。</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63BEF5B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471" w:type="pct"/>
            <w:tcBorders>
              <w:top w:val="single" w:color="auto" w:sz="4" w:space="0"/>
              <w:left w:val="nil"/>
              <w:bottom w:val="single" w:color="auto" w:sz="4" w:space="0"/>
              <w:right w:val="single" w:color="auto" w:sz="4" w:space="0"/>
            </w:tcBorders>
          </w:tcPr>
          <w:p w14:paraId="6958C0B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p>
        </w:tc>
      </w:tr>
      <w:tr w14:paraId="68DD7A79">
        <w:tblPrEx>
          <w:tblCellMar>
            <w:top w:w="0" w:type="dxa"/>
            <w:left w:w="108" w:type="dxa"/>
            <w:bottom w:w="0" w:type="dxa"/>
            <w:right w:w="108" w:type="dxa"/>
          </w:tblCellMar>
        </w:tblPrEx>
        <w:trPr>
          <w:trHeight w:val="3875" w:hRule="atLeast"/>
          <w:jc w:val="center"/>
        </w:trPr>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CF5FC32">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6</w:t>
            </w:r>
          </w:p>
        </w:tc>
        <w:tc>
          <w:tcPr>
            <w:tcW w:w="750" w:type="pct"/>
            <w:tcBorders>
              <w:top w:val="single" w:color="auto" w:sz="4" w:space="0"/>
              <w:left w:val="nil"/>
              <w:bottom w:val="single" w:color="auto" w:sz="4" w:space="0"/>
              <w:right w:val="single" w:color="auto" w:sz="4" w:space="0"/>
            </w:tcBorders>
            <w:shd w:val="clear" w:color="auto" w:fill="auto"/>
            <w:vAlign w:val="center"/>
          </w:tcPr>
          <w:p w14:paraId="586397A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复垦资金测算是否合理，资金来源是否可靠</w:t>
            </w:r>
          </w:p>
        </w:tc>
        <w:tc>
          <w:tcPr>
            <w:tcW w:w="388" w:type="pct"/>
            <w:tcBorders>
              <w:top w:val="single" w:color="auto" w:sz="4" w:space="0"/>
              <w:left w:val="nil"/>
              <w:bottom w:val="single" w:color="auto" w:sz="4" w:space="0"/>
              <w:right w:val="single" w:color="auto" w:sz="4" w:space="0"/>
            </w:tcBorders>
            <w:shd w:val="clear" w:color="auto" w:fill="auto"/>
            <w:vAlign w:val="center"/>
          </w:tcPr>
          <w:p w14:paraId="4D4A9D67">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10</w:t>
            </w:r>
          </w:p>
        </w:tc>
        <w:tc>
          <w:tcPr>
            <w:tcW w:w="2751" w:type="pct"/>
            <w:gridSpan w:val="2"/>
            <w:tcBorders>
              <w:top w:val="single" w:color="auto" w:sz="4" w:space="0"/>
              <w:left w:val="nil"/>
              <w:bottom w:val="single" w:color="auto" w:sz="4" w:space="0"/>
              <w:right w:val="single" w:color="auto" w:sz="4" w:space="0"/>
            </w:tcBorders>
            <w:shd w:val="clear" w:color="auto" w:fill="auto"/>
            <w:vAlign w:val="center"/>
          </w:tcPr>
          <w:p w14:paraId="30187D9B">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1.资金测算的编制依据、费用标准和测算方法是否准确，资金测算与工程设计深度是否一致。</w:t>
            </w:r>
          </w:p>
          <w:p w14:paraId="28A3DAEB">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2.土地复垦费用的构成是否完整，包括工程施工费、设备费、其他费用、监测与管护费及预备费。</w:t>
            </w:r>
          </w:p>
          <w:p w14:paraId="57E2718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3.是否明确复垦资金渠道，是否纳入生产成本或建设项目总投资。</w:t>
            </w:r>
          </w:p>
          <w:p w14:paraId="628D00EA">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4.是否明确承诺土地复垦费用预存时间，预存和使用计划是否可行。</w:t>
            </w:r>
          </w:p>
          <w:p w14:paraId="6541F31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5.土地复垦方案服务周期较长（通常是超过4年）的项目，是否分年度计提投资，项目建设中前期的投资计提力度是否满足土地复垦的需要。</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0CE86C2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471" w:type="pct"/>
            <w:tcBorders>
              <w:top w:val="single" w:color="auto" w:sz="4" w:space="0"/>
              <w:left w:val="nil"/>
              <w:bottom w:val="single" w:color="auto" w:sz="4" w:space="0"/>
              <w:right w:val="single" w:color="auto" w:sz="4" w:space="0"/>
            </w:tcBorders>
          </w:tcPr>
          <w:p w14:paraId="2460B78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p>
        </w:tc>
      </w:tr>
      <w:tr w14:paraId="2FB16C3E">
        <w:tblPrEx>
          <w:tblCellMar>
            <w:top w:w="0" w:type="dxa"/>
            <w:left w:w="108" w:type="dxa"/>
            <w:bottom w:w="0" w:type="dxa"/>
            <w:right w:w="108" w:type="dxa"/>
          </w:tblCellMar>
        </w:tblPrEx>
        <w:trPr>
          <w:trHeight w:val="5830" w:hRule="atLeast"/>
          <w:jc w:val="center"/>
        </w:trPr>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1E0CE94">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7</w:t>
            </w:r>
          </w:p>
        </w:tc>
        <w:tc>
          <w:tcPr>
            <w:tcW w:w="750" w:type="pct"/>
            <w:tcBorders>
              <w:top w:val="single" w:color="auto" w:sz="4" w:space="0"/>
              <w:left w:val="nil"/>
              <w:bottom w:val="single" w:color="auto" w:sz="4" w:space="0"/>
              <w:right w:val="single" w:color="auto" w:sz="4" w:space="0"/>
            </w:tcBorders>
            <w:shd w:val="clear" w:color="auto" w:fill="auto"/>
            <w:vAlign w:val="center"/>
          </w:tcPr>
          <w:p w14:paraId="484E63A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复垦计划及土地复垦保障措施是否可行</w:t>
            </w:r>
          </w:p>
        </w:tc>
        <w:tc>
          <w:tcPr>
            <w:tcW w:w="388" w:type="pct"/>
            <w:tcBorders>
              <w:top w:val="single" w:color="auto" w:sz="4" w:space="0"/>
              <w:left w:val="nil"/>
              <w:bottom w:val="single" w:color="auto" w:sz="4" w:space="0"/>
              <w:right w:val="single" w:color="auto" w:sz="4" w:space="0"/>
            </w:tcBorders>
            <w:shd w:val="clear" w:color="auto" w:fill="auto"/>
            <w:vAlign w:val="center"/>
          </w:tcPr>
          <w:p w14:paraId="019F754E">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10</w:t>
            </w:r>
          </w:p>
        </w:tc>
        <w:tc>
          <w:tcPr>
            <w:tcW w:w="2751" w:type="pct"/>
            <w:gridSpan w:val="2"/>
            <w:tcBorders>
              <w:top w:val="single" w:color="auto" w:sz="4" w:space="0"/>
              <w:left w:val="nil"/>
              <w:bottom w:val="single" w:color="auto" w:sz="4" w:space="0"/>
              <w:right w:val="single" w:color="auto" w:sz="4" w:space="0"/>
            </w:tcBorders>
            <w:shd w:val="clear" w:color="auto" w:fill="auto"/>
            <w:vAlign w:val="center"/>
          </w:tcPr>
          <w:p w14:paraId="262C627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1.是否结合生产建设工艺流程和土地损毁情况，合理划分复垦阶段，划分的土地复垦阶段是否符合实际情况。</w:t>
            </w:r>
          </w:p>
          <w:p w14:paraId="5674D7B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2.生产项目建设年限超过5年的，原则上5年为一个复垦阶段，提出相应的目标、任务、计划和投资。</w:t>
            </w:r>
          </w:p>
          <w:p w14:paraId="10265A2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3.分阶段或区段的土地复垦计划原则上应达到初步设计的程度，能够指导年度土地复垦实施，并与生产建设计划相衔接。</w:t>
            </w:r>
          </w:p>
          <w:p w14:paraId="447DBE9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4.是否结合企业内部管理的实际，制定有针对性的、具体可行的组织、费用、监管、技术等保障措施。</w:t>
            </w:r>
          </w:p>
          <w:p w14:paraId="69C2E51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5.是否将土地复垦义务人与损毁土地所在地规划资源部门、银行共同签订临时用地复垦费用使用监管协议纳入保障措施。</w:t>
            </w:r>
          </w:p>
          <w:p w14:paraId="4F8C8C4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6.是否明确土地复垦组织机构与实施方式，是否明确复垦费用来源与提取、存储、管理、使用、审计制度，是否明确接受规划资源主管部门监管和社会监督的措施和制度，是否明确培训技术人员、引进先进技术、动态监测的制度。</w:t>
            </w:r>
          </w:p>
        </w:tc>
        <w:tc>
          <w:tcPr>
            <w:tcW w:w="359" w:type="pct"/>
            <w:tcBorders>
              <w:top w:val="single" w:color="auto" w:sz="4" w:space="0"/>
              <w:left w:val="nil"/>
              <w:bottom w:val="single" w:color="auto" w:sz="4" w:space="0"/>
              <w:right w:val="single" w:color="auto" w:sz="4" w:space="0"/>
            </w:tcBorders>
            <w:shd w:val="clear" w:color="auto" w:fill="auto"/>
            <w:noWrap/>
            <w:vAlign w:val="center"/>
          </w:tcPr>
          <w:p w14:paraId="77DF977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471" w:type="pct"/>
            <w:tcBorders>
              <w:top w:val="single" w:color="auto" w:sz="4" w:space="0"/>
              <w:left w:val="nil"/>
              <w:bottom w:val="single" w:color="auto" w:sz="4" w:space="0"/>
              <w:right w:val="single" w:color="auto" w:sz="4" w:space="0"/>
            </w:tcBorders>
          </w:tcPr>
          <w:p w14:paraId="66100DD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p>
        </w:tc>
      </w:tr>
      <w:tr w14:paraId="4E946796">
        <w:tblPrEx>
          <w:tblCellMar>
            <w:top w:w="0" w:type="dxa"/>
            <w:left w:w="108" w:type="dxa"/>
            <w:bottom w:w="0" w:type="dxa"/>
            <w:right w:w="108" w:type="dxa"/>
          </w:tblCellMar>
        </w:tblPrEx>
        <w:trPr>
          <w:trHeight w:val="1020" w:hRule="atLeast"/>
          <w:jc w:val="center"/>
        </w:trPr>
        <w:tc>
          <w:tcPr>
            <w:tcW w:w="10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7F63B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合计</w:t>
            </w:r>
          </w:p>
        </w:tc>
        <w:tc>
          <w:tcPr>
            <w:tcW w:w="388" w:type="pct"/>
            <w:tcBorders>
              <w:top w:val="single" w:color="auto" w:sz="4" w:space="0"/>
              <w:left w:val="single" w:color="auto" w:sz="4" w:space="0"/>
              <w:bottom w:val="single" w:color="auto" w:sz="4" w:space="0"/>
              <w:right w:val="single" w:color="auto" w:sz="4" w:space="0"/>
            </w:tcBorders>
            <w:shd w:val="clear" w:color="auto" w:fill="auto"/>
            <w:vAlign w:val="center"/>
          </w:tcPr>
          <w:p w14:paraId="5A8B6F2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100</w:t>
            </w:r>
          </w:p>
        </w:tc>
        <w:tc>
          <w:tcPr>
            <w:tcW w:w="27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4145D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35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0D81DCA">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r>
              <w:rPr>
                <w:rFonts w:hint="eastAsia" w:ascii="Times New Roman" w:hAnsi="Times New Roman" w:eastAsia="仿宋_GB2312" w:cs="Times New Roman"/>
                <w:color w:val="auto"/>
                <w:kern w:val="2"/>
                <w:sz w:val="24"/>
                <w:szCs w:val="24"/>
                <w:highlight w:val="none"/>
                <w:u w:val="none"/>
                <w:vertAlign w:val="baseline"/>
                <w:lang w:val="en-US" w:eastAsia="zh-CN"/>
              </w:rPr>
              <w:t>　</w:t>
            </w:r>
          </w:p>
        </w:tc>
        <w:tc>
          <w:tcPr>
            <w:tcW w:w="471" w:type="pct"/>
            <w:tcBorders>
              <w:top w:val="single" w:color="auto" w:sz="4" w:space="0"/>
              <w:left w:val="single" w:color="auto" w:sz="4" w:space="0"/>
              <w:bottom w:val="single" w:color="auto" w:sz="4" w:space="0"/>
              <w:right w:val="single" w:color="auto" w:sz="4" w:space="0"/>
            </w:tcBorders>
          </w:tcPr>
          <w:p w14:paraId="046DF48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kern w:val="2"/>
                <w:sz w:val="24"/>
                <w:szCs w:val="24"/>
                <w:highlight w:val="none"/>
                <w:u w:val="none"/>
                <w:vertAlign w:val="baseline"/>
                <w:lang w:val="en-US" w:eastAsia="zh-CN"/>
              </w:rPr>
            </w:pPr>
          </w:p>
        </w:tc>
      </w:tr>
      <w:bookmarkEnd w:id="0"/>
    </w:tbl>
    <w:p w14:paraId="564AE4E0">
      <w:pPr>
        <w:widowControl/>
        <w:autoSpaceDE/>
        <w:autoSpaceDN/>
        <w:jc w:val="right"/>
      </w:pPr>
    </w:p>
    <w:p w14:paraId="0FFB43DC">
      <w:pPr>
        <w:widowControl/>
        <w:autoSpaceDE/>
        <w:autoSpaceDN/>
        <w:jc w:val="both"/>
      </w:pPr>
      <w:bookmarkStart w:id="1" w:name="_GoBack"/>
      <w:bookmarkEnd w:id="1"/>
      <w:r>
        <w:t>评审人：（签名）</w:t>
      </w:r>
    </w:p>
    <w:sectPr>
      <w:footerReference r:id="rId3" w:type="default"/>
      <w:footerReference r:id="rId4" w:type="even"/>
      <w:pgSz w:w="11910" w:h="16840"/>
      <w:pgMar w:top="1440" w:right="1800" w:bottom="1440" w:left="1800" w:header="0" w:footer="1575" w:gutter="0"/>
      <w:pgNumType w:fmt="numberInDash"/>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76555">
    <w:pPr>
      <w:pStyle w:val="4"/>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7785" cy="147955"/>
              <wp:effectExtent l="0" t="0" r="0" b="0"/>
              <wp:wrapNone/>
              <wp:docPr id="1" name="Text Box 1027"/>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5F6BC090">
                          <w:pPr>
                            <w:pStyle w:val="6"/>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- 1 -</w:t>
                          </w:r>
                          <w:r>
                            <w:rPr>
                              <w:rFonts w:ascii="Times New Roman" w:hAnsi="Times New Roman" w:cs="Times New Roman"/>
                              <w:sz w:val="24"/>
                              <w:szCs w:val="24"/>
                            </w:rPr>
                            <w:fldChar w:fldCharType="end"/>
                          </w:r>
                        </w:p>
                      </w:txbxContent>
                    </wps:txbx>
                    <wps:bodyPr rot="0" vert="horz" wrap="none" lIns="0" tIns="0" rIns="0" bIns="0" anchor="t" anchorCtr="0" upright="1">
                      <a:spAutoFit/>
                    </wps:bodyPr>
                  </wps:wsp>
                </a:graphicData>
              </a:graphic>
            </wp:anchor>
          </w:drawing>
        </mc:Choice>
        <mc:Fallback>
          <w:pict>
            <v:shape id="Text Box 1027" o:spid="_x0000_s1026" o:spt="202" type="#_x0000_t202" style="position:absolute;left:0pt;margin-top:0pt;height:11.65pt;width:4.55pt;mso-position-horizontal:outside;mso-position-horizontal-relative:margin;mso-wrap-style:none;z-index:251659264;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8scAtEAAAACAQAADwAAAAAAAAABACAAAAAiAAAAZHJzL2Rvd25yZXYueG1sUEsB&#10;AhQAFAAAAAgAh07iQI0rqkr8AQAAAwQAAA4AAAAAAAAAAQAgAAAAIAEAAGRycy9lMm9Eb2MueG1s&#10;UEsFBgAAAAAGAAYAWQEAAI4FAAAAAA==&#10;">
              <v:fill on="f" focussize="0,0"/>
              <v:stroke on="f"/>
              <v:imagedata o:title=""/>
              <o:lock v:ext="edit" aspectratio="f"/>
              <v:textbox inset="0mm,0mm,0mm,0mm" style="mso-fit-shape-to-text:t;">
                <w:txbxContent>
                  <w:p w14:paraId="5F6BC090">
                    <w:pPr>
                      <w:pStyle w:val="6"/>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- 1 -</w:t>
                    </w:r>
                    <w:r>
                      <w:rPr>
                        <w:rFonts w:ascii="Times New Roman" w:hAnsi="Times New Roman" w:cs="Times New Roman"/>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9D899">
    <w:pPr>
      <w:pStyle w:val="4"/>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7785" cy="147955"/>
              <wp:effectExtent l="0" t="0" r="0" b="0"/>
              <wp:wrapNone/>
              <wp:docPr id="2" name="Text Box 1028"/>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7E713315">
                          <w:pPr>
                            <w:pStyle w:val="6"/>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- 2 -</w:t>
                          </w:r>
                          <w:r>
                            <w:rPr>
                              <w:rFonts w:ascii="Times New Roman" w:hAnsi="Times New Roman" w:cs="Times New Roman"/>
                              <w:sz w:val="24"/>
                              <w:szCs w:val="24"/>
                            </w:rPr>
                            <w:fldChar w:fldCharType="end"/>
                          </w:r>
                        </w:p>
                      </w:txbxContent>
                    </wps:txbx>
                    <wps:bodyPr rot="0" vert="horz" wrap="none" lIns="0" tIns="0" rIns="0" bIns="0" anchor="t" anchorCtr="0" upright="1">
                      <a:spAutoFit/>
                    </wps:bodyPr>
                  </wps:wsp>
                </a:graphicData>
              </a:graphic>
            </wp:anchor>
          </w:drawing>
        </mc:Choice>
        <mc:Fallback>
          <w:pict>
            <v:shape id="Text Box 1028" o:spid="_x0000_s1026" o:spt="202" type="#_x0000_t202" style="position:absolute;left:0pt;margin-top:0pt;height:11.65pt;width:4.55pt;mso-position-horizontal:outside;mso-position-horizontal-relative:margin;mso-wrap-style:none;z-index:25166028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8scAtEAAAACAQAADwAAAAAAAAABACAAAAAiAAAAZHJzL2Rvd25yZXYueG1sUEsB&#10;AhQAFAAAAAgAh07iQBzmEDT8AQAAAwQAAA4AAAAAAAAAAQAgAAAAIAEAAGRycy9lMm9Eb2MueG1s&#10;UEsFBgAAAAAGAAYAWQEAAI4FAAAAAA==&#10;">
              <v:fill on="f" focussize="0,0"/>
              <v:stroke on="f"/>
              <v:imagedata o:title=""/>
              <o:lock v:ext="edit" aspectratio="f"/>
              <v:textbox inset="0mm,0mm,0mm,0mm" style="mso-fit-shape-to-text:t;">
                <w:txbxContent>
                  <w:p w14:paraId="7E713315">
                    <w:pPr>
                      <w:pStyle w:val="6"/>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- 2 -</w:t>
                    </w:r>
                    <w:r>
                      <w:rPr>
                        <w:rFonts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evenAndOddHeaders w:val="1"/>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zNWE1OThhMTdiZGYwMDg1MDJiYjA3NmExYThhMjIifQ=="/>
  </w:docVars>
  <w:rsids>
    <w:rsidRoot w:val="00225FED"/>
    <w:rsid w:val="00024DB2"/>
    <w:rsid w:val="00037F88"/>
    <w:rsid w:val="000440FF"/>
    <w:rsid w:val="00050069"/>
    <w:rsid w:val="000638B5"/>
    <w:rsid w:val="000A017E"/>
    <w:rsid w:val="000A2D77"/>
    <w:rsid w:val="000C077A"/>
    <w:rsid w:val="000E452C"/>
    <w:rsid w:val="000E5DAF"/>
    <w:rsid w:val="00101DCC"/>
    <w:rsid w:val="001107B1"/>
    <w:rsid w:val="0011427C"/>
    <w:rsid w:val="00125E72"/>
    <w:rsid w:val="00136017"/>
    <w:rsid w:val="00145D37"/>
    <w:rsid w:val="001720BC"/>
    <w:rsid w:val="0017512F"/>
    <w:rsid w:val="00177F78"/>
    <w:rsid w:val="001A2F80"/>
    <w:rsid w:val="001A5CBD"/>
    <w:rsid w:val="001B3ACF"/>
    <w:rsid w:val="001B65DB"/>
    <w:rsid w:val="001C671F"/>
    <w:rsid w:val="001D6537"/>
    <w:rsid w:val="0020583C"/>
    <w:rsid w:val="00206092"/>
    <w:rsid w:val="00225FED"/>
    <w:rsid w:val="002307EF"/>
    <w:rsid w:val="00233543"/>
    <w:rsid w:val="00263A2B"/>
    <w:rsid w:val="00292EA2"/>
    <w:rsid w:val="00293F08"/>
    <w:rsid w:val="002A4EE8"/>
    <w:rsid w:val="002D199A"/>
    <w:rsid w:val="002E3F68"/>
    <w:rsid w:val="002F4132"/>
    <w:rsid w:val="00301028"/>
    <w:rsid w:val="00301AEF"/>
    <w:rsid w:val="00331925"/>
    <w:rsid w:val="00340FE4"/>
    <w:rsid w:val="00343387"/>
    <w:rsid w:val="00350FDA"/>
    <w:rsid w:val="00360B67"/>
    <w:rsid w:val="003620D6"/>
    <w:rsid w:val="00383371"/>
    <w:rsid w:val="00383E98"/>
    <w:rsid w:val="00383F0A"/>
    <w:rsid w:val="00387409"/>
    <w:rsid w:val="003905F9"/>
    <w:rsid w:val="003A1B14"/>
    <w:rsid w:val="003B61F0"/>
    <w:rsid w:val="003B6BE6"/>
    <w:rsid w:val="003C3A62"/>
    <w:rsid w:val="003D7628"/>
    <w:rsid w:val="003E37F4"/>
    <w:rsid w:val="004172A2"/>
    <w:rsid w:val="00456E76"/>
    <w:rsid w:val="004A47FA"/>
    <w:rsid w:val="004B4ED5"/>
    <w:rsid w:val="004C1A90"/>
    <w:rsid w:val="004F03A9"/>
    <w:rsid w:val="00507217"/>
    <w:rsid w:val="00507356"/>
    <w:rsid w:val="0051218D"/>
    <w:rsid w:val="00554B7F"/>
    <w:rsid w:val="00572BA7"/>
    <w:rsid w:val="005763FD"/>
    <w:rsid w:val="00591161"/>
    <w:rsid w:val="005B1746"/>
    <w:rsid w:val="005B355A"/>
    <w:rsid w:val="005B78A3"/>
    <w:rsid w:val="005D59BF"/>
    <w:rsid w:val="005F0D0F"/>
    <w:rsid w:val="005F16A2"/>
    <w:rsid w:val="00636792"/>
    <w:rsid w:val="006370B6"/>
    <w:rsid w:val="006470BB"/>
    <w:rsid w:val="00652EE5"/>
    <w:rsid w:val="00656FDA"/>
    <w:rsid w:val="00657B70"/>
    <w:rsid w:val="006707B6"/>
    <w:rsid w:val="006C6938"/>
    <w:rsid w:val="006E0CAA"/>
    <w:rsid w:val="00706835"/>
    <w:rsid w:val="0072274F"/>
    <w:rsid w:val="00724E4C"/>
    <w:rsid w:val="007271BC"/>
    <w:rsid w:val="0074139C"/>
    <w:rsid w:val="00743FCB"/>
    <w:rsid w:val="00756617"/>
    <w:rsid w:val="00763681"/>
    <w:rsid w:val="00772426"/>
    <w:rsid w:val="007835D2"/>
    <w:rsid w:val="0078499C"/>
    <w:rsid w:val="007859DB"/>
    <w:rsid w:val="007932F7"/>
    <w:rsid w:val="007976CF"/>
    <w:rsid w:val="007C0B6C"/>
    <w:rsid w:val="007F5584"/>
    <w:rsid w:val="00801BF5"/>
    <w:rsid w:val="00811070"/>
    <w:rsid w:val="00811953"/>
    <w:rsid w:val="00820E4E"/>
    <w:rsid w:val="00822CA0"/>
    <w:rsid w:val="0082565C"/>
    <w:rsid w:val="00834973"/>
    <w:rsid w:val="0084657E"/>
    <w:rsid w:val="00854DF1"/>
    <w:rsid w:val="009076E5"/>
    <w:rsid w:val="0092080F"/>
    <w:rsid w:val="00927F3D"/>
    <w:rsid w:val="0093125F"/>
    <w:rsid w:val="00944C65"/>
    <w:rsid w:val="00951BCA"/>
    <w:rsid w:val="009645D5"/>
    <w:rsid w:val="009A5072"/>
    <w:rsid w:val="009A70A5"/>
    <w:rsid w:val="00A2684D"/>
    <w:rsid w:val="00A40E30"/>
    <w:rsid w:val="00A43381"/>
    <w:rsid w:val="00A47F0C"/>
    <w:rsid w:val="00A52A5E"/>
    <w:rsid w:val="00A6046B"/>
    <w:rsid w:val="00A8017D"/>
    <w:rsid w:val="00A812C3"/>
    <w:rsid w:val="00AA634D"/>
    <w:rsid w:val="00AB6048"/>
    <w:rsid w:val="00B36CE0"/>
    <w:rsid w:val="00B404C2"/>
    <w:rsid w:val="00B426B3"/>
    <w:rsid w:val="00B46A34"/>
    <w:rsid w:val="00B93F89"/>
    <w:rsid w:val="00B945D8"/>
    <w:rsid w:val="00BA7673"/>
    <w:rsid w:val="00BE590E"/>
    <w:rsid w:val="00C05EE6"/>
    <w:rsid w:val="00C07A15"/>
    <w:rsid w:val="00C14BDD"/>
    <w:rsid w:val="00C26D3A"/>
    <w:rsid w:val="00C302B6"/>
    <w:rsid w:val="00C4426B"/>
    <w:rsid w:val="00C84867"/>
    <w:rsid w:val="00CA346C"/>
    <w:rsid w:val="00CB02EF"/>
    <w:rsid w:val="00CC06C4"/>
    <w:rsid w:val="00CC7C6E"/>
    <w:rsid w:val="00CD3686"/>
    <w:rsid w:val="00CE2DF7"/>
    <w:rsid w:val="00CE451D"/>
    <w:rsid w:val="00CF3365"/>
    <w:rsid w:val="00CF3930"/>
    <w:rsid w:val="00D03D9F"/>
    <w:rsid w:val="00D04223"/>
    <w:rsid w:val="00D11C8D"/>
    <w:rsid w:val="00D54285"/>
    <w:rsid w:val="00D70458"/>
    <w:rsid w:val="00D732D4"/>
    <w:rsid w:val="00D81DBA"/>
    <w:rsid w:val="00D93827"/>
    <w:rsid w:val="00DB1746"/>
    <w:rsid w:val="00DB1EFF"/>
    <w:rsid w:val="00DD78F2"/>
    <w:rsid w:val="00DE15D9"/>
    <w:rsid w:val="00E07D7E"/>
    <w:rsid w:val="00E45D3A"/>
    <w:rsid w:val="00E474CD"/>
    <w:rsid w:val="00EA0A69"/>
    <w:rsid w:val="00EB639C"/>
    <w:rsid w:val="00EC0BFB"/>
    <w:rsid w:val="00EE73CE"/>
    <w:rsid w:val="00F273FC"/>
    <w:rsid w:val="00F30626"/>
    <w:rsid w:val="00F35375"/>
    <w:rsid w:val="00F42197"/>
    <w:rsid w:val="00F45D0B"/>
    <w:rsid w:val="00F62AE4"/>
    <w:rsid w:val="00FA022E"/>
    <w:rsid w:val="00FA0771"/>
    <w:rsid w:val="00FC52A5"/>
    <w:rsid w:val="00FD319C"/>
    <w:rsid w:val="00FE5189"/>
    <w:rsid w:val="00FF5210"/>
    <w:rsid w:val="01761E20"/>
    <w:rsid w:val="02DA24BE"/>
    <w:rsid w:val="03AD5FD6"/>
    <w:rsid w:val="04253689"/>
    <w:rsid w:val="04325B3B"/>
    <w:rsid w:val="05260248"/>
    <w:rsid w:val="059C7D44"/>
    <w:rsid w:val="05FC5930"/>
    <w:rsid w:val="06F059D5"/>
    <w:rsid w:val="078953AD"/>
    <w:rsid w:val="07B438B1"/>
    <w:rsid w:val="07E520B5"/>
    <w:rsid w:val="085B487F"/>
    <w:rsid w:val="08895AC9"/>
    <w:rsid w:val="095013B0"/>
    <w:rsid w:val="0AF0191A"/>
    <w:rsid w:val="0C313B39"/>
    <w:rsid w:val="0C6A0E50"/>
    <w:rsid w:val="0C7E2917"/>
    <w:rsid w:val="0D257FCB"/>
    <w:rsid w:val="0F9276F1"/>
    <w:rsid w:val="0FB26719"/>
    <w:rsid w:val="11157D23"/>
    <w:rsid w:val="116E62D5"/>
    <w:rsid w:val="11E712E1"/>
    <w:rsid w:val="11F47EA3"/>
    <w:rsid w:val="12A45129"/>
    <w:rsid w:val="12AB6597"/>
    <w:rsid w:val="12BC340B"/>
    <w:rsid w:val="12C71CDF"/>
    <w:rsid w:val="13225964"/>
    <w:rsid w:val="1367383C"/>
    <w:rsid w:val="149B22F8"/>
    <w:rsid w:val="150613C9"/>
    <w:rsid w:val="16E30C81"/>
    <w:rsid w:val="1972225A"/>
    <w:rsid w:val="1AF9529F"/>
    <w:rsid w:val="1D1A4FFB"/>
    <w:rsid w:val="1D9C70F7"/>
    <w:rsid w:val="1DCF40DB"/>
    <w:rsid w:val="211D3BAC"/>
    <w:rsid w:val="21B8689E"/>
    <w:rsid w:val="22337D2D"/>
    <w:rsid w:val="22740445"/>
    <w:rsid w:val="228C104B"/>
    <w:rsid w:val="23036D13"/>
    <w:rsid w:val="248F6BD1"/>
    <w:rsid w:val="25204499"/>
    <w:rsid w:val="2770420C"/>
    <w:rsid w:val="27DB3EDB"/>
    <w:rsid w:val="294C5091"/>
    <w:rsid w:val="299F313B"/>
    <w:rsid w:val="2A4E0C6B"/>
    <w:rsid w:val="2ACA729C"/>
    <w:rsid w:val="2AD57308"/>
    <w:rsid w:val="2B6244A6"/>
    <w:rsid w:val="2B93219A"/>
    <w:rsid w:val="2C06438E"/>
    <w:rsid w:val="2CA756A8"/>
    <w:rsid w:val="2D2151D3"/>
    <w:rsid w:val="2ED9083D"/>
    <w:rsid w:val="2F1B4290"/>
    <w:rsid w:val="2F2D14C0"/>
    <w:rsid w:val="320D7E0E"/>
    <w:rsid w:val="33346ECD"/>
    <w:rsid w:val="33414566"/>
    <w:rsid w:val="335754B4"/>
    <w:rsid w:val="342E7C79"/>
    <w:rsid w:val="352D5446"/>
    <w:rsid w:val="354C4472"/>
    <w:rsid w:val="35CE23D7"/>
    <w:rsid w:val="36B04008"/>
    <w:rsid w:val="370A20E7"/>
    <w:rsid w:val="37DC7F27"/>
    <w:rsid w:val="384666FC"/>
    <w:rsid w:val="38CF271C"/>
    <w:rsid w:val="38E946AA"/>
    <w:rsid w:val="3A027A5A"/>
    <w:rsid w:val="3A4B31D6"/>
    <w:rsid w:val="3D4D5600"/>
    <w:rsid w:val="3E470969"/>
    <w:rsid w:val="3F6A5350"/>
    <w:rsid w:val="3F7A6C3F"/>
    <w:rsid w:val="40075C95"/>
    <w:rsid w:val="40882703"/>
    <w:rsid w:val="44EA56D8"/>
    <w:rsid w:val="45036AF3"/>
    <w:rsid w:val="45593B5E"/>
    <w:rsid w:val="469B2FE2"/>
    <w:rsid w:val="46AE6F33"/>
    <w:rsid w:val="48094F23"/>
    <w:rsid w:val="483B2CEB"/>
    <w:rsid w:val="48D43A9E"/>
    <w:rsid w:val="491D3EFC"/>
    <w:rsid w:val="49397562"/>
    <w:rsid w:val="4A08695A"/>
    <w:rsid w:val="4BBA3C84"/>
    <w:rsid w:val="4D044D9B"/>
    <w:rsid w:val="504B57F2"/>
    <w:rsid w:val="52DE65BF"/>
    <w:rsid w:val="53514ECE"/>
    <w:rsid w:val="53DF0755"/>
    <w:rsid w:val="544467E1"/>
    <w:rsid w:val="561F0EB6"/>
    <w:rsid w:val="56B70C9A"/>
    <w:rsid w:val="583E6D91"/>
    <w:rsid w:val="58607961"/>
    <w:rsid w:val="589C0206"/>
    <w:rsid w:val="5936729C"/>
    <w:rsid w:val="5A6574B1"/>
    <w:rsid w:val="5B907DA4"/>
    <w:rsid w:val="5FCD7FD2"/>
    <w:rsid w:val="5FD00419"/>
    <w:rsid w:val="61EF2482"/>
    <w:rsid w:val="62683FE2"/>
    <w:rsid w:val="63CB4828"/>
    <w:rsid w:val="640C3E97"/>
    <w:rsid w:val="66215C34"/>
    <w:rsid w:val="66432D9C"/>
    <w:rsid w:val="678216A2"/>
    <w:rsid w:val="682F3EF3"/>
    <w:rsid w:val="69CA739A"/>
    <w:rsid w:val="6ACD532A"/>
    <w:rsid w:val="6BEC7A20"/>
    <w:rsid w:val="6EAE7221"/>
    <w:rsid w:val="71324C78"/>
    <w:rsid w:val="71A0682E"/>
    <w:rsid w:val="71B04A9E"/>
    <w:rsid w:val="71E05ED8"/>
    <w:rsid w:val="72330587"/>
    <w:rsid w:val="72930C07"/>
    <w:rsid w:val="734343DB"/>
    <w:rsid w:val="73AD4CBC"/>
    <w:rsid w:val="7424792A"/>
    <w:rsid w:val="74707620"/>
    <w:rsid w:val="74B31F6A"/>
    <w:rsid w:val="75AB40F4"/>
    <w:rsid w:val="769D5A66"/>
    <w:rsid w:val="76AE4262"/>
    <w:rsid w:val="780E2F01"/>
    <w:rsid w:val="781E1C75"/>
    <w:rsid w:val="78F04DB9"/>
    <w:rsid w:val="799C071D"/>
    <w:rsid w:val="7B0573BC"/>
    <w:rsid w:val="7B2660AF"/>
    <w:rsid w:val="7B9D2A89"/>
    <w:rsid w:val="7BA774D1"/>
    <w:rsid w:val="7BFF80FB"/>
    <w:rsid w:val="7C0F159F"/>
    <w:rsid w:val="7E3C4B3F"/>
    <w:rsid w:val="7FE05507"/>
    <w:rsid w:val="7FF91228"/>
    <w:rsid w:val="DAC6A1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en-US" w:eastAsia="zh-CN" w:bidi="ar-SA"/>
    </w:rPr>
  </w:style>
  <w:style w:type="paragraph" w:styleId="3">
    <w:name w:val="heading 1"/>
    <w:basedOn w:val="1"/>
    <w:next w:val="1"/>
    <w:autoRedefine/>
    <w:qFormat/>
    <w:uiPriority w:val="1"/>
    <w:pPr>
      <w:spacing w:before="57"/>
      <w:ind w:left="512" w:right="231"/>
      <w:jc w:val="center"/>
      <w:outlineLvl w:val="0"/>
    </w:pPr>
    <w:rPr>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napToGrid/>
      <w:kern w:val="0"/>
      <w:sz w:val="32"/>
      <w:szCs w:val="22"/>
      <w:lang w:val="en-US" w:eastAsia="zh-CN" w:bidi="ar-SA"/>
    </w:rPr>
  </w:style>
  <w:style w:type="paragraph" w:styleId="4">
    <w:name w:val="Body Text"/>
    <w:basedOn w:val="1"/>
    <w:link w:val="18"/>
    <w:autoRedefine/>
    <w:qFormat/>
    <w:uiPriority w:val="1"/>
    <w:rPr>
      <w:sz w:val="32"/>
      <w:szCs w:val="32"/>
    </w:rPr>
  </w:style>
  <w:style w:type="paragraph" w:styleId="5">
    <w:name w:val="Balloon Text"/>
    <w:basedOn w:val="1"/>
    <w:link w:val="17"/>
    <w:autoRedefine/>
    <w:semiHidden/>
    <w:unhideWhenUsed/>
    <w:qFormat/>
    <w:uiPriority w:val="0"/>
    <w:rPr>
      <w:sz w:val="18"/>
      <w:szCs w:val="18"/>
    </w:rPr>
  </w:style>
  <w:style w:type="paragraph" w:styleId="6">
    <w:name w:val="footer"/>
    <w:basedOn w:val="1"/>
    <w:link w:val="16"/>
    <w:qFormat/>
    <w:uiPriority w:val="0"/>
    <w:pPr>
      <w:tabs>
        <w:tab w:val="center" w:pos="4153"/>
        <w:tab w:val="right" w:pos="8306"/>
      </w:tabs>
      <w:snapToGrid w:val="0"/>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autoRedefine/>
    <w:qFormat/>
    <w:uiPriority w:val="1"/>
    <w:pPr>
      <w:spacing w:line="1469" w:lineRule="exact"/>
      <w:ind w:left="512" w:right="665"/>
      <w:jc w:val="center"/>
    </w:pPr>
    <w:rPr>
      <w:sz w:val="120"/>
      <w:szCs w:val="120"/>
    </w:rPr>
  </w:style>
  <w:style w:type="table" w:styleId="10">
    <w:name w:val="Table Grid"/>
    <w:basedOn w:val="9"/>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spacing w:before="174"/>
      <w:ind w:left="1230" w:hanging="483"/>
    </w:pPr>
  </w:style>
  <w:style w:type="paragraph" w:customStyle="1" w:styleId="14">
    <w:name w:val="Table Paragraph"/>
    <w:basedOn w:val="1"/>
    <w:autoRedefine/>
    <w:qFormat/>
    <w:uiPriority w:val="1"/>
  </w:style>
  <w:style w:type="character" w:customStyle="1" w:styleId="15">
    <w:name w:val="页眉 Char"/>
    <w:basedOn w:val="11"/>
    <w:link w:val="7"/>
    <w:autoRedefine/>
    <w:qFormat/>
    <w:uiPriority w:val="0"/>
    <w:rPr>
      <w:rFonts w:ascii="宋体" w:hAnsi="宋体" w:eastAsia="宋体" w:cs="宋体"/>
      <w:sz w:val="18"/>
      <w:szCs w:val="18"/>
    </w:rPr>
  </w:style>
  <w:style w:type="character" w:customStyle="1" w:styleId="16">
    <w:name w:val="页脚 Char"/>
    <w:basedOn w:val="11"/>
    <w:link w:val="6"/>
    <w:autoRedefine/>
    <w:qFormat/>
    <w:uiPriority w:val="0"/>
    <w:rPr>
      <w:rFonts w:ascii="宋体" w:hAnsi="宋体" w:eastAsia="宋体" w:cs="宋体"/>
      <w:sz w:val="18"/>
      <w:szCs w:val="18"/>
    </w:rPr>
  </w:style>
  <w:style w:type="character" w:customStyle="1" w:styleId="17">
    <w:name w:val="批注框文本 Char"/>
    <w:basedOn w:val="11"/>
    <w:link w:val="5"/>
    <w:autoRedefine/>
    <w:semiHidden/>
    <w:qFormat/>
    <w:uiPriority w:val="0"/>
    <w:rPr>
      <w:rFonts w:ascii="宋体" w:hAnsi="宋体" w:eastAsia="宋体" w:cs="宋体"/>
      <w:sz w:val="18"/>
      <w:szCs w:val="18"/>
    </w:rPr>
  </w:style>
  <w:style w:type="character" w:customStyle="1" w:styleId="18">
    <w:name w:val="正文文本 Char"/>
    <w:basedOn w:val="11"/>
    <w:link w:val="4"/>
    <w:autoRedefine/>
    <w:qFormat/>
    <w:uiPriority w:val="1"/>
    <w:rPr>
      <w:rFonts w:ascii="宋体" w:hAnsi="宋体" w:eastAsia="宋体" w:cs="宋体"/>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48C4A5-3311-420C-ADEC-E32D07386BD9}">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3</Pages>
  <Words>288</Words>
  <Characters>1645</Characters>
  <Lines>13</Lines>
  <Paragraphs>3</Paragraphs>
  <TotalTime>3</TotalTime>
  <ScaleCrop>false</ScaleCrop>
  <LinksUpToDate>false</LinksUpToDate>
  <CharactersWithSpaces>1930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2026-01-20T02:43:00Z</dcterms:created>
  <dc:creator>dkk</dc:creator>
  <cp:lastModifiedBy>箱子(^o^)Box</cp:lastModifiedBy>
  <cp:lastPrinted>2022-06-21T08:21:00Z</cp:lastPrinted>
  <dcterms:modified xsi:type="dcterms:W3CDTF">2026-03-03T15:45:31Z</dcterms:modified>
  <dc:title>宁规字〔2001〕号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2021-07-26T00:00:00Z</vt:filetime>
  </property>
  <property fmtid="{D5CDD505-2E9C-101B-9397-08002B2CF9AE}" pid="3" name="Creator">
    <vt:lpwstr>Microsoft® Word 2013</vt:lpwstr>
  </property>
  <property fmtid="{D5CDD505-2E9C-101B-9397-08002B2CF9AE}" pid="4" name="LastSaved">
    <vt:filetime>2022-02-09T00:00:00Z</vt:filetime>
  </property>
  <property fmtid="{D5CDD505-2E9C-101B-9397-08002B2CF9AE}" pid="5" name="KSOProductBuildVer">
    <vt:lpwstr>2052-12.8.2.1119</vt:lpwstr>
  </property>
  <property fmtid="{D5CDD505-2E9C-101B-9397-08002B2CF9AE}" pid="6" name="ICV">
    <vt:lpwstr>55E87456A982410480BB6B336E3335AB_13</vt:lpwstr>
  </property>
  <property fmtid="{D5CDD505-2E9C-101B-9397-08002B2CF9AE}" pid="7" name="KSOTemplateDocerSaveRecord">
    <vt:lpwstr>eyJoZGlkIjoiYzdmMTQ4NDNkZDc3ZDZjZDhkM2IwNDBhYTY4ZDdlYTgiLCJ1c2VySWQiOiIxNzIyMDcxODUzIn0=</vt:lpwstr>
  </property>
</Properties>
</file>