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9CC17">
      <w:pPr>
        <w:pStyle w:val="2"/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行政管理部门对中介机构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val="en-US" w:eastAsia="zh-CN"/>
        </w:rPr>
        <w:t>量化</w:t>
      </w: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  <w:t>评价表</w:t>
      </w:r>
    </w:p>
    <w:p w14:paraId="0F0736FB">
      <w:pPr>
        <w:jc w:val="both"/>
        <w:rPr>
          <w:rFonts w:hint="eastAsia" w:ascii="Times New Roman" w:hAnsi="Times New Roman" w:eastAsia="方正小标宋_GBK" w:cs="Times New Roman"/>
          <w:b w:val="0"/>
          <w:bCs w:val="0"/>
          <w:color w:val="auto"/>
          <w:spacing w:val="-6"/>
          <w:sz w:val="44"/>
          <w:szCs w:val="44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eastAsia="zh-CN"/>
        </w:rPr>
        <w:t>填报单位（盖章）：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 xml:space="preserve">                      填报时间：   </w:t>
      </w:r>
      <w:r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  <w:t xml:space="preserve">  </w:t>
      </w:r>
    </w:p>
    <w:tbl>
      <w:tblPr>
        <w:tblStyle w:val="3"/>
        <w:tblW w:w="90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1243"/>
        <w:gridCol w:w="2983"/>
        <w:gridCol w:w="992"/>
        <w:gridCol w:w="735"/>
        <w:gridCol w:w="765"/>
        <w:gridCol w:w="735"/>
        <w:gridCol w:w="720"/>
      </w:tblGrid>
      <w:tr w14:paraId="4A79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  <w:jc w:val="center"/>
        </w:trPr>
        <w:tc>
          <w:tcPr>
            <w:tcW w:w="2091" w:type="dxa"/>
            <w:gridSpan w:val="2"/>
            <w:shd w:val="clear" w:color="auto" w:fill="auto"/>
            <w:noWrap w:val="0"/>
            <w:vAlign w:val="center"/>
          </w:tcPr>
          <w:p w14:paraId="0A86B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6930" w:type="dxa"/>
            <w:gridSpan w:val="6"/>
            <w:shd w:val="clear" w:color="auto" w:fill="auto"/>
            <w:noWrap w:val="0"/>
            <w:vAlign w:val="center"/>
          </w:tcPr>
          <w:p w14:paraId="201DED9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一般建设项目环境影响评价审批</w:t>
            </w:r>
          </w:p>
        </w:tc>
      </w:tr>
      <w:tr w14:paraId="6BD00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5" w:hRule="atLeast"/>
          <w:jc w:val="center"/>
        </w:trPr>
        <w:tc>
          <w:tcPr>
            <w:tcW w:w="2091" w:type="dxa"/>
            <w:gridSpan w:val="2"/>
            <w:shd w:val="clear" w:color="auto" w:fill="auto"/>
            <w:noWrap w:val="0"/>
            <w:vAlign w:val="center"/>
          </w:tcPr>
          <w:p w14:paraId="7352E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中介服务事项</w:t>
            </w:r>
          </w:p>
        </w:tc>
        <w:tc>
          <w:tcPr>
            <w:tcW w:w="6930" w:type="dxa"/>
            <w:gridSpan w:val="6"/>
            <w:shd w:val="clear" w:color="auto" w:fill="auto"/>
            <w:noWrap w:val="0"/>
            <w:vAlign w:val="center"/>
          </w:tcPr>
          <w:p w14:paraId="7CAA42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编制建设项目环境影响</w:t>
            </w:r>
            <w:bookmarkStart w:id="0" w:name="_GoBack"/>
            <w:bookmarkEnd w:id="0"/>
            <w:r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CN"/>
              </w:rPr>
              <w:t>报告表</w:t>
            </w:r>
          </w:p>
        </w:tc>
      </w:tr>
      <w:tr w14:paraId="44F0F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5" w:hRule="atLeast"/>
          <w:jc w:val="center"/>
        </w:trPr>
        <w:tc>
          <w:tcPr>
            <w:tcW w:w="2091" w:type="dxa"/>
            <w:gridSpan w:val="2"/>
            <w:shd w:val="clear" w:color="auto" w:fill="auto"/>
            <w:noWrap w:val="0"/>
            <w:vAlign w:val="center"/>
          </w:tcPr>
          <w:p w14:paraId="26A170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中介机构名称</w:t>
            </w:r>
          </w:p>
        </w:tc>
        <w:tc>
          <w:tcPr>
            <w:tcW w:w="2983" w:type="dxa"/>
            <w:shd w:val="clear" w:color="auto" w:fill="auto"/>
            <w:noWrap w:val="0"/>
            <w:vAlign w:val="center"/>
          </w:tcPr>
          <w:p w14:paraId="17FF0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</w:p>
        </w:tc>
        <w:tc>
          <w:tcPr>
            <w:tcW w:w="1727" w:type="dxa"/>
            <w:gridSpan w:val="2"/>
            <w:shd w:val="clear" w:color="auto" w:fill="auto"/>
            <w:noWrap w:val="0"/>
            <w:vAlign w:val="center"/>
          </w:tcPr>
          <w:p w14:paraId="4A4FC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kern w:val="2"/>
                <w:sz w:val="24"/>
                <w:szCs w:val="24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办结时间</w:t>
            </w:r>
          </w:p>
        </w:tc>
        <w:tc>
          <w:tcPr>
            <w:tcW w:w="2220" w:type="dxa"/>
            <w:gridSpan w:val="3"/>
            <w:shd w:val="clear" w:color="auto" w:fill="auto"/>
            <w:noWrap w:val="0"/>
            <w:vAlign w:val="center"/>
          </w:tcPr>
          <w:p w14:paraId="732BAB7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54D0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2091" w:type="dxa"/>
            <w:gridSpan w:val="2"/>
            <w:noWrap w:val="0"/>
            <w:vAlign w:val="center"/>
          </w:tcPr>
          <w:p w14:paraId="7CE2B612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考核项目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43D480C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具体内容</w:t>
            </w:r>
          </w:p>
        </w:tc>
        <w:tc>
          <w:tcPr>
            <w:tcW w:w="735" w:type="dxa"/>
            <w:noWrap w:val="0"/>
            <w:vAlign w:val="center"/>
          </w:tcPr>
          <w:p w14:paraId="065AF534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满分</w:t>
            </w:r>
          </w:p>
        </w:tc>
        <w:tc>
          <w:tcPr>
            <w:tcW w:w="765" w:type="dxa"/>
            <w:noWrap w:val="0"/>
            <w:vAlign w:val="center"/>
          </w:tcPr>
          <w:p w14:paraId="1CCAA31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单项</w:t>
            </w:r>
          </w:p>
          <w:p w14:paraId="26F5422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得分</w:t>
            </w:r>
          </w:p>
        </w:tc>
        <w:tc>
          <w:tcPr>
            <w:tcW w:w="735" w:type="dxa"/>
            <w:noWrap w:val="0"/>
            <w:vAlign w:val="center"/>
          </w:tcPr>
          <w:p w14:paraId="6C01B11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扣分</w:t>
            </w:r>
          </w:p>
          <w:p w14:paraId="0C2E880A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说明</w:t>
            </w:r>
          </w:p>
        </w:tc>
        <w:tc>
          <w:tcPr>
            <w:tcW w:w="720" w:type="dxa"/>
            <w:noWrap w:val="0"/>
            <w:vAlign w:val="center"/>
          </w:tcPr>
          <w:p w14:paraId="1DA25DB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分项</w:t>
            </w:r>
          </w:p>
          <w:p w14:paraId="65F9DF19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得分</w:t>
            </w:r>
          </w:p>
        </w:tc>
      </w:tr>
      <w:tr w14:paraId="54699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restart"/>
            <w:noWrap w:val="0"/>
            <w:vAlign w:val="center"/>
          </w:tcPr>
          <w:p w14:paraId="1511B3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环境可行性部分（满分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45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分）</w:t>
            </w:r>
          </w:p>
        </w:tc>
        <w:tc>
          <w:tcPr>
            <w:tcW w:w="1243" w:type="dxa"/>
            <w:noWrap w:val="0"/>
            <w:vAlign w:val="center"/>
          </w:tcPr>
          <w:p w14:paraId="7BDD66E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评价依据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7AFE3BD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项目周边环境要素清楚，环境功能明确；评价等级、评价范围、评价因子选择正确，评价重点突出，标准选用正确。</w:t>
            </w:r>
          </w:p>
        </w:tc>
        <w:tc>
          <w:tcPr>
            <w:tcW w:w="735" w:type="dxa"/>
            <w:noWrap w:val="0"/>
            <w:vAlign w:val="center"/>
          </w:tcPr>
          <w:p w14:paraId="1FE5709B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 w14:paraId="5F4D26B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67FB0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8B74A4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02002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251D1D9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color="auto" w:sz="4" w:space="0"/>
            </w:tcBorders>
            <w:noWrap w:val="0"/>
            <w:vAlign w:val="center"/>
          </w:tcPr>
          <w:p w14:paraId="54A7668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与规划的相容性</w:t>
            </w:r>
          </w:p>
        </w:tc>
        <w:tc>
          <w:tcPr>
            <w:tcW w:w="39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7C92934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与生态环境分区管控相关要求相符性分析准确，区域总体规划及行业相关规划要点阐述清楚。</w:t>
            </w:r>
          </w:p>
        </w:tc>
        <w:tc>
          <w:tcPr>
            <w:tcW w:w="735" w:type="dxa"/>
            <w:tcBorders>
              <w:bottom w:val="single" w:color="auto" w:sz="4" w:space="0"/>
            </w:tcBorders>
            <w:noWrap w:val="0"/>
            <w:vAlign w:val="center"/>
          </w:tcPr>
          <w:p w14:paraId="4CCC93A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 w14:paraId="1FBFC7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C7EDCF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2E027B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56C7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09DF43E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bottom w:val="single" w:color="auto" w:sz="4" w:space="0"/>
            </w:tcBorders>
            <w:noWrap w:val="0"/>
            <w:vAlign w:val="center"/>
          </w:tcPr>
          <w:p w14:paraId="090CAE3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环境质量现状</w:t>
            </w:r>
          </w:p>
        </w:tc>
        <w:tc>
          <w:tcPr>
            <w:tcW w:w="3975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 w14:paraId="0FE2FF4A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环境质量现状监测点位（断面）、时段、频次设定符合导则要求，监测因子符合项目特征，环境现状评价及主要环境问题符合实际，超标原因分析清楚，区域污染源现状资料翔实可靠，引用资料具有时效性。</w:t>
            </w:r>
          </w:p>
        </w:tc>
        <w:tc>
          <w:tcPr>
            <w:tcW w:w="735" w:type="dxa"/>
            <w:tcBorders>
              <w:bottom w:val="single" w:color="auto" w:sz="4" w:space="0"/>
            </w:tcBorders>
            <w:noWrap w:val="0"/>
            <w:vAlign w:val="center"/>
          </w:tcPr>
          <w:p w14:paraId="6748BBD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765" w:type="dxa"/>
            <w:noWrap w:val="0"/>
            <w:vAlign w:val="center"/>
          </w:tcPr>
          <w:p w14:paraId="73EFE63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E0FE7D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17768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7DD77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3E39F4B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68D00D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环境影响预测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78D5CA4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影响预测模式及参数选择正确，预测内容完整，预测结果正确可信，项目实施后的环境影响结论完整清晰。</w:t>
            </w:r>
          </w:p>
        </w:tc>
        <w:tc>
          <w:tcPr>
            <w:tcW w:w="735" w:type="dxa"/>
            <w:noWrap w:val="0"/>
            <w:vAlign w:val="center"/>
          </w:tcPr>
          <w:p w14:paraId="4EA39EB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765" w:type="dxa"/>
            <w:noWrap w:val="0"/>
            <w:vAlign w:val="center"/>
          </w:tcPr>
          <w:p w14:paraId="4F0648D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962FB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3DABD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31928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3356D1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284300F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环境风险评价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24E8FDA6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环境风险对环境质量、环境保护目标的影响结论完整清晰；事故防范措施得力、应急预案完善并具可操作性；应急监测方案具有针对性。</w:t>
            </w:r>
          </w:p>
        </w:tc>
        <w:tc>
          <w:tcPr>
            <w:tcW w:w="735" w:type="dxa"/>
            <w:noWrap w:val="0"/>
            <w:vAlign w:val="center"/>
          </w:tcPr>
          <w:p w14:paraId="08C0DDFF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 w14:paraId="6FF7BE8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EF7250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4F2A49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30F67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6F18BC5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7D2516B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总量控制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011DC06C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总量建议值合理，技改项目技改前后变化量清楚。</w:t>
            </w:r>
          </w:p>
        </w:tc>
        <w:tc>
          <w:tcPr>
            <w:tcW w:w="735" w:type="dxa"/>
            <w:noWrap w:val="0"/>
            <w:vAlign w:val="center"/>
          </w:tcPr>
          <w:p w14:paraId="534CEF08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 w14:paraId="1043E7A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9785DF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71EA69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5E62B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5801728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784C12D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经济损益分析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24B2D68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环境影响后果货币化经济损益核算结果准确，无疏漏。</w:t>
            </w:r>
          </w:p>
        </w:tc>
        <w:tc>
          <w:tcPr>
            <w:tcW w:w="735" w:type="dxa"/>
            <w:noWrap w:val="0"/>
            <w:vAlign w:val="center"/>
          </w:tcPr>
          <w:p w14:paraId="7FAACE5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 w14:paraId="1F4740F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8ADF7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27BBF55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596F2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303CF41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1A846B4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管理与监测计划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4EC8761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环境管理要求明晰；监测因子、布点及频次等符合项目特征，具有可操作性；向社会公开的信息内容完整准确。</w:t>
            </w:r>
          </w:p>
        </w:tc>
        <w:tc>
          <w:tcPr>
            <w:tcW w:w="735" w:type="dxa"/>
            <w:noWrap w:val="0"/>
            <w:vAlign w:val="center"/>
          </w:tcPr>
          <w:p w14:paraId="67D3BE03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765" w:type="dxa"/>
            <w:noWrap w:val="0"/>
            <w:vAlign w:val="center"/>
          </w:tcPr>
          <w:p w14:paraId="1696449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DCEEB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3926CCE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3F77F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restart"/>
            <w:noWrap w:val="0"/>
            <w:vAlign w:val="center"/>
          </w:tcPr>
          <w:p w14:paraId="6D82EE3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工程可行性部分（满分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分）</w:t>
            </w:r>
          </w:p>
        </w:tc>
        <w:tc>
          <w:tcPr>
            <w:tcW w:w="1243" w:type="dxa"/>
            <w:noWrap w:val="0"/>
            <w:vAlign w:val="center"/>
          </w:tcPr>
          <w:p w14:paraId="61A260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工程分析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5887A7F8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工程概况阐述清楚，排污环节、源强（含非正常工况）核算翔实，“三本账”明确；技扩改项目对原有污染源状况及存在问题阐述清楚；总图布置合理。</w:t>
            </w:r>
          </w:p>
        </w:tc>
        <w:tc>
          <w:tcPr>
            <w:tcW w:w="735" w:type="dxa"/>
            <w:noWrap w:val="0"/>
            <w:vAlign w:val="center"/>
          </w:tcPr>
          <w:p w14:paraId="5BEB4FF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765" w:type="dxa"/>
            <w:noWrap w:val="0"/>
            <w:vAlign w:val="center"/>
          </w:tcPr>
          <w:p w14:paraId="36C13A2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6D27F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FB53A7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20D78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11E9CC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42C5CCD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污染控制措施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3A5A175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污染防治措施和生态保护措施（含“以新带老”措施、替代方案或补充对策措施）技术可行性、经济合理性论述充分（有类比分析说明），可为达标排放结论提供支持，“三同时”一览表填写完整准确。</w:t>
            </w:r>
          </w:p>
        </w:tc>
        <w:tc>
          <w:tcPr>
            <w:tcW w:w="735" w:type="dxa"/>
            <w:noWrap w:val="0"/>
            <w:vAlign w:val="center"/>
          </w:tcPr>
          <w:p w14:paraId="37F41455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20</w:t>
            </w:r>
          </w:p>
        </w:tc>
        <w:tc>
          <w:tcPr>
            <w:tcW w:w="765" w:type="dxa"/>
            <w:noWrap w:val="0"/>
            <w:vAlign w:val="center"/>
          </w:tcPr>
          <w:p w14:paraId="1B34DC1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12B73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1B65366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11D8F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restart"/>
            <w:noWrap w:val="0"/>
            <w:vAlign w:val="center"/>
          </w:tcPr>
          <w:p w14:paraId="1C34D54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现场部分（满分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分）</w:t>
            </w:r>
          </w:p>
        </w:tc>
        <w:tc>
          <w:tcPr>
            <w:tcW w:w="1243" w:type="dxa"/>
            <w:noWrap w:val="0"/>
            <w:vAlign w:val="center"/>
          </w:tcPr>
          <w:p w14:paraId="57EF5F3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现场踏勘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403DBFB1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保护目标确定正确，无疏漏。现场情况与环评文件描述一致。</w:t>
            </w:r>
          </w:p>
        </w:tc>
        <w:tc>
          <w:tcPr>
            <w:tcW w:w="735" w:type="dxa"/>
            <w:noWrap w:val="0"/>
            <w:vAlign w:val="center"/>
          </w:tcPr>
          <w:p w14:paraId="00E72821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 w14:paraId="5E2E36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7A44E4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4046DB1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5CF23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393F0FD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56F0818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现场汇报、对接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46D45B7F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报告表：对审批部门所提问题准确如实回答，并在报告表中同步修改到位。</w:t>
            </w:r>
          </w:p>
        </w:tc>
        <w:tc>
          <w:tcPr>
            <w:tcW w:w="735" w:type="dxa"/>
            <w:noWrap w:val="0"/>
            <w:vAlign w:val="center"/>
          </w:tcPr>
          <w:p w14:paraId="565ADB7C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765" w:type="dxa"/>
            <w:noWrap w:val="0"/>
            <w:vAlign w:val="center"/>
          </w:tcPr>
          <w:p w14:paraId="51860F3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245AA04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49776A5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09444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restart"/>
            <w:noWrap w:val="0"/>
            <w:vAlign w:val="center"/>
          </w:tcPr>
          <w:p w14:paraId="1C2388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其它部分（满分</w:t>
            </w: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分）</w:t>
            </w:r>
          </w:p>
        </w:tc>
        <w:tc>
          <w:tcPr>
            <w:tcW w:w="1243" w:type="dxa"/>
            <w:noWrap w:val="0"/>
            <w:vAlign w:val="center"/>
          </w:tcPr>
          <w:p w14:paraId="58C6BD0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规范性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713311F9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附件齐全，计量单位正确，文字简洁，图、表清晰，结构合理，印制规范。</w:t>
            </w:r>
          </w:p>
        </w:tc>
        <w:tc>
          <w:tcPr>
            <w:tcW w:w="735" w:type="dxa"/>
            <w:noWrap w:val="0"/>
            <w:vAlign w:val="center"/>
          </w:tcPr>
          <w:p w14:paraId="5C98A120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765" w:type="dxa"/>
            <w:noWrap w:val="0"/>
            <w:vAlign w:val="center"/>
          </w:tcPr>
          <w:p w14:paraId="3F00F47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11E9EA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noWrap w:val="0"/>
            <w:vAlign w:val="center"/>
          </w:tcPr>
          <w:p w14:paraId="6716DCF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0D0F4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848" w:type="dxa"/>
            <w:vMerge w:val="continue"/>
            <w:noWrap w:val="0"/>
            <w:vAlign w:val="center"/>
          </w:tcPr>
          <w:p w14:paraId="5E432C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1243" w:type="dxa"/>
            <w:noWrap w:val="0"/>
            <w:vAlign w:val="center"/>
          </w:tcPr>
          <w:p w14:paraId="67B386B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评价结论</w:t>
            </w:r>
          </w:p>
        </w:tc>
        <w:tc>
          <w:tcPr>
            <w:tcW w:w="3975" w:type="dxa"/>
            <w:gridSpan w:val="2"/>
            <w:noWrap w:val="0"/>
            <w:vAlign w:val="center"/>
          </w:tcPr>
          <w:p w14:paraId="54A255DE">
            <w:pP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结论明确、客观、公正，逻辑清晰，依据充分，能为项目审批提供依据。</w:t>
            </w:r>
          </w:p>
        </w:tc>
        <w:tc>
          <w:tcPr>
            <w:tcW w:w="735" w:type="dxa"/>
            <w:noWrap w:val="0"/>
            <w:vAlign w:val="center"/>
          </w:tcPr>
          <w:p w14:paraId="05327187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765" w:type="dxa"/>
            <w:noWrap w:val="0"/>
            <w:vAlign w:val="center"/>
          </w:tcPr>
          <w:p w14:paraId="323699F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E01E1C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vMerge w:val="continue"/>
            <w:noWrap w:val="0"/>
            <w:vAlign w:val="center"/>
          </w:tcPr>
          <w:p w14:paraId="0ED4A06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  <w:tr w14:paraId="74DE5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6066" w:type="dxa"/>
            <w:gridSpan w:val="4"/>
            <w:noWrap w:val="0"/>
            <w:vAlign w:val="center"/>
          </w:tcPr>
          <w:p w14:paraId="65F065A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  <w:t>总  分</w:t>
            </w:r>
          </w:p>
        </w:tc>
        <w:tc>
          <w:tcPr>
            <w:tcW w:w="735" w:type="dxa"/>
            <w:noWrap w:val="0"/>
            <w:vAlign w:val="center"/>
          </w:tcPr>
          <w:p w14:paraId="494CA3EE">
            <w:pPr>
              <w:keepNext w:val="0"/>
              <w:keepLines w:val="0"/>
              <w:pageBreakBefore w:val="0"/>
              <w:widowControl w:val="0"/>
              <w:suppressAutoHyphens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100</w:t>
            </w:r>
          </w:p>
        </w:tc>
        <w:tc>
          <w:tcPr>
            <w:tcW w:w="765" w:type="dxa"/>
            <w:noWrap w:val="0"/>
            <w:vAlign w:val="center"/>
          </w:tcPr>
          <w:p w14:paraId="5D522D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35" w:type="dxa"/>
            <w:noWrap w:val="0"/>
            <w:vAlign w:val="center"/>
          </w:tcPr>
          <w:p w14:paraId="396F2EE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  <w:tc>
          <w:tcPr>
            <w:tcW w:w="720" w:type="dxa"/>
            <w:noWrap w:val="0"/>
            <w:vAlign w:val="center"/>
          </w:tcPr>
          <w:p w14:paraId="5633F7F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</w:rPr>
            </w:pPr>
          </w:p>
        </w:tc>
      </w:tr>
    </w:tbl>
    <w:p w14:paraId="02A34D00">
      <w:pPr>
        <w:wordWrap w:val="0"/>
        <w:jc w:val="right"/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36"/>
          <w:lang w:val="en-US" w:eastAsia="zh-CN"/>
        </w:rPr>
        <w:t xml:space="preserve">评审人：（签名）           </w:t>
      </w:r>
    </w:p>
    <w:p w14:paraId="3C98DEDC">
      <w:pPr>
        <w:pStyle w:val="2"/>
        <w:ind w:left="0" w:leftChars="0" w:firstLine="0" w:firstLineChars="0"/>
        <w:rPr>
          <w:rFonts w:hint="default" w:ascii="Times New Roman" w:hAnsi="Times New Roman" w:cs="Times New Roman"/>
        </w:rPr>
      </w:pPr>
    </w:p>
    <w:p w14:paraId="410AC923">
      <w:pPr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7A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34F5C"/>
    <w:rsid w:val="02271514"/>
    <w:rsid w:val="02815F22"/>
    <w:rsid w:val="0D56420A"/>
    <w:rsid w:val="0F8D62AB"/>
    <w:rsid w:val="11DB1C4B"/>
    <w:rsid w:val="16C975F8"/>
    <w:rsid w:val="252D7AA3"/>
    <w:rsid w:val="270B0685"/>
    <w:rsid w:val="2A140221"/>
    <w:rsid w:val="338A6BD6"/>
    <w:rsid w:val="36792C3A"/>
    <w:rsid w:val="3A1931E3"/>
    <w:rsid w:val="49FB7211"/>
    <w:rsid w:val="57FB48F9"/>
    <w:rsid w:val="604C2842"/>
    <w:rsid w:val="62880B49"/>
    <w:rsid w:val="6A1D0124"/>
    <w:rsid w:val="6BB44824"/>
    <w:rsid w:val="6D19654B"/>
    <w:rsid w:val="73980C46"/>
    <w:rsid w:val="75601215"/>
    <w:rsid w:val="77562191"/>
    <w:rsid w:val="7FF261D0"/>
    <w:rsid w:val="AF7FDB44"/>
    <w:rsid w:val="B7F46ED6"/>
    <w:rsid w:val="DFBFB9EC"/>
    <w:rsid w:val="FB7E6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 首行缩进"/>
    <w:qFormat/>
    <w:uiPriority w:val="0"/>
    <w:pPr>
      <w:widowControl w:val="0"/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宋体" w:cs="Times New Roman"/>
      <w:snapToGrid/>
      <w:kern w:val="0"/>
      <w:sz w:val="32"/>
      <w:szCs w:val="22"/>
      <w:lang w:val="en-US" w:eastAsia="zh-CN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BodyText"/>
    <w:basedOn w:val="1"/>
    <w:qFormat/>
    <w:uiPriority w:val="0"/>
    <w:pPr>
      <w:textAlignment w:val="baseline"/>
    </w:pPr>
    <w:rPr>
      <w:rFonts w:ascii="Calibri" w:hAnsi="Calibri"/>
      <w:sz w:val="32"/>
      <w:szCs w:val="32"/>
    </w:rPr>
  </w:style>
  <w:style w:type="character" w:customStyle="1" w:styleId="7">
    <w:name w:val="font11"/>
    <w:basedOn w:val="5"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8">
    <w:name w:val="font2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2024-11-27T01:55:00Z</dcterms:created>
  <dc:creator>wlm</dc:creator>
  <cp:lastModifiedBy>箱子(^o^)Box</cp:lastModifiedBy>
  <dcterms:modified xsi:type="dcterms:W3CDTF">2026-03-05T10:36:27Z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KSOTemplateDocerSaveRecord">
    <vt:lpwstr>eyJoZGlkIjoiZmU5Y2RiYWUzZTJhMDUwNmViNGZlZmZmN2Q1OGJkMTYiLCJ1c2VySWQiOiIxNzIyMDg0OTU3In0=</vt:lpwstr>
  </property>
  <property fmtid="{D5CDD505-2E9C-101B-9397-08002B2CF9AE}" pid="4" name="ICV">
    <vt:lpwstr>9A76EEF8AA184CCA8A050CEF748143E7_13</vt:lpwstr>
  </property>
</Properties>
</file>