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jc w:val="center"/>
        <w:rPr>
          <w:rFonts w:hint="eastAsia" w:ascii="方正小标宋_GBK" w:eastAsia="方正小标宋_GBK"/>
          <w:sz w:val="44"/>
          <w:szCs w:val="44"/>
          <w:shd w:val="clear" w:color="auto" w:fill="FFFFFF"/>
          <w:lang w:eastAsia="zh-CN"/>
        </w:rPr>
      </w:pPr>
      <w:bookmarkStart w:id="0" w:name="_GoBack"/>
      <w:r>
        <w:rPr>
          <w:rFonts w:hint="eastAsia" w:ascii="方正小标宋_GBK" w:eastAsia="方正小标宋_GBK"/>
          <w:sz w:val="44"/>
          <w:szCs w:val="44"/>
          <w:shd w:val="clear" w:color="auto" w:fill="FFFFFF"/>
        </w:rPr>
        <w:t>关于《通州区</w:t>
      </w:r>
      <w:r>
        <w:rPr>
          <w:rFonts w:hint="eastAsia" w:ascii="方正小标宋_GBK" w:eastAsia="方正小标宋_GBK"/>
          <w:sz w:val="44"/>
          <w:szCs w:val="44"/>
          <w:shd w:val="clear" w:color="auto" w:fill="FFFFFF"/>
          <w:lang w:eastAsia="zh-CN"/>
        </w:rPr>
        <w:t>知识产权强区建设纲要（</w:t>
      </w:r>
      <w:r>
        <w:rPr>
          <w:rFonts w:hint="eastAsia" w:ascii="方正小标宋_GBK" w:eastAsia="方正小标宋_GBK"/>
          <w:sz w:val="44"/>
          <w:szCs w:val="44"/>
          <w:shd w:val="clear" w:color="auto" w:fill="FFFFFF"/>
          <w:lang w:val="en-US" w:eastAsia="zh-CN"/>
        </w:rPr>
        <w:t>2023-2035年</w:t>
      </w:r>
      <w:r>
        <w:rPr>
          <w:rFonts w:hint="eastAsia" w:ascii="方正小标宋_GBK" w:eastAsia="方正小标宋_GBK"/>
          <w:sz w:val="44"/>
          <w:szCs w:val="44"/>
          <w:shd w:val="clear" w:color="auto" w:fill="FFFFFF"/>
          <w:lang w:eastAsia="zh-CN"/>
        </w:rPr>
        <w:t>）</w:t>
      </w:r>
      <w:r>
        <w:rPr>
          <w:rFonts w:hint="eastAsia" w:ascii="方正小标宋_GBK" w:eastAsia="方正小标宋_GBK"/>
          <w:sz w:val="44"/>
          <w:szCs w:val="44"/>
          <w:shd w:val="clear" w:color="auto" w:fill="FFFFFF"/>
        </w:rPr>
        <w:t>》</w:t>
      </w:r>
      <w:r>
        <w:rPr>
          <w:rFonts w:hint="eastAsia" w:ascii="方正小标宋_GBK" w:eastAsia="方正小标宋_GBK"/>
          <w:sz w:val="44"/>
          <w:szCs w:val="44"/>
          <w:shd w:val="clear" w:color="auto" w:fill="FFFFFF"/>
          <w:lang w:eastAsia="zh-CN"/>
        </w:rPr>
        <w:t>（征求意见稿）</w:t>
      </w:r>
    </w:p>
    <w:p>
      <w:pPr>
        <w:adjustRightInd w:val="0"/>
        <w:snapToGrid w:val="0"/>
        <w:spacing w:line="700" w:lineRule="exact"/>
        <w:jc w:val="center"/>
        <w:rPr>
          <w:rFonts w:ascii="方正小标宋_GBK" w:eastAsia="方正小标宋_GBK"/>
          <w:sz w:val="44"/>
          <w:szCs w:val="44"/>
          <w:shd w:val="clear" w:color="auto" w:fill="FFFFFF"/>
        </w:rPr>
      </w:pPr>
      <w:r>
        <w:rPr>
          <w:rFonts w:hint="eastAsia" w:ascii="方正小标宋_GBK" w:eastAsia="方正小标宋_GBK"/>
          <w:sz w:val="44"/>
          <w:szCs w:val="44"/>
          <w:shd w:val="clear" w:color="auto" w:fill="FFFFFF"/>
        </w:rPr>
        <w:t>的编制说明</w:t>
      </w:r>
      <w:bookmarkEnd w:id="0"/>
    </w:p>
    <w:p>
      <w:pPr>
        <w:spacing w:line="590" w:lineRule="exact"/>
        <w:jc w:val="center"/>
        <w:rPr>
          <w:rFonts w:ascii="方正楷体_GBK" w:eastAsia="方正楷体_GBK"/>
        </w:rPr>
      </w:pPr>
      <w:r>
        <w:rPr>
          <w:rFonts w:hint="eastAsia" w:ascii="方正楷体_GBK" w:eastAsia="方正楷体_GBK"/>
          <w:snapToGrid w:val="0"/>
          <w:sz w:val="32"/>
        </w:rPr>
        <w:t>通州区市场监管局</w:t>
      </w:r>
    </w:p>
    <w:p>
      <w:pPr>
        <w:spacing w:line="590" w:lineRule="exact"/>
        <w:jc w:val="center"/>
        <w:rPr>
          <w:rFonts w:eastAsia="方正楷体_GBK"/>
          <w:snapToGrid w:val="0"/>
          <w:sz w:val="32"/>
        </w:rPr>
      </w:pPr>
      <w:r>
        <w:rPr>
          <w:rFonts w:eastAsia="方正楷体_GBK"/>
          <w:snapToGrid w:val="0"/>
          <w:sz w:val="32"/>
        </w:rPr>
        <w:t>（202</w:t>
      </w:r>
      <w:r>
        <w:rPr>
          <w:rFonts w:hint="eastAsia" w:eastAsia="方正楷体_GBK"/>
          <w:snapToGrid w:val="0"/>
          <w:sz w:val="32"/>
          <w:lang w:val="en-US" w:eastAsia="zh-CN"/>
        </w:rPr>
        <w:t>3</w:t>
      </w:r>
      <w:r>
        <w:rPr>
          <w:rFonts w:eastAsia="方正楷体_GBK"/>
          <w:snapToGrid w:val="0"/>
          <w:sz w:val="32"/>
        </w:rPr>
        <w:t>年</w:t>
      </w:r>
      <w:r>
        <w:rPr>
          <w:rFonts w:hint="eastAsia" w:eastAsia="方正楷体_GBK"/>
          <w:snapToGrid w:val="0"/>
          <w:sz w:val="32"/>
          <w:lang w:val="en-US" w:eastAsia="zh-CN"/>
        </w:rPr>
        <w:t>4</w:t>
      </w:r>
      <w:r>
        <w:rPr>
          <w:rFonts w:eastAsia="方正楷体_GBK"/>
          <w:snapToGrid w:val="0"/>
          <w:sz w:val="32"/>
        </w:rPr>
        <w:t>月）</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textAlignment w:val="auto"/>
        <w:rPr>
          <w:rFonts w:ascii="方正黑体_GBK" w:eastAsia="方正黑体_GBK"/>
          <w:sz w:val="32"/>
          <w:szCs w:val="32"/>
          <w:shd w:val="clear" w:color="auto" w:fill="FFFFFF"/>
        </w:rPr>
      </w:pPr>
      <w:r>
        <w:rPr>
          <w:rFonts w:hint="eastAsia" w:ascii="方正黑体_GBK" w:eastAsia="方正黑体_GBK"/>
          <w:sz w:val="32"/>
          <w:szCs w:val="32"/>
          <w:shd w:val="clear" w:color="auto" w:fill="FFFFFF"/>
        </w:rPr>
        <w:t>一、编制背景</w:t>
      </w:r>
    </w:p>
    <w:p>
      <w:pPr>
        <w:keepNext w:val="0"/>
        <w:keepLines w:val="0"/>
        <w:pageBreakBefore w:val="0"/>
        <w:widowControl w:val="0"/>
        <w:kinsoku/>
        <w:wordWrap/>
        <w:overflowPunct/>
        <w:topLinePunct w:val="0"/>
        <w:autoSpaceDN/>
        <w:bidi w:val="0"/>
        <w:spacing w:line="580" w:lineRule="exact"/>
        <w:ind w:firstLine="640" w:firstLineChars="200"/>
        <w:textAlignment w:val="auto"/>
        <w:rPr>
          <w:rFonts w:hint="eastAsia" w:ascii="方正仿宋_GBK" w:hAnsi="仿宋_GB2312" w:eastAsia="方正仿宋_GBK"/>
          <w:sz w:val="32"/>
          <w:szCs w:val="32"/>
        </w:rPr>
      </w:pPr>
      <w:r>
        <w:rPr>
          <w:rFonts w:hint="eastAsia" w:ascii="方正仿宋_GBK" w:hAnsi="仿宋_GB2312" w:eastAsia="方正仿宋_GBK"/>
          <w:sz w:val="32"/>
          <w:szCs w:val="32"/>
        </w:rPr>
        <w:t>为贯彻落实党中央、国务院决策部署，全面推进中国式现代化新实践，推动通州区知识产权高质量发展，全面提升知识产权综合实力，提高知识产权领域治理能力和治理水平，奋力开启知识产权强区建设新征程，根据《知识产权强国建设纲要（</w:t>
      </w:r>
      <w:r>
        <w:rPr>
          <w:rFonts w:ascii="Times New Roman" w:hAnsi="Times New Roman" w:eastAsia="方正仿宋_GBK"/>
          <w:sz w:val="32"/>
          <w:szCs w:val="32"/>
        </w:rPr>
        <w:t>2021—2035年</w:t>
      </w:r>
      <w:r>
        <w:rPr>
          <w:rFonts w:hint="eastAsia" w:ascii="方正仿宋_GBK" w:hAnsi="仿宋_GB2312" w:eastAsia="方正仿宋_GBK"/>
          <w:sz w:val="32"/>
          <w:szCs w:val="32"/>
        </w:rPr>
        <w:t>）》《江苏省知识产权强省建设纲要</w:t>
      </w:r>
      <w:r>
        <w:rPr>
          <w:rFonts w:ascii="Times New Roman" w:hAnsi="Times New Roman" w:eastAsia="方正仿宋_GBK"/>
          <w:sz w:val="32"/>
          <w:szCs w:val="32"/>
        </w:rPr>
        <w:t>（2021—2035年</w:t>
      </w:r>
      <w:r>
        <w:rPr>
          <w:rFonts w:hint="eastAsia" w:ascii="方正仿宋_GBK" w:hAnsi="仿宋_GB2312" w:eastAsia="方正仿宋_GBK"/>
          <w:sz w:val="32"/>
          <w:szCs w:val="32"/>
        </w:rPr>
        <w:t>）》《南通市通州区国民经济和社会发展第十四个五年规划和二〇三五年远景目标纲要》，结合</w:t>
      </w:r>
      <w:r>
        <w:rPr>
          <w:rFonts w:hint="eastAsia" w:ascii="方正仿宋_GBK" w:hAnsi="仿宋_GB2312" w:eastAsia="方正仿宋_GBK"/>
          <w:sz w:val="32"/>
          <w:szCs w:val="32"/>
          <w:lang w:eastAsia="zh-CN"/>
        </w:rPr>
        <w:t>我</w:t>
      </w:r>
      <w:r>
        <w:rPr>
          <w:rFonts w:hint="eastAsia" w:ascii="方正仿宋_GBK" w:hAnsi="仿宋_GB2312" w:eastAsia="方正仿宋_GBK"/>
          <w:sz w:val="32"/>
          <w:szCs w:val="32"/>
        </w:rPr>
        <w:t>区发展实际，制定本纲要。</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textAlignment w:val="auto"/>
        <w:rPr>
          <w:rFonts w:ascii="方正黑体_GBK" w:eastAsia="方正黑体_GBK"/>
          <w:sz w:val="32"/>
          <w:szCs w:val="32"/>
          <w:shd w:val="clear" w:color="auto" w:fill="FFFFFF"/>
        </w:rPr>
      </w:pPr>
      <w:r>
        <w:rPr>
          <w:rFonts w:hint="eastAsia" w:ascii="方正黑体_GBK" w:eastAsia="方正黑体_GBK"/>
          <w:sz w:val="32"/>
          <w:szCs w:val="32"/>
          <w:shd w:val="clear" w:color="auto" w:fill="FFFFFF"/>
          <w:lang w:eastAsia="zh-CN"/>
        </w:rPr>
        <w:t>二</w:t>
      </w:r>
      <w:r>
        <w:rPr>
          <w:rFonts w:hint="eastAsia" w:ascii="方正黑体_GBK" w:eastAsia="方正黑体_GBK"/>
          <w:sz w:val="32"/>
          <w:szCs w:val="32"/>
          <w:shd w:val="clear" w:color="auto" w:fill="FFFFFF"/>
        </w:rPr>
        <w:t>、指导思想</w:t>
      </w:r>
      <w:r>
        <w:rPr>
          <w:rFonts w:hint="eastAsia" w:ascii="方正黑体_GBK" w:eastAsia="方正黑体_GBK"/>
          <w:sz w:val="32"/>
          <w:szCs w:val="32"/>
          <w:shd w:val="clear" w:color="auto" w:fill="FFFFFF"/>
          <w:lang w:eastAsia="zh-CN"/>
        </w:rPr>
        <w:t>、基本原则和发展</w:t>
      </w:r>
      <w:r>
        <w:rPr>
          <w:rFonts w:hint="eastAsia" w:ascii="方正黑体_GBK" w:eastAsia="方正黑体_GBK"/>
          <w:sz w:val="32"/>
          <w:szCs w:val="32"/>
          <w:shd w:val="clear" w:color="auto" w:fill="FFFFFF"/>
        </w:rPr>
        <w:t>目标</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textAlignment w:val="auto"/>
        <w:rPr>
          <w:rFonts w:ascii="方正楷体_GBK" w:eastAsia="方正楷体_GBK"/>
          <w:sz w:val="32"/>
          <w:szCs w:val="32"/>
          <w:shd w:val="clear" w:color="auto" w:fill="FFFFFF"/>
        </w:rPr>
      </w:pPr>
      <w:r>
        <w:rPr>
          <w:rFonts w:hint="eastAsia" w:ascii="方正楷体_GBK" w:eastAsia="方正楷体_GBK"/>
          <w:sz w:val="32"/>
          <w:szCs w:val="32"/>
          <w:shd w:val="clear" w:color="auto" w:fill="FFFFFF"/>
        </w:rPr>
        <w:t>（一）指导思想</w:t>
      </w:r>
    </w:p>
    <w:p>
      <w:pPr>
        <w:keepNext w:val="0"/>
        <w:keepLines w:val="0"/>
        <w:pageBreakBefore w:val="0"/>
        <w:widowControl w:val="0"/>
        <w:kinsoku/>
        <w:wordWrap/>
        <w:overflowPunct/>
        <w:topLinePunct w:val="0"/>
        <w:autoSpaceDN/>
        <w:bidi w:val="0"/>
        <w:spacing w:line="580" w:lineRule="exact"/>
        <w:ind w:firstLine="640" w:firstLineChars="200"/>
        <w:textAlignment w:val="auto"/>
        <w:rPr>
          <w:rFonts w:hint="eastAsia" w:ascii="方正仿宋_GBK" w:hAnsi="仿宋_GB2312" w:eastAsia="方正仿宋_GBK"/>
          <w:sz w:val="32"/>
          <w:szCs w:val="32"/>
        </w:rPr>
      </w:pPr>
      <w:r>
        <w:rPr>
          <w:rFonts w:hint="eastAsia" w:ascii="方正仿宋_GBK" w:hAnsi="仿宋_GB2312" w:eastAsia="方正仿宋_GBK"/>
          <w:sz w:val="32"/>
          <w:szCs w:val="32"/>
        </w:rPr>
        <w:t>坚持以习近平新时代中国特色社会主义思想为指导，全面贯彻落实党的二十大精神和习近平总书记关于知识产权工作的重要指示论述，全面提升知识产权创造、运用、保护、管理和服务水平，为</w:t>
      </w:r>
      <w:r>
        <w:rPr>
          <w:rFonts w:hint="eastAsia" w:ascii="方正仿宋_GBK" w:hAnsi="仿宋_GB2312" w:eastAsia="方正仿宋_GBK"/>
          <w:color w:val="000000"/>
          <w:sz w:val="32"/>
          <w:szCs w:val="32"/>
        </w:rPr>
        <w:t>打造产业创新高地，</w:t>
      </w:r>
      <w:r>
        <w:rPr>
          <w:rFonts w:hint="eastAsia" w:ascii="方正仿宋_GBK" w:hAnsi="仿宋_GB2312" w:eastAsia="方正仿宋_GBK"/>
          <w:sz w:val="32"/>
          <w:szCs w:val="32"/>
        </w:rPr>
        <w:t>建设长三角一体化沪苏通强支点城市“硬核区”，奋力谱写“强富美高”新通州现代化建设新篇章提供有力保障。</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textAlignment w:val="auto"/>
        <w:rPr>
          <w:rFonts w:hint="eastAsia" w:ascii="方正楷体_GBK" w:eastAsia="方正楷体_GBK"/>
          <w:sz w:val="32"/>
          <w:szCs w:val="32"/>
          <w:shd w:val="clear" w:color="auto" w:fill="FFFFFF"/>
          <w:lang w:eastAsia="zh-CN"/>
        </w:rPr>
      </w:pPr>
      <w:r>
        <w:rPr>
          <w:rFonts w:hint="eastAsia" w:ascii="方正楷体_GBK" w:eastAsia="方正楷体_GBK"/>
          <w:sz w:val="32"/>
          <w:szCs w:val="32"/>
          <w:shd w:val="clear" w:color="auto" w:fill="FFFFFF"/>
        </w:rPr>
        <w:t>（二）</w:t>
      </w:r>
      <w:r>
        <w:rPr>
          <w:rFonts w:hint="eastAsia" w:ascii="方正楷体_GBK" w:eastAsia="方正楷体_GBK"/>
          <w:sz w:val="32"/>
          <w:szCs w:val="32"/>
          <w:shd w:val="clear" w:color="auto" w:fill="FFFFFF"/>
          <w:lang w:eastAsia="zh-CN"/>
        </w:rPr>
        <w:t>基本原则</w:t>
      </w:r>
    </w:p>
    <w:p>
      <w:pPr>
        <w:keepNext w:val="0"/>
        <w:keepLines w:val="0"/>
        <w:pageBreakBefore w:val="0"/>
        <w:widowControl w:val="0"/>
        <w:kinsoku/>
        <w:wordWrap/>
        <w:overflowPunct/>
        <w:topLinePunct w:val="0"/>
        <w:autoSpaceDN/>
        <w:bidi w:val="0"/>
        <w:spacing w:line="580" w:lineRule="exact"/>
        <w:ind w:firstLine="640" w:firstLineChars="200"/>
        <w:textAlignment w:val="auto"/>
        <w:rPr>
          <w:rFonts w:hint="eastAsia" w:ascii="方正仿宋_GBK" w:hAnsi="仿宋_GB2312" w:eastAsia="方正仿宋_GBK"/>
          <w:sz w:val="32"/>
          <w:szCs w:val="32"/>
        </w:rPr>
      </w:pPr>
      <w:r>
        <w:rPr>
          <w:rFonts w:hint="eastAsia" w:ascii="方正仿宋_GBK" w:hAnsi="仿宋_GB2312" w:eastAsia="方正仿宋_GBK"/>
          <w:sz w:val="32"/>
          <w:szCs w:val="32"/>
        </w:rPr>
        <w:t>坚持严格保护、协同治理。坚持改革创新、增强动力。坚持突出重点、质量优先。坚持统筹协调、融合发展。坚持开放交流、合作共赢。</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textAlignment w:val="auto"/>
        <w:rPr>
          <w:rFonts w:ascii="方正楷体_GBK" w:eastAsia="方正楷体_GBK"/>
          <w:sz w:val="32"/>
          <w:szCs w:val="32"/>
          <w:shd w:val="clear" w:color="auto" w:fill="FFFFFF"/>
        </w:rPr>
      </w:pPr>
      <w:r>
        <w:rPr>
          <w:rFonts w:hint="eastAsia" w:ascii="方正楷体_GBK" w:eastAsia="方正楷体_GBK"/>
          <w:sz w:val="32"/>
          <w:szCs w:val="32"/>
          <w:shd w:val="clear" w:color="auto" w:fill="FFFFFF"/>
          <w:lang w:eastAsia="zh-CN"/>
        </w:rPr>
        <w:t>（三）</w:t>
      </w:r>
      <w:r>
        <w:rPr>
          <w:rFonts w:hint="eastAsia" w:ascii="方正楷体_GBK" w:eastAsia="方正楷体_GBK"/>
          <w:sz w:val="32"/>
          <w:szCs w:val="32"/>
          <w:shd w:val="clear" w:color="auto" w:fill="FFFFFF"/>
        </w:rPr>
        <w:t>发展目标</w:t>
      </w:r>
    </w:p>
    <w:p>
      <w:pPr>
        <w:keepNext w:val="0"/>
        <w:keepLines w:val="0"/>
        <w:pageBreakBefore w:val="0"/>
        <w:widowControl w:val="0"/>
        <w:kinsoku/>
        <w:wordWrap/>
        <w:overflowPunct/>
        <w:topLinePunct w:val="0"/>
        <w:autoSpaceDN/>
        <w:bidi w:val="0"/>
        <w:spacing w:line="580" w:lineRule="exact"/>
        <w:ind w:firstLine="640" w:firstLineChars="200"/>
        <w:textAlignment w:val="auto"/>
        <w:rPr>
          <w:rFonts w:ascii="Times New Roman" w:hAnsi="Times New Roman" w:eastAsia="方正仿宋_GBK"/>
          <w:sz w:val="32"/>
          <w:szCs w:val="32"/>
        </w:rPr>
      </w:pPr>
      <w:r>
        <w:rPr>
          <w:rFonts w:hint="eastAsia" w:ascii="方正仿宋_GBK" w:hAnsi="仿宋_GB2312" w:eastAsia="方正仿宋_GBK"/>
          <w:sz w:val="32"/>
          <w:szCs w:val="32"/>
        </w:rPr>
        <w:t>到</w:t>
      </w:r>
      <w:r>
        <w:rPr>
          <w:rFonts w:ascii="Times New Roman" w:hAnsi="Times New Roman" w:eastAsia="方正仿宋_GBK"/>
          <w:sz w:val="32"/>
          <w:szCs w:val="32"/>
        </w:rPr>
        <w:t>2025</w:t>
      </w:r>
      <w:r>
        <w:rPr>
          <w:rFonts w:hint="eastAsia" w:ascii="方正仿宋_GBK" w:hAnsi="仿宋_GB2312" w:eastAsia="方正仿宋_GBK"/>
          <w:sz w:val="32"/>
          <w:szCs w:val="32"/>
        </w:rPr>
        <w:t>年，</w:t>
      </w:r>
      <w:r>
        <w:rPr>
          <w:rFonts w:hint="eastAsia" w:ascii="方正仿宋_GBK" w:hAnsi="仿宋_GB2312" w:eastAsia="方正仿宋_GBK"/>
          <w:color w:val="000000"/>
          <w:sz w:val="32"/>
          <w:szCs w:val="32"/>
        </w:rPr>
        <w:t>知识产权强区建设取得重要突破，知识产权保护环境更加优化，知识产权创造质量、运用效率、管理效能、服务水平大幅提升</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N/>
        <w:bidi w:val="0"/>
        <w:spacing w:line="580" w:lineRule="exact"/>
        <w:ind w:firstLine="640" w:firstLineChars="200"/>
        <w:textAlignment w:val="auto"/>
        <w:rPr>
          <w:rFonts w:hint="eastAsia" w:ascii="方正仿宋_GBK" w:hAnsi="仿宋_GB2312" w:eastAsia="方正仿宋_GBK"/>
          <w:sz w:val="32"/>
          <w:szCs w:val="32"/>
        </w:rPr>
      </w:pPr>
      <w:r>
        <w:rPr>
          <w:rFonts w:hint="eastAsia" w:ascii="方正仿宋_GBK" w:hAnsi="仿宋_GB2312" w:eastAsia="方正仿宋_GBK"/>
          <w:sz w:val="32"/>
          <w:szCs w:val="32"/>
        </w:rPr>
        <w:t>到</w:t>
      </w:r>
      <w:r>
        <w:rPr>
          <w:rFonts w:ascii="Times New Roman" w:hAnsi="Times New Roman" w:eastAsia="方正仿宋_GBK"/>
          <w:sz w:val="32"/>
          <w:szCs w:val="32"/>
        </w:rPr>
        <w:t>2035</w:t>
      </w:r>
      <w:r>
        <w:rPr>
          <w:rFonts w:hint="eastAsia" w:ascii="方正仿宋_GBK" w:hAnsi="仿宋_GB2312" w:eastAsia="方正仿宋_GBK"/>
          <w:sz w:val="32"/>
          <w:szCs w:val="32"/>
        </w:rPr>
        <w:t>年，知识产权综合竞争力达到全省先进水平，知识产权综合实力大幅跃升，通州特色、江苏引领、全国一流、国际知名的知识产权强区全面建成。</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textAlignment w:val="auto"/>
        <w:rPr>
          <w:rFonts w:ascii="方正黑体_GBK" w:eastAsia="方正黑体_GBK"/>
          <w:sz w:val="32"/>
          <w:szCs w:val="32"/>
          <w:shd w:val="clear" w:color="auto" w:fill="FFFFFF"/>
        </w:rPr>
      </w:pPr>
      <w:r>
        <w:rPr>
          <w:rFonts w:hint="eastAsia" w:ascii="方正黑体_GBK" w:eastAsia="方正黑体_GBK"/>
          <w:sz w:val="32"/>
          <w:szCs w:val="32"/>
          <w:shd w:val="clear" w:color="auto" w:fill="FFFFFF"/>
          <w:lang w:eastAsia="zh-CN"/>
        </w:rPr>
        <w:t>三</w:t>
      </w:r>
      <w:r>
        <w:rPr>
          <w:rFonts w:hint="eastAsia" w:ascii="方正黑体_GBK" w:eastAsia="方正黑体_GBK"/>
          <w:sz w:val="32"/>
          <w:szCs w:val="32"/>
          <w:shd w:val="clear" w:color="auto" w:fill="FFFFFF"/>
        </w:rPr>
        <w:t>、重点任务</w:t>
      </w:r>
    </w:p>
    <w:p>
      <w:pPr>
        <w:keepNext w:val="0"/>
        <w:keepLines w:val="0"/>
        <w:pageBreakBefore w:val="0"/>
        <w:widowControl w:val="0"/>
        <w:kinsoku/>
        <w:wordWrap/>
        <w:overflowPunct/>
        <w:topLinePunct w:val="0"/>
        <w:autoSpaceDN/>
        <w:bidi w:val="0"/>
        <w:spacing w:line="580" w:lineRule="exact"/>
        <w:ind w:firstLine="640" w:firstLineChars="200"/>
        <w:textAlignment w:val="auto"/>
        <w:rPr>
          <w:rFonts w:hint="eastAsia" w:ascii="方正仿宋_GBK" w:hAnsi="仿宋_GB2312" w:eastAsia="方正仿宋_GBK"/>
          <w:sz w:val="32"/>
          <w:szCs w:val="32"/>
          <w:lang w:eastAsia="zh-CN"/>
        </w:rPr>
      </w:pPr>
      <w:r>
        <w:rPr>
          <w:rFonts w:hint="eastAsia" w:ascii="方正楷体_GBK" w:eastAsia="方正楷体_GBK"/>
          <w:sz w:val="32"/>
          <w:szCs w:val="32"/>
          <w:shd w:val="clear" w:color="auto" w:fill="FFFFFF"/>
        </w:rPr>
        <w:t>（一）完善支撑高质量发展的知识产权政策制度。</w:t>
      </w:r>
      <w:r>
        <w:rPr>
          <w:rFonts w:hint="eastAsia" w:ascii="方正仿宋_GBK" w:hAnsi="仿宋_GB2312" w:eastAsia="方正仿宋_GBK"/>
          <w:sz w:val="32"/>
          <w:szCs w:val="32"/>
        </w:rPr>
        <w:t>完善服务地方经济发展的知识产权政策体系</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rPr>
        <w:t>完善推动区域协同共治的知识产权工作机制</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rPr>
        <w:t>完善支持产业发展的知识产权治理机制</w:t>
      </w:r>
      <w:r>
        <w:rPr>
          <w:rFonts w:hint="eastAsia" w:ascii="方正仿宋_GBK" w:hAnsi="仿宋_GB2312" w:eastAsia="方正仿宋_GBK"/>
          <w:sz w:val="32"/>
          <w:szCs w:val="32"/>
          <w:lang w:eastAsia="zh-CN"/>
        </w:rPr>
        <w:t>。</w:t>
      </w:r>
    </w:p>
    <w:p>
      <w:pPr>
        <w:keepNext w:val="0"/>
        <w:keepLines w:val="0"/>
        <w:pageBreakBefore w:val="0"/>
        <w:widowControl w:val="0"/>
        <w:kinsoku/>
        <w:wordWrap/>
        <w:overflowPunct/>
        <w:topLinePunct w:val="0"/>
        <w:autoSpaceDN/>
        <w:bidi w:val="0"/>
        <w:spacing w:line="580" w:lineRule="exact"/>
        <w:ind w:firstLine="640" w:firstLineChars="200"/>
        <w:textAlignment w:val="auto"/>
        <w:rPr>
          <w:rFonts w:hint="eastAsia" w:ascii="方正仿宋_GBK" w:hAnsi="仿宋_GB2312" w:eastAsia="方正仿宋_GBK"/>
          <w:sz w:val="32"/>
          <w:szCs w:val="32"/>
          <w:lang w:eastAsia="zh-CN"/>
        </w:rPr>
      </w:pPr>
      <w:r>
        <w:rPr>
          <w:rFonts w:hint="eastAsia" w:ascii="方正楷体_GBK" w:eastAsia="方正楷体_GBK"/>
          <w:sz w:val="32"/>
          <w:szCs w:val="32"/>
          <w:shd w:val="clear" w:color="auto" w:fill="FFFFFF"/>
        </w:rPr>
        <w:t>（二）构建优化营商环境的知识产权保护体系</w:t>
      </w:r>
      <w:r>
        <w:rPr>
          <w:rFonts w:hint="eastAsia" w:ascii="方正楷体_GBK" w:eastAsia="方正楷体_GBK"/>
          <w:sz w:val="32"/>
          <w:szCs w:val="32"/>
          <w:shd w:val="clear" w:color="auto" w:fill="FFFFFF"/>
          <w:lang w:eastAsia="zh-CN"/>
        </w:rPr>
        <w:t>。</w:t>
      </w:r>
      <w:r>
        <w:rPr>
          <w:rFonts w:hint="eastAsia" w:ascii="方正仿宋_GBK" w:hAnsi="仿宋_GB2312" w:eastAsia="方正仿宋_GBK"/>
          <w:sz w:val="32"/>
          <w:szCs w:val="32"/>
        </w:rPr>
        <w:t>提高知识产权整体保护效能</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rPr>
        <w:t>增强知识产权协同保护效率</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rPr>
        <w:t>提升知识产权海外保护效能</w:t>
      </w:r>
      <w:r>
        <w:rPr>
          <w:rFonts w:hint="eastAsia" w:ascii="方正仿宋_GBK" w:hAnsi="仿宋_GB2312" w:eastAsia="方正仿宋_GBK"/>
          <w:sz w:val="32"/>
          <w:szCs w:val="32"/>
          <w:lang w:eastAsia="zh-CN"/>
        </w:rPr>
        <w:t>。</w:t>
      </w:r>
    </w:p>
    <w:p>
      <w:pPr>
        <w:keepNext w:val="0"/>
        <w:keepLines w:val="0"/>
        <w:pageBreakBefore w:val="0"/>
        <w:widowControl w:val="0"/>
        <w:kinsoku/>
        <w:wordWrap/>
        <w:overflowPunct/>
        <w:topLinePunct w:val="0"/>
        <w:autoSpaceDN/>
        <w:bidi w:val="0"/>
        <w:spacing w:line="580" w:lineRule="exact"/>
        <w:ind w:firstLine="640" w:firstLineChars="200"/>
        <w:textAlignment w:val="auto"/>
        <w:rPr>
          <w:rFonts w:hint="eastAsia" w:ascii="方正仿宋_GBK" w:hAnsi="仿宋_GB2312" w:eastAsia="方正仿宋_GBK"/>
          <w:sz w:val="32"/>
          <w:szCs w:val="32"/>
          <w:lang w:eastAsia="zh-CN"/>
        </w:rPr>
      </w:pPr>
      <w:r>
        <w:rPr>
          <w:rFonts w:hint="eastAsia" w:ascii="方正楷体_GBK" w:eastAsia="方正楷体_GBK"/>
          <w:sz w:val="32"/>
          <w:szCs w:val="32"/>
          <w:shd w:val="clear" w:color="auto" w:fill="FFFFFF"/>
        </w:rPr>
        <w:t>（三）健全增强创新驱动效能的知识产权运行机制。</w:t>
      </w:r>
      <w:r>
        <w:rPr>
          <w:rFonts w:hint="eastAsia" w:ascii="方正仿宋_GBK" w:hAnsi="仿宋_GB2312" w:eastAsia="方正仿宋_GBK"/>
          <w:sz w:val="32"/>
          <w:szCs w:val="32"/>
        </w:rPr>
        <w:t>推进知识产权高质量创造</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rPr>
        <w:t>推进知识产权高效益运用</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rPr>
        <w:t>推进知识产权市场化运营</w:t>
      </w:r>
      <w:r>
        <w:rPr>
          <w:rFonts w:hint="eastAsia" w:ascii="方正仿宋_GBK" w:hAnsi="仿宋_GB2312" w:eastAsia="方正仿宋_GBK"/>
          <w:sz w:val="32"/>
          <w:szCs w:val="32"/>
          <w:lang w:eastAsia="zh-CN"/>
        </w:rPr>
        <w:t>。</w:t>
      </w:r>
    </w:p>
    <w:p>
      <w:pPr>
        <w:keepNext w:val="0"/>
        <w:keepLines w:val="0"/>
        <w:pageBreakBefore w:val="0"/>
        <w:widowControl w:val="0"/>
        <w:kinsoku/>
        <w:wordWrap/>
        <w:overflowPunct/>
        <w:topLinePunct w:val="0"/>
        <w:autoSpaceDN/>
        <w:bidi w:val="0"/>
        <w:spacing w:line="580" w:lineRule="exact"/>
        <w:ind w:firstLine="640" w:firstLineChars="200"/>
        <w:textAlignment w:val="auto"/>
        <w:rPr>
          <w:rFonts w:hint="eastAsia" w:ascii="方正仿宋_GBK" w:hAnsi="仿宋_GB2312" w:eastAsia="方正仿宋_GBK"/>
          <w:sz w:val="32"/>
          <w:szCs w:val="32"/>
          <w:lang w:eastAsia="zh-CN"/>
        </w:rPr>
      </w:pPr>
      <w:r>
        <w:rPr>
          <w:rFonts w:hint="eastAsia" w:ascii="方正楷体_GBK" w:eastAsia="方正楷体_GBK"/>
          <w:sz w:val="32"/>
          <w:szCs w:val="32"/>
          <w:shd w:val="clear" w:color="auto" w:fill="FFFFFF"/>
        </w:rPr>
        <w:t>（四）打造满足市场需求的知识产权服务生态。</w:t>
      </w:r>
      <w:r>
        <w:rPr>
          <w:rFonts w:hint="eastAsia" w:ascii="方正仿宋_GBK" w:hAnsi="仿宋_GB2312" w:eastAsia="方正仿宋_GBK"/>
          <w:sz w:val="32"/>
          <w:szCs w:val="32"/>
        </w:rPr>
        <w:t>优化知识产权公共服务体系</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rPr>
        <w:t>促进知识产权服务业能力提升</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rPr>
        <w:t>推动社会化知识产权服务创新</w:t>
      </w:r>
      <w:r>
        <w:rPr>
          <w:rFonts w:hint="eastAsia" w:ascii="方正仿宋_GBK" w:hAnsi="仿宋_GB2312" w:eastAsia="方正仿宋_GBK"/>
          <w:sz w:val="32"/>
          <w:szCs w:val="32"/>
          <w:lang w:eastAsia="zh-CN"/>
        </w:rPr>
        <w:t>。</w:t>
      </w:r>
    </w:p>
    <w:p>
      <w:pPr>
        <w:keepNext w:val="0"/>
        <w:keepLines w:val="0"/>
        <w:pageBreakBefore w:val="0"/>
        <w:widowControl w:val="0"/>
        <w:kinsoku/>
        <w:wordWrap/>
        <w:overflowPunct/>
        <w:topLinePunct w:val="0"/>
        <w:autoSpaceDN/>
        <w:bidi w:val="0"/>
        <w:spacing w:line="580" w:lineRule="exact"/>
        <w:ind w:firstLine="640" w:firstLineChars="200"/>
        <w:textAlignment w:val="auto"/>
        <w:rPr>
          <w:rFonts w:hint="eastAsia" w:ascii="方正仿宋_GBK" w:hAnsi="仿宋_GB2312" w:eastAsia="方正仿宋_GBK"/>
          <w:sz w:val="32"/>
          <w:szCs w:val="32"/>
          <w:lang w:eastAsia="zh-CN"/>
        </w:rPr>
      </w:pPr>
      <w:r>
        <w:rPr>
          <w:rFonts w:hint="eastAsia" w:ascii="方正楷体_GBK" w:eastAsia="方正楷体_GBK"/>
          <w:sz w:val="32"/>
          <w:szCs w:val="32"/>
          <w:shd w:val="clear" w:color="auto" w:fill="FFFFFF"/>
        </w:rPr>
        <w:t>（五）筑牢促进事业发展的知识产权基础优势。</w:t>
      </w:r>
      <w:r>
        <w:rPr>
          <w:rFonts w:hint="eastAsia" w:ascii="方正仿宋_GBK" w:hAnsi="仿宋_GB2312" w:eastAsia="方正仿宋_GBK"/>
          <w:sz w:val="32"/>
          <w:szCs w:val="32"/>
        </w:rPr>
        <w:t>推进知识产权交流合作</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rPr>
        <w:t>加强知识产权文化建设</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rPr>
        <w:t>强化知识产权人才支撑</w:t>
      </w:r>
      <w:r>
        <w:rPr>
          <w:rFonts w:hint="eastAsia" w:ascii="方正仿宋_GBK" w:hAnsi="仿宋_GB2312" w:eastAsia="方正仿宋_GBK"/>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textAlignment w:val="auto"/>
        <w:rPr>
          <w:rFonts w:ascii="方正黑体_GBK" w:eastAsia="方正黑体_GBK"/>
          <w:sz w:val="32"/>
          <w:szCs w:val="32"/>
          <w:shd w:val="clear" w:color="auto" w:fill="FFFFFF"/>
        </w:rPr>
      </w:pPr>
      <w:r>
        <w:rPr>
          <w:rFonts w:hint="eastAsia" w:ascii="方正黑体_GBK" w:eastAsia="方正黑体_GBK"/>
          <w:sz w:val="32"/>
          <w:szCs w:val="32"/>
          <w:shd w:val="clear" w:color="auto" w:fill="FFFFFF"/>
          <w:lang w:eastAsia="zh-CN"/>
        </w:rPr>
        <w:t>四</w:t>
      </w:r>
      <w:r>
        <w:rPr>
          <w:rFonts w:hint="eastAsia" w:ascii="方正黑体_GBK" w:eastAsia="方正黑体_GBK"/>
          <w:sz w:val="32"/>
          <w:szCs w:val="32"/>
          <w:shd w:val="clear" w:color="auto" w:fill="FFFFFF"/>
        </w:rPr>
        <w:t>、保障措施</w:t>
      </w:r>
    </w:p>
    <w:p>
      <w:pPr>
        <w:keepNext w:val="0"/>
        <w:keepLines w:val="0"/>
        <w:pageBreakBefore w:val="0"/>
        <w:widowControl w:val="0"/>
        <w:kinsoku/>
        <w:wordWrap/>
        <w:overflowPunct/>
        <w:topLinePunct w:val="0"/>
        <w:autoSpaceDN/>
        <w:bidi w:val="0"/>
        <w:spacing w:line="580" w:lineRule="exact"/>
        <w:ind w:firstLine="640" w:firstLineChars="200"/>
        <w:textAlignment w:val="auto"/>
        <w:rPr>
          <w:rFonts w:hint="eastAsia" w:ascii="方正仿宋_GBK" w:hAnsi="仿宋_GB2312" w:eastAsia="方正仿宋_GBK"/>
          <w:sz w:val="32"/>
          <w:szCs w:val="32"/>
        </w:rPr>
      </w:pPr>
      <w:r>
        <w:rPr>
          <w:rFonts w:hint="eastAsia" w:ascii="方正楷体_GBK" w:hAnsi="仿宋_GB2312" w:eastAsia="方正楷体_GBK"/>
          <w:sz w:val="32"/>
          <w:szCs w:val="32"/>
        </w:rPr>
        <w:t>（</w:t>
      </w:r>
      <w:r>
        <w:rPr>
          <w:rFonts w:hint="eastAsia" w:ascii="方正楷体_GBK" w:hAnsi="仿宋_GB2312" w:eastAsia="方正楷体_GBK"/>
          <w:sz w:val="32"/>
          <w:szCs w:val="32"/>
          <w:lang w:eastAsia="zh-CN"/>
        </w:rPr>
        <w:t>一</w:t>
      </w:r>
      <w:r>
        <w:rPr>
          <w:rFonts w:hint="eastAsia" w:ascii="方正楷体_GBK" w:hAnsi="仿宋_GB2312" w:eastAsia="方正楷体_GBK"/>
          <w:sz w:val="32"/>
          <w:szCs w:val="32"/>
        </w:rPr>
        <w:t>）加强组织领导。</w:t>
      </w:r>
      <w:r>
        <w:rPr>
          <w:rFonts w:hint="eastAsia" w:ascii="方正仿宋_GBK" w:hAnsi="仿宋_GB2312" w:eastAsia="方正仿宋_GBK"/>
          <w:sz w:val="32"/>
          <w:szCs w:val="32"/>
          <w:highlight w:val="none"/>
        </w:rPr>
        <w:t>健全</w:t>
      </w:r>
      <w:r>
        <w:rPr>
          <w:rFonts w:hint="eastAsia" w:ascii="方正仿宋_GBK" w:hAnsi="仿宋_GB2312" w:eastAsia="方正仿宋_GBK"/>
          <w:sz w:val="32"/>
          <w:szCs w:val="32"/>
          <w:highlight w:val="none"/>
          <w:lang w:eastAsia="zh-CN"/>
        </w:rPr>
        <w:t>协调议事机制</w:t>
      </w:r>
      <w:r>
        <w:rPr>
          <w:rFonts w:hint="eastAsia" w:ascii="方正仿宋_GBK" w:hAnsi="仿宋_GB2312" w:eastAsia="方正仿宋_GBK"/>
          <w:sz w:val="32"/>
          <w:szCs w:val="32"/>
          <w:highlight w:val="none"/>
        </w:rPr>
        <w:t>，加大</w:t>
      </w:r>
      <w:r>
        <w:rPr>
          <w:rFonts w:hint="eastAsia" w:ascii="方正仿宋_GBK" w:hAnsi="仿宋_GB2312" w:eastAsia="方正仿宋_GBK"/>
          <w:sz w:val="32"/>
          <w:szCs w:val="32"/>
        </w:rPr>
        <w:t>统筹协调力度，完善部门协同、上下联动的工作体系，确保知识产权强区建设有序实施。</w:t>
      </w:r>
    </w:p>
    <w:p>
      <w:pPr>
        <w:keepNext w:val="0"/>
        <w:keepLines w:val="0"/>
        <w:pageBreakBefore w:val="0"/>
        <w:widowControl w:val="0"/>
        <w:kinsoku/>
        <w:wordWrap/>
        <w:overflowPunct/>
        <w:topLinePunct w:val="0"/>
        <w:autoSpaceDN/>
        <w:bidi w:val="0"/>
        <w:spacing w:line="580" w:lineRule="exact"/>
        <w:ind w:firstLine="640" w:firstLineChars="200"/>
        <w:textAlignment w:val="auto"/>
        <w:rPr>
          <w:rFonts w:hint="eastAsia" w:ascii="方正仿宋_GBK" w:hAnsi="仿宋_GB2312" w:eastAsia="方正仿宋_GBK"/>
          <w:sz w:val="32"/>
          <w:szCs w:val="32"/>
        </w:rPr>
      </w:pPr>
      <w:r>
        <w:rPr>
          <w:rFonts w:hint="eastAsia" w:ascii="方正楷体_GBK" w:hAnsi="仿宋_GB2312" w:eastAsia="方正楷体_GBK"/>
          <w:sz w:val="32"/>
          <w:szCs w:val="32"/>
        </w:rPr>
        <w:t>（二）加强条件保障。</w:t>
      </w:r>
      <w:r>
        <w:rPr>
          <w:rFonts w:hint="eastAsia" w:ascii="方正仿宋_GBK" w:hAnsi="仿宋_GB2312" w:eastAsia="方正仿宋_GBK"/>
          <w:sz w:val="32"/>
          <w:szCs w:val="32"/>
        </w:rPr>
        <w:t>建立资金投入保障机制，优化经费投入使用结构，创新财政资源配置使用模式。形成知识产权多元化、多渠道资金投入体系。</w:t>
      </w:r>
    </w:p>
    <w:p>
      <w:pPr>
        <w:keepNext w:val="0"/>
        <w:keepLines w:val="0"/>
        <w:pageBreakBefore w:val="0"/>
        <w:widowControl w:val="0"/>
        <w:kinsoku/>
        <w:wordWrap/>
        <w:overflowPunct/>
        <w:topLinePunct w:val="0"/>
        <w:autoSpaceDN/>
        <w:bidi w:val="0"/>
        <w:spacing w:line="580" w:lineRule="exact"/>
        <w:ind w:firstLine="640" w:firstLineChars="200"/>
        <w:textAlignment w:val="auto"/>
        <w:rPr>
          <w:rFonts w:hint="eastAsia" w:ascii="方正仿宋_GBK" w:hAnsi="仿宋_GB2312" w:eastAsia="方正仿宋_GBK"/>
          <w:sz w:val="32"/>
          <w:szCs w:val="32"/>
          <w:lang w:eastAsia="zh-CN"/>
        </w:rPr>
      </w:pPr>
      <w:r>
        <w:rPr>
          <w:rFonts w:hint="eastAsia" w:ascii="方正楷体_GBK" w:hAnsi="仿宋_GB2312" w:eastAsia="方正楷体_GBK"/>
          <w:sz w:val="32"/>
          <w:szCs w:val="32"/>
        </w:rPr>
        <w:t>（</w:t>
      </w:r>
      <w:r>
        <w:rPr>
          <w:rFonts w:hint="eastAsia" w:ascii="方正楷体_GBK" w:hAnsi="仿宋_GB2312" w:eastAsia="方正楷体_GBK"/>
          <w:sz w:val="32"/>
          <w:szCs w:val="32"/>
          <w:lang w:eastAsia="zh-CN"/>
        </w:rPr>
        <w:t>三</w:t>
      </w:r>
      <w:r>
        <w:rPr>
          <w:rFonts w:hint="eastAsia" w:ascii="方正楷体_GBK" w:hAnsi="仿宋_GB2312" w:eastAsia="方正楷体_GBK"/>
          <w:sz w:val="32"/>
          <w:szCs w:val="32"/>
        </w:rPr>
        <w:t>）加强考核评估。</w:t>
      </w:r>
      <w:r>
        <w:rPr>
          <w:rFonts w:hint="eastAsia" w:ascii="Times New Roman" w:hAnsi="Times New Roman" w:eastAsia="方正仿宋_GBK" w:cs="Times New Roman"/>
          <w:snapToGrid w:val="0"/>
          <w:sz w:val="32"/>
          <w:szCs w:val="32"/>
          <w:shd w:val="clear" w:fill="FFFFFF"/>
          <w:lang w:val="en-US" w:eastAsia="zh-CN" w:bidi="ar"/>
        </w:rPr>
        <w:t>开展年度监测和定期评估总结，加强知识产权工作的监督和指导，</w:t>
      </w:r>
      <w:r>
        <w:rPr>
          <w:rFonts w:hint="eastAsia" w:ascii="方正仿宋_GBK" w:hAnsi="仿宋_GB2312" w:eastAsia="方正仿宋_GBK"/>
          <w:sz w:val="32"/>
          <w:szCs w:val="32"/>
        </w:rPr>
        <w:t>优化知识产权考核</w:t>
      </w:r>
      <w:r>
        <w:rPr>
          <w:rFonts w:hint="eastAsia" w:ascii="方正仿宋_GBK" w:hAnsi="仿宋_GB2312" w:eastAsia="方正仿宋_GBK"/>
          <w:sz w:val="32"/>
          <w:szCs w:val="32"/>
          <w:lang w:eastAsia="zh-CN"/>
        </w:rPr>
        <w:t>和绩效评价</w:t>
      </w:r>
      <w:r>
        <w:rPr>
          <w:rFonts w:hint="eastAsia" w:ascii="方正仿宋_GBK" w:hAnsi="仿宋_GB2312" w:eastAsia="方正仿宋_GBK"/>
          <w:sz w:val="32"/>
          <w:szCs w:val="32"/>
        </w:rPr>
        <w:t>指标</w:t>
      </w:r>
      <w:r>
        <w:rPr>
          <w:rFonts w:hint="eastAsia" w:ascii="方正仿宋_GBK" w:hAnsi="仿宋_GB2312" w:eastAsia="方正仿宋_GBK"/>
          <w:sz w:val="32"/>
          <w:szCs w:val="32"/>
          <w:lang w:eastAsia="zh-CN"/>
        </w:rPr>
        <w:t>。</w:t>
      </w:r>
    </w:p>
    <w:p>
      <w:pPr>
        <w:keepNext w:val="0"/>
        <w:keepLines w:val="0"/>
        <w:pageBreakBefore w:val="0"/>
        <w:widowControl w:val="0"/>
        <w:kinsoku/>
        <w:wordWrap/>
        <w:overflowPunct/>
        <w:topLinePunct w:val="0"/>
        <w:autoSpaceDN/>
        <w:bidi w:val="0"/>
        <w:spacing w:line="580" w:lineRule="exact"/>
        <w:textAlignment w:val="auto"/>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ZmI0YzI2OTI3OWVmMTNlMDRlZjU5YmIzNThkNDQifQ=="/>
  </w:docVars>
  <w:rsids>
    <w:rsidRoot w:val="36394EA7"/>
    <w:rsid w:val="36394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1103</Words>
  <Characters>1136</Characters>
  <Lines>0</Lines>
  <Paragraphs>0</Paragraphs>
  <TotalTime>19</TotalTime>
  <ScaleCrop>false</ScaleCrop>
  <LinksUpToDate>false</LinksUpToDate>
  <CharactersWithSpaces>1136</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2023-04-25T07:25:00Z</dcterms:created>
  <dc:creator>sofia</dc:creator>
  <cp:lastModifiedBy>sofia</cp:lastModifiedBy>
  <dcterms:modified xsi:type="dcterms:W3CDTF">2023-04-25T07:58:33Z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1AAC25DCC4FE4C979DB4F5E8C8682F48_11</vt:lpwstr>
  </property>
</Properties>
</file>