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ascii="宋体" w:hAnsi="宋体" w:eastAsia="宋体" w:cs="宋体"/>
          <w:b/>
          <w:bCs/>
          <w:sz w:val="44"/>
          <w:szCs w:val="44"/>
        </w:rPr>
        <w:t>南通市行政处罚信息信用修复</w:t>
      </w:r>
      <w:r>
        <w:rPr>
          <w:rFonts w:hint="eastAsia" w:ascii="宋体" w:hAnsi="宋体" w:eastAsia="宋体" w:cs="宋体"/>
          <w:b/>
          <w:bCs/>
          <w:sz w:val="44"/>
          <w:szCs w:val="44"/>
          <w:lang w:val="en-US" w:eastAsia="zh-CN"/>
        </w:rPr>
        <w:t>提醒书</w:t>
      </w:r>
    </w:p>
    <w:p>
      <w:pPr>
        <w:ind w:firstLine="480" w:firstLineChars="200"/>
        <w:rPr>
          <w:rFonts w:ascii="宋体" w:hAnsi="宋体" w:eastAsia="宋体" w:cs="宋体"/>
          <w:sz w:val="24"/>
        </w:rPr>
      </w:pPr>
    </w:p>
    <w:p>
      <w:pPr>
        <w:spacing w:line="600" w:lineRule="exact"/>
        <w:ind w:firstLine="560" w:firstLineChars="200"/>
        <w:rPr>
          <w:rFonts w:ascii="仿宋" w:hAnsi="仿宋" w:eastAsia="仿宋" w:cs="宋体"/>
          <w:sz w:val="28"/>
          <w:szCs w:val="28"/>
        </w:rPr>
      </w:pPr>
      <w:r>
        <w:rPr>
          <w:rFonts w:ascii="仿宋" w:hAnsi="仿宋" w:eastAsia="仿宋" w:cs="宋体"/>
          <w:sz w:val="28"/>
          <w:szCs w:val="28"/>
        </w:rPr>
        <w:t>根据《中华人民共和国行政处罚法》以及国家、省、市关于做好行政许可和行政处罚等信用信息公示的工作要求，贵单位(个人）此次的行政处罚信息将纳入各级公共信用信息系统，并在各级信用网站进行公示。目前，行政处罚信息已广泛应用于行政管理、公共服务、招投投标、政府采购、评选评优及金融信贷等领域，可能会对单位（个人）的生产生活产生一定的影响。</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修复途径</w:t>
      </w:r>
      <w:r>
        <w:rPr>
          <w:rFonts w:hint="eastAsia" w:ascii="仿宋" w:hAnsi="仿宋" w:eastAsia="仿宋" w:cs="宋体"/>
          <w:sz w:val="28"/>
          <w:szCs w:val="28"/>
          <w:lang w:eastAsia="zh-CN"/>
        </w:rPr>
        <w:t>：</w:t>
      </w:r>
      <w:r>
        <w:rPr>
          <w:rFonts w:hint="eastAsia" w:ascii="仿宋" w:hAnsi="仿宋" w:eastAsia="仿宋" w:cs="宋体"/>
          <w:sz w:val="28"/>
          <w:szCs w:val="28"/>
        </w:rPr>
        <w:t>线上线下两种渠道。线上请及时登录“信用中国”网站（https://www.creditchina.gov.cn/）进行信用修复。线下可提交修复材料归至南通市公共信用信息中心服务窗</w:t>
      </w:r>
      <w:r>
        <w:rPr>
          <w:rFonts w:ascii="仿宋" w:hAnsi="仿宋" w:eastAsia="仿宋" w:cs="宋体"/>
          <w:sz w:val="28"/>
          <w:szCs w:val="28"/>
        </w:rPr>
        <w:t>口（南通市工农南路150号市政务中心一楼50号窗口，联系电话：0513</w:t>
      </w:r>
      <w:r>
        <w:rPr>
          <w:rFonts w:hint="eastAsia" w:ascii="仿宋" w:hAnsi="仿宋" w:eastAsia="仿宋" w:cs="宋体"/>
          <w:sz w:val="28"/>
          <w:szCs w:val="28"/>
        </w:rPr>
        <w:t>-</w:t>
      </w:r>
      <w:r>
        <w:rPr>
          <w:rFonts w:ascii="仿宋" w:hAnsi="仿宋" w:eastAsia="仿宋" w:cs="宋体"/>
          <w:sz w:val="28"/>
          <w:szCs w:val="28"/>
        </w:rPr>
        <w:t>59001939）进行</w:t>
      </w:r>
      <w:r>
        <w:rPr>
          <w:rFonts w:hint="eastAsia" w:ascii="仿宋" w:hAnsi="仿宋" w:eastAsia="仿宋" w:cs="宋体"/>
          <w:sz w:val="28"/>
          <w:szCs w:val="28"/>
        </w:rPr>
        <w:t>信用</w:t>
      </w:r>
      <w:r>
        <w:rPr>
          <w:rFonts w:ascii="仿宋" w:hAnsi="仿宋" w:eastAsia="仿宋" w:cs="宋体"/>
          <w:sz w:val="28"/>
          <w:szCs w:val="28"/>
        </w:rPr>
        <w:t>修复。</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注意事项</w:t>
      </w:r>
      <w:r>
        <w:rPr>
          <w:rFonts w:hint="eastAsia" w:ascii="仿宋" w:hAnsi="仿宋" w:eastAsia="仿宋" w:cs="宋体"/>
          <w:sz w:val="28"/>
          <w:szCs w:val="28"/>
          <w:lang w:eastAsia="zh-CN"/>
        </w:rPr>
        <w:t>：</w:t>
      </w:r>
      <w:r>
        <w:rPr>
          <w:rFonts w:hint="eastAsia" w:ascii="仿宋" w:hAnsi="仿宋" w:eastAsia="仿宋" w:cs="宋体"/>
          <w:sz w:val="28"/>
          <w:szCs w:val="28"/>
        </w:rPr>
        <w:t>我市所有线上线下信用修复及培训均为公益性质，无需企业承担费用。</w:t>
      </w:r>
    </w:p>
    <w:p>
      <w:pPr>
        <w:spacing w:line="600" w:lineRule="exact"/>
        <w:ind w:firstLine="560" w:firstLineChars="200"/>
        <w:rPr>
          <w:rFonts w:ascii="仿宋" w:hAnsi="仿宋" w:eastAsia="仿宋" w:cs="宋体"/>
          <w:sz w:val="28"/>
          <w:szCs w:val="28"/>
        </w:rPr>
      </w:pPr>
      <w:r>
        <w:rPr>
          <w:rFonts w:ascii="仿宋" w:hAnsi="仿宋" w:eastAsia="仿宋" w:cs="宋体"/>
          <w:sz w:val="28"/>
          <w:szCs w:val="28"/>
        </w:rPr>
        <w:t>提示：涉及一般失信行为的最短公示期为3个月；涉及严重失信行为的最短公示期为6个月；涉及特定严重失信行为3年公示期间不得修复。</w:t>
      </w:r>
    </w:p>
    <w:p>
      <w:pPr>
        <w:spacing w:line="600" w:lineRule="exact"/>
        <w:ind w:firstLine="280" w:firstLineChars="100"/>
        <w:jc w:val="center"/>
        <w:rPr>
          <w:rFonts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南通市社会信用体系建设领导小组办公室</w:t>
      </w:r>
      <w:r>
        <w:rPr>
          <w:rFonts w:ascii="仿宋" w:hAnsi="仿宋" w:eastAsia="仿宋" w:cs="宋体"/>
          <w:sz w:val="28"/>
          <w:szCs w:val="28"/>
        </w:rPr>
        <w:br w:type="textWrapping"/>
      </w:r>
      <w:r>
        <w:rPr>
          <w:rFonts w:hint="eastAsia" w:ascii="仿宋" w:hAnsi="仿宋" w:eastAsia="仿宋" w:cs="宋体"/>
          <w:sz w:val="28"/>
          <w:szCs w:val="28"/>
        </w:rPr>
        <w:t xml:space="preserve">                 </w:t>
      </w:r>
      <w:r>
        <w:rPr>
          <w:rFonts w:ascii="仿宋" w:hAnsi="仿宋" w:eastAsia="仿宋" w:cs="宋体"/>
          <w:sz w:val="28"/>
          <w:szCs w:val="28"/>
        </w:rPr>
        <w:t>南通市公共信用信息中心</w:t>
      </w:r>
    </w:p>
    <w:p>
      <w:pPr>
        <w:spacing w:line="600" w:lineRule="exact"/>
        <w:rPr>
          <w:rFonts w:ascii="仿宋" w:hAnsi="仿宋" w:eastAsia="仿宋" w:cs="宋体"/>
          <w:sz w:val="28"/>
          <w:szCs w:val="28"/>
          <w:u w:val="single"/>
        </w:rPr>
      </w:pPr>
      <w:r>
        <w:rPr>
          <w:rFonts w:hint="eastAsia" w:ascii="仿宋" w:hAnsi="仿宋" w:eastAsia="仿宋" w:cs="宋体"/>
          <w:sz w:val="28"/>
          <w:szCs w:val="28"/>
        </w:rPr>
        <w:t>本单位于   年   月  日收到该提醒书</w:t>
      </w:r>
      <w:r>
        <w:rPr>
          <w:rFonts w:hint="eastAsia" w:ascii="仿宋" w:hAnsi="仿宋" w:eastAsia="仿宋" w:cs="宋体"/>
          <w:sz w:val="28"/>
          <w:szCs w:val="28"/>
          <w:lang w:val="en-US" w:eastAsia="zh-CN"/>
        </w:rPr>
        <w:t>及</w:t>
      </w:r>
      <w:r>
        <w:rPr>
          <w:rFonts w:hint="eastAsia" w:ascii="仿宋" w:hAnsi="仿宋" w:eastAsia="仿宋" w:cs="宋体"/>
          <w:sz w:val="28"/>
          <w:szCs w:val="28"/>
        </w:rPr>
        <w:t>信用修复流程告知书。</w:t>
      </w:r>
    </w:p>
    <w:p>
      <w:pPr>
        <w:pStyle w:val="2"/>
        <w:spacing w:line="590" w:lineRule="exact"/>
        <w:jc w:val="both"/>
        <w:rPr>
          <w:rFonts w:hint="eastAsia" w:ascii="仿宋" w:hAnsi="仿宋" w:eastAsia="仿宋" w:cs="宋体"/>
          <w:sz w:val="28"/>
          <w:szCs w:val="28"/>
          <w:lang w:val="en-US" w:eastAsia="zh-CN"/>
        </w:rPr>
      </w:pPr>
      <w:r>
        <w:rPr>
          <w:rFonts w:hint="eastAsia" w:ascii="仿宋" w:hAnsi="仿宋" w:eastAsia="仿宋" w:cs="宋体"/>
          <w:sz w:val="28"/>
          <w:szCs w:val="28"/>
        </w:rPr>
        <w:t xml:space="preserve">签收人：   </w:t>
      </w:r>
      <w:r>
        <w:rPr>
          <w:rFonts w:hint="eastAsia" w:ascii="仿宋" w:hAnsi="仿宋" w:eastAsia="仿宋" w:cs="宋体"/>
          <w:sz w:val="28"/>
          <w:szCs w:val="28"/>
          <w:lang w:val="en-US" w:eastAsia="zh-CN"/>
        </w:rPr>
        <w:t xml:space="preserve">          </w:t>
      </w:r>
    </w:p>
    <w:p>
      <w:pPr>
        <w:pStyle w:val="2"/>
        <w:spacing w:line="240" w:lineRule="auto"/>
        <w:jc w:val="center"/>
        <w:rPr>
          <w:rFonts w:hint="eastAsia" w:ascii="仿宋" w:hAnsi="仿宋" w:eastAsia="仿宋" w:cs="宋体"/>
          <w:sz w:val="28"/>
          <w:szCs w:val="28"/>
        </w:rPr>
      </w:pP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（后附失信行为分类</w:t>
      </w:r>
      <w:r>
        <w:rPr>
          <w:rFonts w:hint="eastAsia" w:ascii="仿宋" w:hAnsi="仿宋" w:eastAsia="仿宋" w:cs="宋体"/>
          <w:sz w:val="28"/>
          <w:szCs w:val="28"/>
          <w:lang w:val="en-US" w:eastAsia="zh-CN"/>
        </w:rPr>
        <w:t>及</w:t>
      </w:r>
      <w:r>
        <w:rPr>
          <w:rFonts w:hint="eastAsia" w:ascii="仿宋" w:hAnsi="仿宋" w:eastAsia="仿宋" w:cs="宋体"/>
          <w:sz w:val="28"/>
          <w:szCs w:val="28"/>
        </w:rPr>
        <w:t>信用修复流程告知书）</w:t>
      </w:r>
    </w:p>
    <w:p>
      <w:pPr>
        <w:spacing w:line="360" w:lineRule="auto"/>
        <w:ind w:firstLine="360" w:firstLineChars="100"/>
        <w:jc w:val="center"/>
        <w:rPr>
          <w:rFonts w:ascii="宋体" w:hAnsi="宋体" w:eastAsia="宋体" w:cs="宋体"/>
          <w:sz w:val="36"/>
          <w:szCs w:val="36"/>
        </w:rPr>
      </w:pPr>
      <w:r>
        <w:rPr>
          <w:rFonts w:hint="eastAsia" w:ascii="宋体" w:hAnsi="宋体" w:eastAsia="宋体" w:cs="宋体"/>
          <w:sz w:val="36"/>
          <w:szCs w:val="36"/>
        </w:rPr>
        <w:t>《南通市卫生健康行政处罚信息信用修复工作指引（试行）》通知中失信行为分类</w:t>
      </w:r>
    </w:p>
    <w:p>
      <w:pPr>
        <w:spacing w:line="312" w:lineRule="auto"/>
        <w:ind w:firstLine="480" w:firstLineChars="200"/>
        <w:rPr>
          <w:rFonts w:ascii="仿宋" w:hAnsi="仿宋" w:eastAsia="仿宋" w:cs="宋体"/>
          <w:sz w:val="24"/>
        </w:rPr>
      </w:pPr>
      <w:r>
        <w:rPr>
          <w:rFonts w:hint="eastAsia" w:ascii="仿宋" w:hAnsi="仿宋" w:eastAsia="仿宋" w:cs="宋体"/>
          <w:sz w:val="24"/>
        </w:rPr>
        <w:t>失信行为按照造成后果的严重程度，划分为一般失信行为、严重失信行为和特定严重失信行为。</w:t>
      </w:r>
    </w:p>
    <w:p>
      <w:pPr>
        <w:spacing w:line="312" w:lineRule="auto"/>
        <w:ind w:firstLine="480" w:firstLineChars="200"/>
        <w:rPr>
          <w:rFonts w:ascii="仿宋" w:hAnsi="仿宋" w:eastAsia="仿宋" w:cs="宋体"/>
          <w:sz w:val="24"/>
        </w:rPr>
      </w:pPr>
      <w:r>
        <w:rPr>
          <w:rFonts w:ascii="仿宋" w:hAnsi="仿宋" w:eastAsia="仿宋" w:cs="宋体"/>
          <w:sz w:val="24"/>
        </w:rPr>
        <w:t>一般失信行为和严重失信行为的行政处罚信息符合规定条件的，经失信主体申请，可以进行信用修复；特定严重失信行为不予信用修复。</w:t>
      </w:r>
      <w:r>
        <w:rPr>
          <w:rFonts w:ascii="仿宋" w:hAnsi="仿宋" w:eastAsia="仿宋" w:cs="宋体"/>
          <w:sz w:val="24"/>
        </w:rPr>
        <w:br w:type="textWrapping"/>
      </w:r>
      <w:r>
        <w:rPr>
          <w:rFonts w:hint="eastAsia" w:ascii="仿宋" w:hAnsi="仿宋" w:eastAsia="仿宋" w:cs="宋体"/>
          <w:sz w:val="24"/>
        </w:rPr>
        <w:t xml:space="preserve">    </w:t>
      </w:r>
      <w:r>
        <w:rPr>
          <w:rFonts w:ascii="仿宋" w:hAnsi="仿宋" w:eastAsia="仿宋" w:cs="宋体"/>
          <w:sz w:val="24"/>
        </w:rPr>
        <w:t>本指引所称一般失信行为的行政处罚信息，是指对性质较轻、情节轻微、社会危害程度较小的违法失信行为的行政处罚信息。认定为一般失信行为的情形包括：处以警告；对个人处以五千元以下罚款的；对法人或其他组织处以5万元以下罚款的，但依法最低罚款金额（含“处”“并处”，不含“可以处”“并可以处”）5万元以上的，为8万元。</w:t>
      </w:r>
      <w:r>
        <w:rPr>
          <w:rFonts w:ascii="仿宋" w:hAnsi="仿宋" w:eastAsia="仿宋" w:cs="宋体"/>
          <w:sz w:val="24"/>
        </w:rPr>
        <w:br w:type="textWrapping"/>
      </w:r>
      <w:r>
        <w:rPr>
          <w:rFonts w:hint="eastAsia" w:ascii="仿宋" w:hAnsi="仿宋" w:eastAsia="仿宋" w:cs="宋体"/>
          <w:sz w:val="24"/>
        </w:rPr>
        <w:t xml:space="preserve">    </w:t>
      </w:r>
      <w:r>
        <w:rPr>
          <w:rFonts w:ascii="仿宋" w:hAnsi="仿宋" w:eastAsia="仿宋" w:cs="宋体"/>
          <w:sz w:val="24"/>
        </w:rPr>
        <w:t>本指引所称严重失信行为的行政处罚信息，是指对性质恶劣、情节严重、社会危害程度较大的违法失信行为的行政处罚信息，包括以下情形：</w:t>
      </w:r>
      <w:r>
        <w:rPr>
          <w:rFonts w:ascii="仿宋" w:hAnsi="仿宋" w:eastAsia="仿宋" w:cs="宋体"/>
          <w:sz w:val="24"/>
        </w:rPr>
        <w:br w:type="textWrapping"/>
      </w:r>
      <w:r>
        <w:rPr>
          <w:rFonts w:hint="eastAsia" w:ascii="仿宋" w:hAnsi="仿宋" w:eastAsia="仿宋" w:cs="宋体"/>
          <w:sz w:val="24"/>
        </w:rPr>
        <w:t xml:space="preserve">    </w:t>
      </w:r>
      <w:r>
        <w:rPr>
          <w:rFonts w:ascii="仿宋" w:hAnsi="仿宋" w:eastAsia="仿宋" w:cs="宋体"/>
          <w:sz w:val="24"/>
        </w:rPr>
        <w:t>(一）对个人处以五千元（含）以上罚款，或处以暂停一年以上执业活动或吊销执业许可证件的；</w:t>
      </w:r>
      <w:r>
        <w:rPr>
          <w:rFonts w:ascii="仿宋" w:hAnsi="仿宋" w:eastAsia="仿宋" w:cs="宋体"/>
          <w:sz w:val="24"/>
        </w:rPr>
        <w:br w:type="textWrapping"/>
      </w:r>
      <w:r>
        <w:rPr>
          <w:rFonts w:hint="eastAsia" w:ascii="仿宋" w:hAnsi="仿宋" w:eastAsia="仿宋" w:cs="宋体"/>
          <w:sz w:val="24"/>
        </w:rPr>
        <w:t xml:space="preserve">    </w:t>
      </w:r>
      <w:r>
        <w:rPr>
          <w:rFonts w:ascii="仿宋" w:hAnsi="仿宋" w:eastAsia="仿宋" w:cs="宋体"/>
          <w:sz w:val="24"/>
        </w:rPr>
        <w:t>(二）对法人或其他组织处以5万元以上罚款的，但依法最低罚款金额（含“处”“并处”，不含“可以处”“并可以处”）5万元以上的，为8万元，或处以责令停产停业或吊销机构执业许可证件的；</w:t>
      </w:r>
      <w:r>
        <w:rPr>
          <w:rFonts w:ascii="仿宋" w:hAnsi="仿宋" w:eastAsia="仿宋" w:cs="宋体"/>
          <w:sz w:val="24"/>
        </w:rPr>
        <w:br w:type="textWrapping"/>
      </w:r>
      <w:r>
        <w:rPr>
          <w:rFonts w:hint="eastAsia" w:ascii="仿宋" w:hAnsi="仿宋" w:eastAsia="仿宋" w:cs="宋体"/>
          <w:sz w:val="24"/>
        </w:rPr>
        <w:t xml:space="preserve">    </w:t>
      </w:r>
      <w:r>
        <w:rPr>
          <w:rFonts w:ascii="仿宋" w:hAnsi="仿宋" w:eastAsia="仿宋" w:cs="宋体"/>
          <w:sz w:val="24"/>
        </w:rPr>
        <w:t>(三）采取妨碍、逃避、暴力或者其他手段抗拒或拒不配合执法人员查处违法行为的；</w:t>
      </w:r>
      <w:r>
        <w:rPr>
          <w:rFonts w:ascii="仿宋" w:hAnsi="仿宋" w:eastAsia="仿宋" w:cs="宋体"/>
          <w:sz w:val="24"/>
        </w:rPr>
        <w:br w:type="textWrapping"/>
      </w:r>
      <w:r>
        <w:rPr>
          <w:rFonts w:hint="eastAsia" w:ascii="仿宋" w:hAnsi="仿宋" w:eastAsia="仿宋" w:cs="宋体"/>
          <w:sz w:val="24"/>
        </w:rPr>
        <w:t xml:space="preserve">    </w:t>
      </w:r>
      <w:r>
        <w:rPr>
          <w:rFonts w:ascii="仿宋" w:hAnsi="仿宋" w:eastAsia="仿宋" w:cs="宋体"/>
          <w:sz w:val="24"/>
        </w:rPr>
        <w:t>(四）造成严重社会影响的；</w:t>
      </w:r>
      <w:r>
        <w:rPr>
          <w:rFonts w:ascii="仿宋" w:hAnsi="仿宋" w:eastAsia="仿宋" w:cs="宋体"/>
          <w:sz w:val="24"/>
        </w:rPr>
        <w:br w:type="textWrapping"/>
      </w:r>
      <w:r>
        <w:rPr>
          <w:rFonts w:hint="eastAsia" w:ascii="仿宋" w:hAnsi="仿宋" w:eastAsia="仿宋" w:cs="宋体"/>
          <w:sz w:val="24"/>
        </w:rPr>
        <w:t xml:space="preserve">    (五）法律、法规、规章明确规定构成情节严重的。</w:t>
      </w:r>
    </w:p>
    <w:p>
      <w:pPr>
        <w:spacing w:line="312" w:lineRule="auto"/>
        <w:ind w:firstLine="480" w:firstLineChars="200"/>
        <w:rPr>
          <w:rFonts w:ascii="仿宋" w:hAnsi="仿宋" w:eastAsia="仿宋" w:cs="宋体"/>
          <w:sz w:val="24"/>
        </w:rPr>
      </w:pPr>
      <w:r>
        <w:rPr>
          <w:rFonts w:hint="eastAsia" w:ascii="仿宋" w:hAnsi="仿宋" w:eastAsia="仿宋" w:cs="宋体"/>
          <w:sz w:val="24"/>
        </w:rPr>
        <w:t>本指引所称特定严重失信行为的行政处罚信息包括以下情形：</w:t>
      </w:r>
    </w:p>
    <w:p>
      <w:pPr>
        <w:spacing w:line="312" w:lineRule="auto"/>
        <w:ind w:firstLine="480" w:firstLineChars="200"/>
        <w:rPr>
          <w:rFonts w:ascii="仿宋" w:hAnsi="仿宋" w:eastAsia="仿宋" w:cs="宋体"/>
          <w:sz w:val="24"/>
        </w:rPr>
      </w:pPr>
      <w:r>
        <w:rPr>
          <w:rFonts w:ascii="仿宋" w:hAnsi="仿宋" w:eastAsia="仿宋" w:cs="宋体"/>
          <w:sz w:val="24"/>
        </w:rPr>
        <w:t>(一）</w:t>
      </w:r>
      <w:r>
        <w:rPr>
          <w:rFonts w:hint="eastAsia" w:ascii="仿宋" w:hAnsi="仿宋" w:eastAsia="仿宋" w:cs="宋体"/>
          <w:sz w:val="24"/>
        </w:rPr>
        <w:t>在食品药品、安全生产等重点领域被处以责令停产停业，或吊销许可</w:t>
      </w:r>
    </w:p>
    <w:p>
      <w:pPr>
        <w:adjustRightInd w:val="0"/>
        <w:spacing w:line="312" w:lineRule="auto"/>
        <w:jc w:val="left"/>
        <w:textAlignment w:val="bottom"/>
        <w:rPr>
          <w:rFonts w:ascii="仿宋" w:hAnsi="仿宋" w:eastAsia="仿宋" w:cs="宋体"/>
          <w:sz w:val="24"/>
        </w:rPr>
      </w:pPr>
      <w:r>
        <w:rPr>
          <w:rFonts w:hint="eastAsia" w:ascii="仿宋" w:hAnsi="仿宋" w:eastAsia="仿宋" w:cs="宋体"/>
          <w:sz w:val="24"/>
        </w:rPr>
        <w:t>证、吊销执照的行政处罚信息；</w:t>
      </w:r>
    </w:p>
    <w:p>
      <w:pPr>
        <w:spacing w:line="312" w:lineRule="auto"/>
        <w:ind w:firstLine="480" w:firstLineChars="200"/>
        <w:rPr>
          <w:rFonts w:ascii="仿宋" w:hAnsi="仿宋" w:eastAsia="仿宋" w:cs="宋体"/>
          <w:sz w:val="24"/>
        </w:rPr>
      </w:pPr>
      <w:r>
        <w:rPr>
          <w:rFonts w:hint="eastAsia" w:ascii="仿宋" w:hAnsi="仿宋" w:eastAsia="仿宋" w:cs="宋体"/>
          <w:sz w:val="24"/>
        </w:rPr>
        <w:t>(二）因无证照经营、制售假冒伪劣产品、侵害消费者合法权益等违法行为被处以责令停产停业，或吊销许可证、吊销执照的行政处罚信息；</w:t>
      </w:r>
      <w:r>
        <w:rPr>
          <w:rFonts w:hint="eastAsia" w:ascii="仿宋" w:hAnsi="仿宋" w:eastAsia="仿宋" w:cs="宋体"/>
          <w:sz w:val="24"/>
        </w:rPr>
        <w:br w:type="textWrapping"/>
      </w:r>
      <w:r>
        <w:rPr>
          <w:rFonts w:hint="eastAsia" w:ascii="仿宋" w:hAnsi="仿宋" w:eastAsia="仿宋" w:cs="宋体"/>
          <w:sz w:val="24"/>
        </w:rPr>
        <w:t xml:space="preserve">    (三）存在贿赂、欺诈、虚假广告、聚众扰乱社会秩序等严重破坏市场公平竞争秩序和社会正常秩序的严重失信行为；</w:t>
      </w:r>
    </w:p>
    <w:p>
      <w:pPr>
        <w:spacing w:line="312" w:lineRule="auto"/>
        <w:ind w:firstLine="480" w:firstLineChars="200"/>
        <w:rPr>
          <w:rFonts w:hint="eastAsia" w:ascii="仿宋" w:hAnsi="仿宋" w:eastAsia="仿宋" w:cs="宋体"/>
          <w:sz w:val="24"/>
        </w:rPr>
      </w:pPr>
      <w:r>
        <w:rPr>
          <w:rFonts w:ascii="仿宋" w:hAnsi="仿宋" w:eastAsia="仿宋" w:cs="宋体"/>
          <w:sz w:val="2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1115060</wp:posOffset>
                </wp:positionV>
                <wp:extent cx="5262245" cy="15875"/>
                <wp:effectExtent l="0" t="4445" r="14605" b="8255"/>
                <wp:wrapNone/>
                <wp:docPr id="3" name="直接连接符 3"/>
                <wp:cNvGraphicFramePr/>
                <a:graphic xmlns:a="http://schemas.openxmlformats.org/drawingml/2006/main">
                  <a:graphicData uri="http://schemas.microsoft.com/office/word/2010/wordprocessingShape">
                    <wps:wsp>
                      <wps:cNvCnPr/>
                      <wps:spPr>
                        <a:xfrm flipV="1">
                          <a:off x="1137285" y="9744710"/>
                          <a:ext cx="5262245" cy="15875"/>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flip:y;margin-left:0.15pt;margin-top:87.8pt;height:1.25pt;width:414.35pt;z-index:251660288;mso-width-relative:page;mso-height-relative:page;" filled="f" stroked="t" coordsize="21600,21600" o:gfxdata="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w5NXtgAAAAIAQAADwAAAAAAAAABACAAAAAiAAAA&#10;ZHJzL2Rvd25yZXYueG1sUEsBAhQAFAAAAAgAh07iQLxMuWEHAgAA2QMAAA4AAAAAAAAAAQAgAAAA&#10;JwEAAGRycy9lMm9Eb2MueG1sUEsFBgAAAAAGAAYAWQEAAKAFAAAAAA==&#10;">
                <v:fill on="f" focussize="0,0"/>
                <v:stroke weight="0.5pt" color="#5B9BD5" miterlimit="8" joinstyle="miter"/>
                <v:imagedata o:title=""/>
                <o:lock v:ext="edit" aspectratio="f"/>
              </v:line>
            </w:pict>
          </mc:Fallback>
        </mc:AlternateContent>
      </w:r>
      <w:r>
        <w:rPr>
          <w:rFonts w:hint="eastAsia" w:ascii="仿宋" w:hAnsi="仿宋" w:eastAsia="仿宋" w:cs="宋体"/>
          <w:sz w:val="24"/>
        </w:rPr>
        <w:t>(四）拒不履行法定义务，严重影响行政机关公信力的行为，包括当事人在行政机关作出决定后，有履行能力但拒不履行、逃避执行等严重失信行为；</w:t>
      </w:r>
      <w:r>
        <w:rPr>
          <w:rFonts w:hint="eastAsia" w:ascii="仿宋" w:hAnsi="仿宋" w:eastAsia="仿宋" w:cs="宋体"/>
          <w:sz w:val="24"/>
        </w:rPr>
        <w:br w:type="textWrapping"/>
      </w:r>
      <w:r>
        <w:rPr>
          <w:rFonts w:hint="eastAsia" w:ascii="仿宋" w:hAnsi="仿宋" w:eastAsia="仿宋" w:cs="宋体"/>
          <w:sz w:val="24"/>
        </w:rPr>
        <w:t xml:space="preserve">    (五）法律、法规、规章规定不可进行信用修复的其他行政处罚信息。</w:t>
      </w:r>
    </w:p>
    <w:p>
      <w:pPr>
        <w:pStyle w:val="2"/>
        <w:rPr>
          <w:rFonts w:hint="eastAsia" w:ascii="仿宋" w:hAnsi="仿宋" w:eastAsia="仿宋" w:cs="宋体"/>
          <w:sz w:val="24"/>
        </w:rPr>
      </w:pPr>
    </w:p>
    <w:p>
      <w:pPr>
        <w:pStyle w:val="2"/>
        <w:spacing w:line="590" w:lineRule="exact"/>
        <w:jc w:val="center"/>
        <w:rPr>
          <w:rFonts w:hint="eastAsia" w:ascii="宋体" w:hAnsi="宋体" w:eastAsia="宋体" w:cs="宋体"/>
          <w:kern w:val="2"/>
          <w:sz w:val="36"/>
          <w:szCs w:val="36"/>
          <w:lang w:val="en-US" w:eastAsia="zh-CN" w:bidi="ar-SA"/>
        </w:rPr>
      </w:pPr>
      <w:r>
        <w:rPr>
          <w:rFonts w:hint="eastAsia" w:ascii="宋体" w:hAnsi="宋体" w:eastAsia="宋体" w:cs="宋体"/>
          <w:kern w:val="2"/>
          <w:sz w:val="36"/>
          <w:szCs w:val="36"/>
          <w:lang w:val="en-US" w:eastAsia="zh-CN" w:bidi="ar-SA"/>
        </w:rPr>
        <w:t>南通市信用修复流程告知书</w:t>
      </w:r>
    </w:p>
    <w:p>
      <w:pPr>
        <w:pStyle w:val="2"/>
        <w:spacing w:line="240" w:lineRule="exact"/>
        <w:rPr>
          <w:rFonts w:hint="eastAsia" w:ascii="方正仿宋_GBK" w:eastAsia="方正仿宋_GBK" w:cs="方正小标宋_GBK"/>
          <w:kern w:val="0"/>
          <w:sz w:val="32"/>
          <w:szCs w:val="32"/>
          <w:lang w:eastAsia="zh-CN"/>
        </w:rPr>
      </w:pPr>
    </w:p>
    <w:p>
      <w:pPr>
        <w:pStyle w:val="2"/>
        <w:spacing w:line="240" w:lineRule="exact"/>
        <w:rPr>
          <w:rFonts w:hint="eastAsia" w:ascii="方正仿宋_GBK" w:eastAsia="方正仿宋_GBK" w:cs="方正小标宋_GBK"/>
          <w:kern w:val="0"/>
          <w:sz w:val="32"/>
          <w:szCs w:val="32"/>
          <w:lang w:eastAsia="zh-CN"/>
        </w:rPr>
      </w:pPr>
    </w:p>
    <w:p>
      <w:pPr>
        <w:pStyle w:val="2"/>
        <w:rPr>
          <w:rFonts w:hint="eastAsia" w:ascii="仿宋" w:hAnsi="仿宋" w:eastAsia="仿宋" w:cs="宋体"/>
          <w:sz w:val="24"/>
        </w:rPr>
      </w:pPr>
      <w:r>
        <w:rPr>
          <w:rFonts w:hint="eastAsia" w:eastAsiaTheme="minorEastAsia"/>
          <w:lang w:eastAsia="zh-CN"/>
        </w:rPr>
        <w:drawing>
          <wp:inline distT="0" distB="0" distL="114300" distR="114300">
            <wp:extent cx="5270500" cy="6805295"/>
            <wp:effectExtent l="0" t="0" r="0" b="1460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270500" cy="6805295"/>
                    </a:xfrm>
                    <a:prstGeom prst="rect">
                      <a:avLst/>
                    </a:prstGeom>
                  </pic:spPr>
                </pic:pic>
              </a:graphicData>
            </a:graphic>
          </wp:inline>
        </w:drawing>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256540</wp:posOffset>
              </wp:positionV>
              <wp:extent cx="5222875" cy="7620"/>
              <wp:effectExtent l="0" t="0" r="0" b="0"/>
              <wp:wrapNone/>
              <wp:docPr id="2" name="直接连接符 2"/>
              <wp:cNvGraphicFramePr/>
              <a:graphic xmlns:a="http://schemas.openxmlformats.org/drawingml/2006/main">
                <a:graphicData uri="http://schemas.microsoft.com/office/word/2010/wordprocessingShape">
                  <wps:wsp>
                    <wps:cNvCnPr/>
                    <wps:spPr>
                      <a:xfrm>
                        <a:off x="1184910" y="10073640"/>
                        <a:ext cx="5222875" cy="762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7pt;margin-top:20.2pt;height:0.6pt;width:411.25pt;z-index:251659264;mso-width-relative:page;mso-height-relative:page;" filled="f" stroked="t" coordsize="21600,21600" o:gfxdata="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GOfHtcAAAAHAQAADwAAAAAAAAABACAAAAAiAAAAZHJzL2Rvd25y&#10;ZXYueG1sUEsBAhQAFAAAAAgAh07iQHZ2CXH/AQAAzwMAAA4AAAAAAAAAAQAgAAAAJgEAAGRycy9l&#10;Mm9Eb2MueG1sUEsFBgAAAAAGAAYAWQEAAJcFAAAAAA==&#10;">
              <v:fill on="f" focussize="0,0"/>
              <v:stroke weight="0.5pt" color="#5B9BD5" miterlimit="8" joinstyle="miter"/>
              <v:imagedata o:title=""/>
              <o:lock v:ext="edit" aspectratio="f"/>
            </v:line>
          </w:pict>
        </mc:Fallback>
      </mc:AlternateContent>
    </w:r>
    <w:r>
      <w:rPr>
        <w:rFonts w:hint="eastAsia"/>
        <w:sz w:val="24"/>
      </w:rPr>
      <w:t>备注：此提醒书一式两份，一份交当事人签收，一份行政处罚机关留档保存。</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YjQ3NGIxMzI2NTRkOWUxMDQzM2YwNmQxYjAxMmUifQ=="/>
  </w:docVars>
  <w:rsids>
    <w:rsidRoot w:val="78341AF7"/>
    <w:rsid w:val="00587315"/>
    <w:rsid w:val="0078602E"/>
    <w:rsid w:val="00C16C55"/>
    <w:rsid w:val="06CE0008"/>
    <w:rsid w:val="07812A3C"/>
    <w:rsid w:val="09C34DB8"/>
    <w:rsid w:val="164A50D4"/>
    <w:rsid w:val="1B6F3320"/>
    <w:rsid w:val="2093247E"/>
    <w:rsid w:val="27075144"/>
    <w:rsid w:val="30D30C0E"/>
    <w:rsid w:val="3E8B6203"/>
    <w:rsid w:val="3F7316DB"/>
    <w:rsid w:val="50750AD0"/>
    <w:rsid w:val="50B75076"/>
    <w:rsid w:val="67D544BD"/>
    <w:rsid w:val="684F3383"/>
    <w:rsid w:val="6FA10B33"/>
    <w:rsid w:val="6FFE5F86"/>
    <w:rsid w:val="78341AF7"/>
    <w:rsid w:val="7D6E6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unhideWhenUsed/>
    <w:uiPriority w:val="99"/>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1312</Words>
  <Characters>1357</Characters>
  <Lines>10</Lines>
  <Paragraphs>2</Paragraphs>
  <TotalTime>0</TotalTime>
  <ScaleCrop>false</ScaleCrop>
  <LinksUpToDate>false</LinksUpToDate>
  <CharactersWithSpaces>1470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2021-11-23T00:59:00Z</dcterms:created>
  <dc:creator>提莫多少钱一斤</dc:creator>
  <cp:lastModifiedBy>张小慧</cp:lastModifiedBy>
  <cp:lastPrinted>2021-12-03T02:42:00Z</cp:lastPrinted>
  <dcterms:modified xsi:type="dcterms:W3CDTF">2023-11-07T07:26:51Z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66D2D25F37E64028AE9603518D46DD1B</vt:lpwstr>
  </property>
</Properties>
</file>