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0" w:lineRule="exact"/>
        <w:rPr>
          <w:rFonts w:hint="eastAsia" w:ascii="方正仿宋_GBK" w:eastAsia="方正仿宋_GBK"/>
          <w:sz w:val="32"/>
          <w:szCs w:val="32"/>
          <w:lang w:eastAsia="zh-CN"/>
        </w:rPr>
      </w:pPr>
      <w:r>
        <w:rPr>
          <w:rFonts w:hint="eastAsia" w:ascii="方正仿宋_GBK" w:eastAsia="方正仿宋_GBK"/>
          <w:sz w:val="32"/>
          <w:szCs w:val="32"/>
        </w:rPr>
        <w:t>附件</w:t>
      </w:r>
      <w:r>
        <w:rPr>
          <w:rFonts w:hint="eastAsia" w:ascii="方正仿宋_GBK" w:eastAsia="方正仿宋_GBK"/>
          <w:sz w:val="32"/>
          <w:szCs w:val="32"/>
          <w:lang w:val="en-US" w:eastAsia="zh-CN"/>
        </w:rPr>
        <w:t>1</w:t>
      </w:r>
    </w:p>
    <w:p>
      <w:pPr>
        <w:overflowPunct w:val="0"/>
        <w:spacing w:line="590" w:lineRule="exact"/>
        <w:jc w:val="center"/>
        <w:rPr>
          <w:rFonts w:hint="eastAsia" w:ascii="方正小标宋_GBK" w:eastAsia="方正小标宋_GBK" w:cs="方正小标宋_GBK"/>
          <w:sz w:val="44"/>
          <w:szCs w:val="44"/>
        </w:rPr>
      </w:pPr>
      <w:r>
        <w:rPr>
          <w:rFonts w:ascii="方正小标宋_GBK" w:eastAsia="方正小标宋_GBK" w:cs="方正小标宋_GBK"/>
          <w:sz w:val="44"/>
          <w:szCs w:val="44"/>
        </w:rPr>
        <w:t>2023</w:t>
      </w:r>
      <w:r>
        <w:rPr>
          <w:rFonts w:hint="eastAsia" w:ascii="方正小标宋_GBK" w:eastAsia="方正小标宋_GBK" w:cs="方正小标宋_GBK"/>
          <w:sz w:val="44"/>
          <w:szCs w:val="44"/>
        </w:rPr>
        <w:t>年</w:t>
      </w:r>
      <w:r>
        <w:rPr>
          <w:rFonts w:hint="eastAsia" w:ascii="方正小标宋_GBK" w:eastAsia="方正小标宋_GBK" w:cs="方正小标宋_GBK"/>
          <w:sz w:val="44"/>
          <w:szCs w:val="44"/>
          <w:lang w:val="en-US" w:eastAsia="zh-CN"/>
        </w:rPr>
        <w:t>通州区</w:t>
      </w:r>
      <w:r>
        <w:rPr>
          <w:rFonts w:hint="eastAsia" w:ascii="方正小标宋_GBK" w:eastAsia="方正小标宋_GBK" w:cs="方正小标宋_GBK"/>
          <w:sz w:val="44"/>
          <w:szCs w:val="44"/>
        </w:rPr>
        <w:t>药品零售使用单位监督检查计划</w:t>
      </w:r>
    </w:p>
    <w:p>
      <w:pPr>
        <w:overflowPunct w:val="0"/>
        <w:spacing w:line="590" w:lineRule="exact"/>
        <w:jc w:val="center"/>
        <w:rPr>
          <w:rFonts w:hint="eastAsia" w:ascii="方正小标宋_GBK" w:eastAsia="方正小标宋_GBK" w:cs="方正小标宋_GBK"/>
          <w:sz w:val="44"/>
          <w:szCs w:val="44"/>
        </w:rPr>
      </w:pPr>
    </w:p>
    <w:tbl>
      <w:tblPr>
        <w:tblStyle w:val="6"/>
        <w:tblW w:w="13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14"/>
        <w:gridCol w:w="3795"/>
        <w:gridCol w:w="6450"/>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0" w:type="dxa"/>
            <w:vAlign w:val="center"/>
          </w:tcPr>
          <w:p>
            <w:pPr>
              <w:overflowPunct w:val="0"/>
              <w:spacing w:line="240" w:lineRule="exact"/>
              <w:jc w:val="center"/>
              <w:rPr>
                <w:rFonts w:hint="eastAsia" w:ascii="黑体" w:hAnsi="黑体" w:eastAsia="黑体" w:cs="黑体"/>
                <w:b/>
                <w:bCs/>
                <w:szCs w:val="21"/>
              </w:rPr>
            </w:pPr>
            <w:r>
              <w:rPr>
                <w:rFonts w:hint="eastAsia" w:ascii="黑体" w:hAnsi="黑体" w:eastAsia="黑体" w:cs="黑体"/>
                <w:b/>
                <w:bCs/>
                <w:szCs w:val="21"/>
              </w:rPr>
              <w:t>序号</w:t>
            </w:r>
          </w:p>
        </w:tc>
        <w:tc>
          <w:tcPr>
            <w:tcW w:w="1114" w:type="dxa"/>
            <w:vAlign w:val="center"/>
          </w:tcPr>
          <w:p>
            <w:pPr>
              <w:overflowPunct w:val="0"/>
              <w:spacing w:line="240" w:lineRule="exact"/>
              <w:jc w:val="center"/>
              <w:rPr>
                <w:rFonts w:hint="eastAsia" w:ascii="黑体" w:hAnsi="黑体" w:eastAsia="黑体" w:cs="黑体"/>
                <w:b/>
                <w:bCs/>
                <w:szCs w:val="21"/>
              </w:rPr>
            </w:pPr>
            <w:r>
              <w:rPr>
                <w:rFonts w:hint="eastAsia" w:ascii="黑体" w:hAnsi="黑体" w:eastAsia="黑体" w:cs="黑体"/>
                <w:b/>
                <w:bCs/>
                <w:szCs w:val="21"/>
              </w:rPr>
              <w:t>检查对象</w:t>
            </w:r>
          </w:p>
        </w:tc>
        <w:tc>
          <w:tcPr>
            <w:tcW w:w="3795" w:type="dxa"/>
            <w:vAlign w:val="center"/>
          </w:tcPr>
          <w:p>
            <w:pPr>
              <w:overflowPunct w:val="0"/>
              <w:spacing w:line="240" w:lineRule="exact"/>
              <w:jc w:val="center"/>
              <w:rPr>
                <w:rFonts w:hint="eastAsia" w:ascii="黑体" w:hAnsi="黑体" w:eastAsia="黑体" w:cs="黑体"/>
                <w:b/>
                <w:bCs/>
                <w:szCs w:val="21"/>
              </w:rPr>
            </w:pPr>
            <w:r>
              <w:rPr>
                <w:rFonts w:hint="eastAsia" w:ascii="黑体" w:hAnsi="黑体" w:eastAsia="黑体" w:cs="黑体"/>
                <w:b/>
                <w:bCs/>
                <w:szCs w:val="21"/>
              </w:rPr>
              <w:t>检查任务</w:t>
            </w:r>
          </w:p>
        </w:tc>
        <w:tc>
          <w:tcPr>
            <w:tcW w:w="6450" w:type="dxa"/>
            <w:vAlign w:val="center"/>
          </w:tcPr>
          <w:p>
            <w:pPr>
              <w:overflowPunct w:val="0"/>
              <w:spacing w:line="240" w:lineRule="exact"/>
              <w:jc w:val="center"/>
              <w:rPr>
                <w:rFonts w:hint="eastAsia" w:ascii="黑体" w:hAnsi="黑体" w:eastAsia="黑体" w:cs="黑体"/>
                <w:b/>
                <w:bCs/>
                <w:szCs w:val="21"/>
              </w:rPr>
            </w:pPr>
            <w:r>
              <w:rPr>
                <w:rFonts w:hint="eastAsia" w:ascii="黑体" w:hAnsi="黑体" w:eastAsia="黑体" w:cs="黑体"/>
                <w:b/>
                <w:bCs/>
                <w:szCs w:val="21"/>
              </w:rPr>
              <w:t>检查依据及检查重点</w:t>
            </w:r>
          </w:p>
        </w:tc>
        <w:tc>
          <w:tcPr>
            <w:tcW w:w="1729" w:type="dxa"/>
            <w:vAlign w:val="center"/>
          </w:tcPr>
          <w:p>
            <w:pPr>
              <w:overflowPunct w:val="0"/>
              <w:spacing w:line="240" w:lineRule="exact"/>
              <w:jc w:val="center"/>
              <w:rPr>
                <w:rFonts w:hint="default" w:ascii="黑体" w:hAnsi="黑体" w:eastAsia="黑体" w:cs="黑体"/>
                <w:b/>
                <w:bCs/>
                <w:szCs w:val="21"/>
                <w:lang w:val="en-US" w:eastAsia="zh-CN"/>
              </w:rPr>
            </w:pPr>
            <w:r>
              <w:rPr>
                <w:rFonts w:hint="eastAsia" w:ascii="黑体" w:hAnsi="黑体" w:eastAsia="黑体" w:cs="黑体"/>
                <w:b/>
                <w:bCs/>
                <w:szCs w:val="21"/>
                <w:lang w:val="en-US" w:eastAsia="zh-CN"/>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overflowPunct w:val="0"/>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114" w:type="dxa"/>
            <w:vAlign w:val="center"/>
          </w:tcPr>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零售药店（含连锁门店）</w:t>
            </w:r>
          </w:p>
        </w:tc>
        <w:tc>
          <w:tcPr>
            <w:tcW w:w="3795" w:type="dxa"/>
            <w:vAlign w:val="center"/>
          </w:tcPr>
          <w:p>
            <w:pPr>
              <w:numPr>
                <w:ilvl w:val="0"/>
                <w:numId w:val="1"/>
              </w:num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对零售药店开展“双随机、一公开”监督检查，比例不低于药店总数的10%；与医保部门联合检查定点零售药店，比例为5%。</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2.根据三年全覆盖原则，对零售药店监督检查总比例不低于35%。</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3.对有第二类精神药品、血液制品经营范围的零售药店检查不少于1次。</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4.对2022年因违法违规被药品监督管理部门给予行政处罚的零售药店检查不少于1次。</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5.对2022年经营场所及质量管理体系发生重大变化的、检查发现有GSP严重缺陷的、排查发现存在严重质量安全风险的零售药店检查不少于1次。</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6.对2022年新开办的零售药店检查不少于1次。</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w:t>
            </w:r>
            <w:r>
              <w:rPr>
                <w:rFonts w:hint="eastAsia" w:ascii="方正仿宋_GBK" w:hAnsi="方正仿宋_GBK" w:eastAsia="方正仿宋_GBK" w:cs="方正仿宋_GBK"/>
                <w:szCs w:val="21"/>
                <w:lang w:val="en-US" w:eastAsia="zh-CN"/>
              </w:rPr>
              <w:t>配合</w:t>
            </w:r>
            <w:r>
              <w:rPr>
                <w:rFonts w:hint="eastAsia" w:ascii="方正仿宋_GBK" w:hAnsi="方正仿宋_GBK" w:eastAsia="方正仿宋_GBK" w:cs="方正仿宋_GBK"/>
                <w:szCs w:val="21"/>
              </w:rPr>
              <w:t>市局对零售药店抽查不少于5家，其中单体药店不少于60%。</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8.对农村地区、城乡接合部等重点区域监督检查。</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9.对出租出借证照、挂靠走票、非法渠道购进药品、不凭处方销售处方药等重点问题检查。</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10.国家局和省局下达的其他检查任务。</w:t>
            </w:r>
          </w:p>
        </w:tc>
        <w:tc>
          <w:tcPr>
            <w:tcW w:w="6450" w:type="dxa"/>
            <w:vAlign w:val="center"/>
          </w:tcPr>
          <w:p>
            <w:pPr>
              <w:overflowPunct w:val="0"/>
              <w:spacing w:line="240" w:lineRule="exact"/>
              <w:rPr>
                <w:rFonts w:hint="eastAsia" w:ascii="方正仿宋_GBK" w:hAnsi="方正仿宋_GBK" w:eastAsia="方正仿宋_GBK" w:cs="方正仿宋_GBK"/>
                <w:szCs w:val="21"/>
              </w:rPr>
            </w:pP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1.《药品管理法》《麻醉药品和精神药品管理条例》《药品流通监督管理办法》《药品经营质量管理规范》等法律法规规定执行情况。</w:t>
            </w:r>
          </w:p>
          <w:p>
            <w:pPr>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2.《国家药监局2023年工作要点的通知》（国药监综[2023]11号）明确的工作重点。</w:t>
            </w:r>
          </w:p>
          <w:p>
            <w:pPr>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 江苏省药品监管局《关于深入落实涉疫药品和医疗用品稳价保质专项行动实施方案的通知》（苏药监药生〔2023〕4号）。</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原国家食品药品监管总局办公厅《关于开展城乡接合部和农村地区药店诊所药品质量安全集中整治的通知》（食药监办药化监〔2017〕90号）明确的10项整治重点：（1）违法回收或参与回收药品，销售回收药品；从非法渠道购进药品并销售；非法购进医疗机构制剂并销售。（2）购进、销售假劣药品。（3）以中药材及初加工产品冒充中药饮片销售，非法加工中药饮片。（4）出租、出借柜台等为他人非法经营提供便利行为。（5）销售麻醉药品、第一类精神药品、疫苗等国家禁止零售的品种；非定点药店销售第二类精神药品；违规销售含特殊药品复方制剂，导致流入非法渠道；销售米非司酮（含紧急避孕类米非司酮制剂）等具有终止妊娠作用的药品。（6）超范围经营药品。（7）购进药品未索取发票（含应税劳务清单）及随货同行单，或虽索取发票等票据，但相关信息（单位、品名、规格、批号、金额、付款流向等）与实际不符。（8）未严格按照药品的贮藏要求储存、陈列药品。（9）违反处方药与非处方药分类管理规定销售药品。（10）执业药师“挂证”、不在岗履职。</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重点检查第二类精神药品、含特殊药品复方制剂、生物制品、中药饮片、需冷藏冷冻保管药品、细胞治疗类药品、新冠对症治疗药物、网售药品、零售环节常见“回收药品”，严格按照处方药与非处方药分类管理规定销售药品。</w:t>
            </w:r>
          </w:p>
          <w:p>
            <w:pPr>
              <w:overflowPunct w:val="0"/>
              <w:spacing w:line="240" w:lineRule="exact"/>
              <w:rPr>
                <w:rFonts w:hint="eastAsia" w:ascii="方正仿宋_GBK" w:hAnsi="方正仿宋_GBK" w:eastAsia="方正仿宋_GBK" w:cs="方正仿宋_GBK"/>
                <w:szCs w:val="21"/>
              </w:rPr>
            </w:pPr>
          </w:p>
        </w:tc>
        <w:tc>
          <w:tcPr>
            <w:tcW w:w="1729" w:type="dxa"/>
            <w:vAlign w:val="center"/>
          </w:tcPr>
          <w:p>
            <w:pPr>
              <w:overflowPunct w:val="0"/>
              <w:spacing w:line="240" w:lineRule="exac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在对零售连锁门店检查中发现涉及严重缺陷、重大质量问题的，</w:t>
            </w:r>
            <w:r>
              <w:rPr>
                <w:rFonts w:hint="eastAsia" w:ascii="方正仿宋_GBK" w:hAnsi="方正仿宋_GBK" w:eastAsia="方正仿宋_GBK" w:cs="方正仿宋_GBK"/>
                <w:szCs w:val="21"/>
                <w:lang w:val="en-US" w:eastAsia="zh-CN"/>
              </w:rPr>
              <w:t>及时</w:t>
            </w:r>
            <w:r>
              <w:rPr>
                <w:rFonts w:hint="eastAsia" w:ascii="方正仿宋_GBK" w:hAnsi="方正仿宋_GBK" w:eastAsia="方正仿宋_GBK" w:cs="方正仿宋_GBK"/>
                <w:szCs w:val="21"/>
              </w:rPr>
              <w:t>报药械</w:t>
            </w:r>
            <w:r>
              <w:rPr>
                <w:rFonts w:hint="eastAsia" w:ascii="方正仿宋_GBK" w:hAnsi="方正仿宋_GBK" w:eastAsia="方正仿宋_GBK" w:cs="方正仿宋_GBK"/>
                <w:szCs w:val="21"/>
                <w:lang w:val="en-US" w:eastAsia="zh-CN"/>
              </w:rPr>
              <w:t>科。药械科</w:t>
            </w:r>
            <w:r>
              <w:rPr>
                <w:rFonts w:hint="eastAsia" w:ascii="方正仿宋_GBK" w:hAnsi="方正仿宋_GBK" w:eastAsia="方正仿宋_GBK" w:cs="方正仿宋_GBK"/>
                <w:szCs w:val="21"/>
              </w:rPr>
              <w:t>将相关情况</w:t>
            </w:r>
            <w:r>
              <w:rPr>
                <w:rFonts w:hint="eastAsia" w:ascii="方正仿宋_GBK" w:hAnsi="方正仿宋_GBK" w:eastAsia="方正仿宋_GBK" w:cs="方正仿宋_GBK"/>
                <w:szCs w:val="21"/>
                <w:lang w:val="en-US" w:eastAsia="zh-CN"/>
              </w:rPr>
              <w:t>报市局。</w:t>
            </w:r>
          </w:p>
          <w:p>
            <w:pPr>
              <w:overflowPunct w:val="0"/>
              <w:spacing w:line="240" w:lineRule="exact"/>
              <w:rPr>
                <w:rFonts w:hint="eastAsia" w:ascii="方正仿宋_GBK" w:hAnsi="方正仿宋_GBK" w:eastAsia="方正仿宋_GBK" w:cs="方正仿宋_GBK"/>
                <w:b/>
                <w:bCs/>
                <w:szCs w:val="21"/>
              </w:rPr>
            </w:pPr>
          </w:p>
          <w:p>
            <w:pPr>
              <w:overflowPunct w:val="0"/>
              <w:spacing w:line="240" w:lineRule="exact"/>
              <w:rPr>
                <w:rFonts w:hint="eastAsia" w:ascii="方正仿宋_GBK" w:hAnsi="方正仿宋_GBK" w:eastAsia="方正仿宋_GBK" w:cs="方正仿宋_GBK"/>
                <w:b/>
                <w:bCs/>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0" w:type="dxa"/>
            <w:vAlign w:val="center"/>
          </w:tcPr>
          <w:p>
            <w:pPr>
              <w:overflowPunct w:val="0"/>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114" w:type="dxa"/>
            <w:vAlign w:val="center"/>
          </w:tcPr>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医疗机构</w:t>
            </w:r>
          </w:p>
        </w:tc>
        <w:tc>
          <w:tcPr>
            <w:tcW w:w="3795" w:type="dxa"/>
            <w:vAlign w:val="center"/>
          </w:tcPr>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对医疗机构进行监督检查，检查比例不少于35%。</w:t>
            </w:r>
          </w:p>
        </w:tc>
        <w:tc>
          <w:tcPr>
            <w:tcW w:w="6450" w:type="dxa"/>
            <w:vAlign w:val="center"/>
          </w:tcPr>
          <w:p>
            <w:pPr>
              <w:shd w:val="clear" w:color="auto" w:fill="FFFFFF"/>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1.《药品管理法》《麻醉药品和精神药品管理条例》和原国家食品药品监督管理局制定的《医疗机构</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"https://baike.baidu.com/item/%E8%8D%AF%E5%93%81%E7%9B%91%E7%9D%A3%E7%AE%A1%E7%90%86" \t "_blank"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szCs w:val="21"/>
              </w:rPr>
              <w:t>药品监督管理</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t>办法（试行）》（国食药监安﹝2011﹞442号）等法律法规及文件关于药品使用质量管理的相关规定执行情况。</w:t>
            </w:r>
          </w:p>
          <w:p>
            <w:pPr>
              <w:shd w:val="clear" w:color="auto" w:fill="FFFFFF"/>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2.对民营医疗机构、小型医疗机构（诊所、卫生室、门诊部、学校医务室等）重点检查药品采购渠道及储存保管等情况。</w:t>
            </w:r>
          </w:p>
          <w:p>
            <w:pPr>
              <w:shd w:val="clear" w:color="auto" w:fill="FFFFFF"/>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3.重点检查品种包括血液制品、细胞治疗类药品、集采中选药品、特殊管理药品、多组分生化药、儿童用药、无菌制剂等。</w:t>
            </w:r>
          </w:p>
        </w:tc>
        <w:tc>
          <w:tcPr>
            <w:tcW w:w="1729" w:type="dxa"/>
            <w:vMerge w:val="restart"/>
            <w:vAlign w:val="center"/>
          </w:tcPr>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对检查发现的问题，需向卫生健康等部门通报反馈的，</w:t>
            </w:r>
            <w:r>
              <w:rPr>
                <w:rFonts w:hint="eastAsia" w:ascii="方正仿宋_GBK" w:hAnsi="方正仿宋_GBK" w:eastAsia="方正仿宋_GBK" w:cs="方正仿宋_GBK"/>
                <w:color w:val="000000"/>
                <w:lang w:val="en-US" w:eastAsia="zh-CN"/>
              </w:rPr>
              <w:t>报药械科统一</w:t>
            </w:r>
            <w:r>
              <w:rPr>
                <w:rFonts w:hint="eastAsia" w:ascii="方正仿宋_GBK" w:hAnsi="方正仿宋_GBK" w:eastAsia="方正仿宋_GBK" w:cs="方正仿宋_GBK"/>
                <w:color w:val="000000"/>
              </w:rPr>
              <w:t>按规定通报反馈。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0" w:type="dxa"/>
            <w:vAlign w:val="center"/>
          </w:tcPr>
          <w:p>
            <w:pPr>
              <w:overflowPunct w:val="0"/>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114" w:type="dxa"/>
            <w:vAlign w:val="center"/>
          </w:tcPr>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疾病预防控制机构、疫苗接种单位</w:t>
            </w:r>
          </w:p>
        </w:tc>
        <w:tc>
          <w:tcPr>
            <w:tcW w:w="3795" w:type="dxa"/>
            <w:vAlign w:val="center"/>
          </w:tcPr>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1.对辖区内疾病预防控制机构、接种单位检查不少于1次。</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2.对新冠病毒疫苗临时接种点实施全覆盖检查。</w:t>
            </w:r>
          </w:p>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r>
              <w:rPr>
                <w:rFonts w:hint="eastAsia" w:ascii="方正仿宋_GBK" w:hAnsi="方正仿宋_GBK" w:eastAsia="方正仿宋_GBK" w:cs="方正仿宋_GBK"/>
                <w:szCs w:val="21"/>
                <w:lang w:val="en-US" w:eastAsia="zh-CN"/>
              </w:rPr>
              <w:t>配合</w:t>
            </w:r>
            <w:r>
              <w:rPr>
                <w:rFonts w:hint="eastAsia" w:ascii="方正仿宋_GBK" w:hAnsi="方正仿宋_GBK" w:eastAsia="方正仿宋_GBK" w:cs="方正仿宋_GBK"/>
                <w:szCs w:val="21"/>
              </w:rPr>
              <w:t>市局对疾病预防控制机构和接种单位抽查不少于5家。</w:t>
            </w:r>
          </w:p>
        </w:tc>
        <w:tc>
          <w:tcPr>
            <w:tcW w:w="6450" w:type="dxa"/>
            <w:vAlign w:val="center"/>
          </w:tcPr>
          <w:p>
            <w:pPr>
              <w:shd w:val="clear" w:color="auto" w:fill="FFFFFF"/>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1.《药品管理法》《疫苗管理法》《疫苗储存和运输管理规范(2017年版)》《药品经营质量管理规范》《疫苗生产流通管理规定》等法律法规关于疫苗储存、运输、预防接种中的质量管理有关规定执行情况。</w:t>
            </w:r>
          </w:p>
          <w:p>
            <w:pPr>
              <w:shd w:val="clear" w:color="auto" w:fill="FFFFFF"/>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中共中央办公厅国务院办公厅〈关于改革和完善疫苗管理体制的意见〉的通知》（中办发〔2018〕70号）和《省委办公厅省政府办公厅关于改革和完善疫苗管理体制确保疫苗安全和供应保障的通知》（苏办发〔2019〕54号）等有关规定执行情况。</w:t>
            </w:r>
          </w:p>
          <w:p>
            <w:pPr>
              <w:shd w:val="clear" w:color="auto" w:fill="FFFFFF"/>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3.国家药监局药品监管司《关于转发〈疫苗配送单位监督检查推荐工作程序〉等3个指导文件的通知》</w:t>
            </w:r>
          </w:p>
        </w:tc>
        <w:tc>
          <w:tcPr>
            <w:tcW w:w="1729" w:type="dxa"/>
            <w:vMerge w:val="continue"/>
            <w:vAlign w:val="center"/>
          </w:tcPr>
          <w:p>
            <w:pPr>
              <w:overflowPunct w:val="0"/>
              <w:spacing w:line="240" w:lineRule="exac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0" w:type="dxa"/>
            <w:vAlign w:val="center"/>
          </w:tcPr>
          <w:p>
            <w:pPr>
              <w:overflowPunct w:val="0"/>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114" w:type="dxa"/>
            <w:vAlign w:val="center"/>
          </w:tcPr>
          <w:p>
            <w:pPr>
              <w:overflowPunct w:val="0"/>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互联网药品信息服务网站</w:t>
            </w:r>
          </w:p>
        </w:tc>
        <w:tc>
          <w:tcPr>
            <w:tcW w:w="3795" w:type="dxa"/>
            <w:vAlign w:val="center"/>
          </w:tcPr>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对辖区内互联网药品信息服务网站网上巡查每季度不少于1次。发现异常情况进行现场检查。</w:t>
            </w:r>
          </w:p>
        </w:tc>
        <w:tc>
          <w:tcPr>
            <w:tcW w:w="6450" w:type="dxa"/>
            <w:vAlign w:val="center"/>
          </w:tcPr>
          <w:p>
            <w:pPr>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《药品管理法》《药品流通监督管理办法》《互联网药品信息服务管理办法》等有关规定执行情况。</w:t>
            </w:r>
          </w:p>
        </w:tc>
        <w:tc>
          <w:tcPr>
            <w:tcW w:w="1729" w:type="dxa"/>
            <w:vAlign w:val="center"/>
          </w:tcPr>
          <w:p>
            <w:pPr>
              <w:overflowPunct w:val="0"/>
              <w:spacing w:line="240" w:lineRule="exac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0" w:type="dxa"/>
            <w:vAlign w:val="center"/>
          </w:tcPr>
          <w:p>
            <w:pPr>
              <w:overflowPunct w:val="0"/>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114" w:type="dxa"/>
            <w:vAlign w:val="center"/>
          </w:tcPr>
          <w:p>
            <w:pPr>
              <w:overflowPunct w:val="0"/>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药品网络销售报告企业</w:t>
            </w:r>
          </w:p>
        </w:tc>
        <w:tc>
          <w:tcPr>
            <w:tcW w:w="3795" w:type="dxa"/>
            <w:vAlign w:val="center"/>
          </w:tcPr>
          <w:p>
            <w:pPr>
              <w:overflowPunct w:val="0"/>
              <w:spacing w:line="240" w:lineRule="exact"/>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依职责对药品网络销售报告企业现场检查比例不少于35%，网上巡查每半年不少于1次</w:t>
            </w:r>
            <w:r>
              <w:rPr>
                <w:rFonts w:hint="eastAsia" w:ascii="方正仿宋_GBK" w:hAnsi="方正仿宋_GBK" w:eastAsia="方正仿宋_GBK" w:cs="方正仿宋_GBK"/>
                <w:szCs w:val="21"/>
                <w:lang w:eastAsia="zh-CN"/>
              </w:rPr>
              <w:t>。</w:t>
            </w:r>
          </w:p>
        </w:tc>
        <w:tc>
          <w:tcPr>
            <w:tcW w:w="6450" w:type="dxa"/>
            <w:vAlign w:val="center"/>
          </w:tcPr>
          <w:p>
            <w:pPr>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1.《药品管理法》《药品流通监督管理办法》《药品网络销售监督管理办法》等有关规定执行情况。</w:t>
            </w:r>
          </w:p>
          <w:p>
            <w:pPr>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2.《国家药监局综合司关于做好〈药品网络销售监督管理办法〉贯彻落实工作的通知》（药监综药管函〔2022〕667号）。</w:t>
            </w:r>
          </w:p>
        </w:tc>
        <w:tc>
          <w:tcPr>
            <w:tcW w:w="1729" w:type="dxa"/>
            <w:vAlign w:val="center"/>
          </w:tcPr>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按照“线上线下一致”原则进行监督检查。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690" w:type="dxa"/>
            <w:vAlign w:val="center"/>
          </w:tcPr>
          <w:p>
            <w:pPr>
              <w:overflowPunct w:val="0"/>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1114" w:type="dxa"/>
            <w:vAlign w:val="center"/>
          </w:tcPr>
          <w:p>
            <w:pPr>
              <w:overflowPunct w:val="0"/>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国家药品网络销售监测平台推送的</w:t>
            </w:r>
            <w:r>
              <w:rPr>
                <w:rFonts w:hint="eastAsia" w:ascii="方正仿宋_GBK" w:hAnsi="方正仿宋_GBK" w:eastAsia="方正仿宋_GBK" w:cs="方正仿宋_GBK"/>
              </w:rPr>
              <w:t>涉嫌违法违规</w:t>
            </w:r>
            <w:r>
              <w:rPr>
                <w:rFonts w:hint="eastAsia" w:ascii="方正仿宋_GBK" w:hAnsi="方正仿宋_GBK" w:eastAsia="方正仿宋_GBK" w:cs="方正仿宋_GBK"/>
                <w:szCs w:val="21"/>
              </w:rPr>
              <w:t>信息</w:t>
            </w:r>
          </w:p>
        </w:tc>
        <w:tc>
          <w:tcPr>
            <w:tcW w:w="3795" w:type="dxa"/>
            <w:vAlign w:val="center"/>
          </w:tcPr>
          <w:p>
            <w:pPr>
              <w:overflowPunct w:val="0"/>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对国家药品网络销售监测平台推送的可疑信息进行接收、调查、处置，必要时开展现场检查。</w:t>
            </w:r>
          </w:p>
        </w:tc>
        <w:tc>
          <w:tcPr>
            <w:tcW w:w="6450" w:type="dxa"/>
            <w:vAlign w:val="center"/>
          </w:tcPr>
          <w:p>
            <w:pPr>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1.《药品管理法》《药品流通监督管理办法》《药品网络销售监督管理办法》等有关规定执行情况。</w:t>
            </w:r>
          </w:p>
          <w:p>
            <w:pPr>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2.国家药监局综合司《关于启用国家药品网络交易监测系统的通知》（药监综药管函〔2020〕187号）。</w:t>
            </w:r>
          </w:p>
          <w:p>
            <w:pPr>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 江苏省药监局《关于启用国家药品网络交易监测系统的通知》（苏药监办经营〔2020〕55号）。</w:t>
            </w:r>
          </w:p>
          <w:p>
            <w:pPr>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4.《国家药监局综合司关于做好〈药品网络销售监督管理办法〉贯彻落实工作的通知》（药监综药管函〔2022〕667号）。</w:t>
            </w:r>
          </w:p>
        </w:tc>
        <w:tc>
          <w:tcPr>
            <w:tcW w:w="1729" w:type="dxa"/>
            <w:vAlign w:val="center"/>
          </w:tcPr>
          <w:p>
            <w:pPr>
              <w:overflowPunct w:val="0"/>
              <w:spacing w:line="2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eastAsia="zh-CN"/>
              </w:rPr>
              <w:t>在规定时间内</w:t>
            </w:r>
            <w:r>
              <w:rPr>
                <w:rFonts w:hint="eastAsia" w:ascii="方正仿宋_GBK" w:hAnsi="方正仿宋_GBK" w:eastAsia="方正仿宋_GBK" w:cs="方正仿宋_GBK"/>
                <w:szCs w:val="21"/>
                <w:lang w:val="en-US" w:eastAsia="zh-CN"/>
              </w:rPr>
              <w:t>上报核查情况及处理结果</w:t>
            </w:r>
            <w:r>
              <w:rPr>
                <w:rFonts w:hint="eastAsia" w:ascii="方正仿宋_GBK" w:hAnsi="方正仿宋_GBK" w:eastAsia="方正仿宋_GBK" w:cs="方正仿宋_GBK"/>
                <w:szCs w:val="21"/>
                <w:lang w:eastAsia="zh-CN"/>
              </w:rPr>
              <w:t>。</w:t>
            </w:r>
          </w:p>
        </w:tc>
      </w:tr>
    </w:tbl>
    <w:p>
      <w:pPr>
        <w:overflowPunct w:val="0"/>
        <w:adjustRightInd w:val="0"/>
        <w:snapToGrid w:val="0"/>
        <w:spacing w:line="20" w:lineRule="exact"/>
        <w:rPr>
          <w:rFonts w:cs="等线"/>
          <w:b/>
          <w:bCs/>
          <w:sz w:val="32"/>
          <w:szCs w:val="32"/>
        </w:rPr>
      </w:pPr>
    </w:p>
    <w:sectPr>
      <w:headerReference r:id="rId3" w:type="default"/>
      <w:footerReference r:id="rId4" w:type="default"/>
      <w:footerReference r:id="rId5" w:type="even"/>
      <w:pgSz w:w="16838" w:h="11906" w:orient="landscape"/>
      <w:pgMar w:top="1501" w:right="1417" w:bottom="1130" w:left="141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BC88FD-BD7F-4BB0-A1CD-B4B315975A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E5643DC-D537-45FA-926F-465AA511DE65}"/>
  </w:font>
  <w:font w:name="方正仿宋_GBK">
    <w:panose1 w:val="02000000000000000000"/>
    <w:charset w:val="86"/>
    <w:family w:val="script"/>
    <w:pitch w:val="default"/>
    <w:sig w:usb0="A00002BF" w:usb1="38CF7CFA" w:usb2="00082016" w:usb3="00000000" w:csb0="00040001" w:csb1="00000000"/>
    <w:embedRegular r:id="rId3" w:fontKey="{74DE8C51-3B60-46A5-B733-8F71151B1983}"/>
  </w:font>
  <w:font w:name="方正小标宋_GBK">
    <w:panose1 w:val="02000000000000000000"/>
    <w:charset w:val="86"/>
    <w:family w:val="script"/>
    <w:pitch w:val="default"/>
    <w:sig w:usb0="A00002BF" w:usb1="38CF7CFA" w:usb2="00082016" w:usb3="00000000" w:csb0="00040001" w:csb1="00000000"/>
    <w:embedRegular r:id="rId4" w:fontKey="{7361E551-9740-4B0A-A437-43FB82FD3ED0}"/>
  </w:font>
  <w:font w:name="微软雅黑 Light">
    <w:panose1 w:val="020B0502040204020203"/>
    <w:charset w:val="86"/>
    <w:family w:val="auto"/>
    <w:pitch w:val="default"/>
    <w:sig w:usb0="80000287" w:usb1="2ACF001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公文黑体">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20"/>
      <w:jc w:val="right"/>
      <w:rPr>
        <w:rFonts w:ascii="方正仿宋_GBK" w:eastAsia="方正仿宋_GBK"/>
        <w:sz w:val="32"/>
        <w:szCs w:val="32"/>
      </w:rPr>
    </w:pPr>
    <w:r>
      <w:t xml:space="preserve">——  </w:t>
    </w:r>
    <w:r>
      <w:rPr>
        <w:rFonts w:ascii="方正仿宋_GBK" w:eastAsia="方正仿宋_GBK"/>
        <w:sz w:val="32"/>
        <w:szCs w:val="32"/>
      </w:rPr>
      <w:fldChar w:fldCharType="begin"/>
    </w:r>
    <w:r>
      <w:rPr>
        <w:rFonts w:ascii="方正仿宋_GBK" w:eastAsia="方正仿宋_GBK"/>
        <w:sz w:val="32"/>
        <w:szCs w:val="32"/>
      </w:rPr>
      <w:instrText xml:space="preserve">PAGE   \* MERGEFORMAT</w:instrText>
    </w:r>
    <w:r>
      <w:rPr>
        <w:rFonts w:ascii="方正仿宋_GBK" w:eastAsia="方正仿宋_GBK"/>
        <w:sz w:val="32"/>
        <w:szCs w:val="32"/>
      </w:rPr>
      <w:fldChar w:fldCharType="separate"/>
    </w:r>
    <w:r>
      <w:rPr>
        <w:rFonts w:ascii="方正仿宋_GBK" w:eastAsia="方正仿宋_GBK"/>
        <w:sz w:val="32"/>
        <w:szCs w:val="32"/>
        <w:lang w:val="zh-CN"/>
      </w:rPr>
      <w:t>1</w:t>
    </w:r>
    <w:r>
      <w:rPr>
        <w:rFonts w:ascii="方正仿宋_GBK" w:eastAsia="方正仿宋_GBK"/>
        <w:sz w:val="32"/>
        <w:szCs w:val="32"/>
      </w:rPr>
      <w:fldChar w:fldCharType="end"/>
    </w:r>
    <w:r>
      <w:t>——</w:t>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78179"/>
    <w:multiLevelType w:val="singleLevel"/>
    <w:tmpl w:val="9D67817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OTM1MGY2YjUyM2IwYWFhNjBhMWYxMTk5ZTg4OGEifQ=="/>
  </w:docVars>
  <w:rsids>
    <w:rsidRoot w:val="00B9713F"/>
    <w:rsid w:val="00007403"/>
    <w:rsid w:val="00022959"/>
    <w:rsid w:val="0005344F"/>
    <w:rsid w:val="000603E5"/>
    <w:rsid w:val="000772AD"/>
    <w:rsid w:val="000A07D5"/>
    <w:rsid w:val="000A1285"/>
    <w:rsid w:val="000B4B71"/>
    <w:rsid w:val="000B632C"/>
    <w:rsid w:val="000C5119"/>
    <w:rsid w:val="000E2841"/>
    <w:rsid w:val="000E39DA"/>
    <w:rsid w:val="0011424E"/>
    <w:rsid w:val="0011469A"/>
    <w:rsid w:val="00165685"/>
    <w:rsid w:val="00166FB0"/>
    <w:rsid w:val="00172BE7"/>
    <w:rsid w:val="00175D39"/>
    <w:rsid w:val="0017669B"/>
    <w:rsid w:val="00180E35"/>
    <w:rsid w:val="001B3B30"/>
    <w:rsid w:val="001D164C"/>
    <w:rsid w:val="0022748F"/>
    <w:rsid w:val="00235064"/>
    <w:rsid w:val="00247F9C"/>
    <w:rsid w:val="00265D8E"/>
    <w:rsid w:val="0027680E"/>
    <w:rsid w:val="002A0E71"/>
    <w:rsid w:val="002B62BA"/>
    <w:rsid w:val="002C7488"/>
    <w:rsid w:val="002F4FFA"/>
    <w:rsid w:val="00305671"/>
    <w:rsid w:val="003267A1"/>
    <w:rsid w:val="00331080"/>
    <w:rsid w:val="0037210C"/>
    <w:rsid w:val="00392790"/>
    <w:rsid w:val="003A6B66"/>
    <w:rsid w:val="00406420"/>
    <w:rsid w:val="00407B02"/>
    <w:rsid w:val="00444BA7"/>
    <w:rsid w:val="00463264"/>
    <w:rsid w:val="004738CE"/>
    <w:rsid w:val="00497EED"/>
    <w:rsid w:val="00497F05"/>
    <w:rsid w:val="004A10F3"/>
    <w:rsid w:val="004A6AEC"/>
    <w:rsid w:val="004B6905"/>
    <w:rsid w:val="004C19F2"/>
    <w:rsid w:val="004D1894"/>
    <w:rsid w:val="004D7BAE"/>
    <w:rsid w:val="005078C3"/>
    <w:rsid w:val="00525D50"/>
    <w:rsid w:val="00545D0C"/>
    <w:rsid w:val="00573F3D"/>
    <w:rsid w:val="0058280C"/>
    <w:rsid w:val="005937A7"/>
    <w:rsid w:val="005972E8"/>
    <w:rsid w:val="005A71AF"/>
    <w:rsid w:val="005A7CF3"/>
    <w:rsid w:val="0063546E"/>
    <w:rsid w:val="00650B50"/>
    <w:rsid w:val="0069339D"/>
    <w:rsid w:val="006C78CB"/>
    <w:rsid w:val="006D582A"/>
    <w:rsid w:val="0073364F"/>
    <w:rsid w:val="00743A2B"/>
    <w:rsid w:val="007552CB"/>
    <w:rsid w:val="007631BA"/>
    <w:rsid w:val="007E729C"/>
    <w:rsid w:val="007E7C36"/>
    <w:rsid w:val="008054D0"/>
    <w:rsid w:val="00851573"/>
    <w:rsid w:val="00863865"/>
    <w:rsid w:val="0087011E"/>
    <w:rsid w:val="008C05C8"/>
    <w:rsid w:val="008C1F65"/>
    <w:rsid w:val="008C688F"/>
    <w:rsid w:val="009012D1"/>
    <w:rsid w:val="00914FAA"/>
    <w:rsid w:val="0095100E"/>
    <w:rsid w:val="00952E56"/>
    <w:rsid w:val="0095315B"/>
    <w:rsid w:val="00954414"/>
    <w:rsid w:val="00981FFD"/>
    <w:rsid w:val="00985CF2"/>
    <w:rsid w:val="009B4D9B"/>
    <w:rsid w:val="009B5B46"/>
    <w:rsid w:val="009B6195"/>
    <w:rsid w:val="00A01106"/>
    <w:rsid w:val="00A05B13"/>
    <w:rsid w:val="00A10289"/>
    <w:rsid w:val="00A1736E"/>
    <w:rsid w:val="00A2101C"/>
    <w:rsid w:val="00A31C5C"/>
    <w:rsid w:val="00A85556"/>
    <w:rsid w:val="00A87F9A"/>
    <w:rsid w:val="00AA1560"/>
    <w:rsid w:val="00AD0CC8"/>
    <w:rsid w:val="00B17360"/>
    <w:rsid w:val="00B22AF0"/>
    <w:rsid w:val="00B45849"/>
    <w:rsid w:val="00B55B92"/>
    <w:rsid w:val="00B70C24"/>
    <w:rsid w:val="00B843FC"/>
    <w:rsid w:val="00B9713F"/>
    <w:rsid w:val="00B97E43"/>
    <w:rsid w:val="00BF6235"/>
    <w:rsid w:val="00C845D3"/>
    <w:rsid w:val="00CB7BEF"/>
    <w:rsid w:val="00CD5E14"/>
    <w:rsid w:val="00CF7F59"/>
    <w:rsid w:val="00D14E5F"/>
    <w:rsid w:val="00D67AE0"/>
    <w:rsid w:val="00D84BAC"/>
    <w:rsid w:val="00DA1F75"/>
    <w:rsid w:val="00DB10BB"/>
    <w:rsid w:val="00DD0701"/>
    <w:rsid w:val="00E214E5"/>
    <w:rsid w:val="00E247B0"/>
    <w:rsid w:val="00E332C4"/>
    <w:rsid w:val="00E51989"/>
    <w:rsid w:val="00E5308F"/>
    <w:rsid w:val="00E535EF"/>
    <w:rsid w:val="00E61A93"/>
    <w:rsid w:val="00E762B9"/>
    <w:rsid w:val="00EA77D1"/>
    <w:rsid w:val="00F014CC"/>
    <w:rsid w:val="00F3656D"/>
    <w:rsid w:val="00F62F52"/>
    <w:rsid w:val="00F97CFA"/>
    <w:rsid w:val="00FB6E88"/>
    <w:rsid w:val="00FC2532"/>
    <w:rsid w:val="00FD43BF"/>
    <w:rsid w:val="076D18CD"/>
    <w:rsid w:val="0F1A402A"/>
    <w:rsid w:val="159771A5"/>
    <w:rsid w:val="20305E02"/>
    <w:rsid w:val="33D9403C"/>
    <w:rsid w:val="384D04E7"/>
    <w:rsid w:val="3D0754BF"/>
    <w:rsid w:val="3E5B3DE7"/>
    <w:rsid w:val="3E9079E7"/>
    <w:rsid w:val="3EBE3EE3"/>
    <w:rsid w:val="43FE4671"/>
    <w:rsid w:val="446C5795"/>
    <w:rsid w:val="48194573"/>
    <w:rsid w:val="49661DD2"/>
    <w:rsid w:val="5437467A"/>
    <w:rsid w:val="55E069DD"/>
    <w:rsid w:val="579F5233"/>
    <w:rsid w:val="57C92E92"/>
    <w:rsid w:val="59AD4E28"/>
    <w:rsid w:val="59C13066"/>
    <w:rsid w:val="5B3438FA"/>
    <w:rsid w:val="66855F1A"/>
    <w:rsid w:val="69F04075"/>
    <w:rsid w:val="76244DE9"/>
    <w:rsid w:val="7E8920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rFonts w:ascii="Calibri" w:hAnsi="Calibri" w:eastAsia="宋体" w:cs="Calibri"/>
      <w:kern w:val="0"/>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rFonts w:cs="Times New Roman"/>
      <w:color w:val="0563C1"/>
      <w:u w:val="single"/>
    </w:rPr>
  </w:style>
  <w:style w:type="character" w:customStyle="1" w:styleId="9">
    <w:name w:val="页脚 Char"/>
    <w:basedOn w:val="7"/>
    <w:link w:val="4"/>
    <w:qFormat/>
    <w:locked/>
    <w:uiPriority w:val="99"/>
    <w:rPr>
      <w:rFonts w:ascii="Calibri" w:hAnsi="Calibri" w:eastAsia="宋体" w:cs="Calibri"/>
      <w:kern w:val="0"/>
      <w:sz w:val="18"/>
      <w:szCs w:val="18"/>
    </w:rPr>
  </w:style>
  <w:style w:type="character" w:customStyle="1" w:styleId="10">
    <w:name w:val="页眉 Char"/>
    <w:basedOn w:val="7"/>
    <w:link w:val="5"/>
    <w:qFormat/>
    <w:locked/>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日期 Char"/>
    <w:basedOn w:val="7"/>
    <w:link w:val="2"/>
    <w:semiHidden/>
    <w:qFormat/>
    <w:locked/>
    <w:uiPriority w:val="99"/>
    <w:rPr>
      <w:rFonts w:cs="Times New Roman"/>
    </w:rPr>
  </w:style>
  <w:style w:type="character" w:customStyle="1" w:styleId="13">
    <w:name w:val="批注框文本 Char"/>
    <w:basedOn w:val="7"/>
    <w:link w:val="3"/>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2256</Words>
  <Characters>2366</Characters>
  <Lines>19</Lines>
  <Paragraphs>5</Paragraphs>
  <TotalTime>5</TotalTime>
  <ScaleCrop>false</ScaleCrop>
  <LinksUpToDate>false</LinksUpToDate>
  <CharactersWithSpaces>2368</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2023-02-23T17:28:00Z</dcterms:created>
  <dc:creator>1602956657@qq.com</dc:creator>
  <cp:lastModifiedBy>湫千洢梦</cp:lastModifiedBy>
  <cp:lastPrinted>2023-02-16T08:41:00Z</cp:lastPrinted>
  <dcterms:modified xsi:type="dcterms:W3CDTF">2023-04-25T07:16:35Z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AA9A94CD54DC4A41A524D823029FFA1B_13</vt:lpwstr>
  </property>
</Properties>
</file>