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590" w:lineRule="exact"/>
        <w:rPr>
          <w:rFonts w:hint="eastAsia" w:ascii="方正仿宋_GBK" w:eastAsia="方正仿宋_GBK"/>
          <w:sz w:val="32"/>
          <w:szCs w:val="32"/>
          <w:lang w:eastAsia="zh-CN"/>
        </w:rPr>
      </w:pPr>
      <w:r>
        <w:rPr>
          <w:rFonts w:hint="eastAsia" w:ascii="方正仿宋_GBK" w:eastAsia="方正仿宋_GBK"/>
          <w:sz w:val="32"/>
          <w:szCs w:val="32"/>
        </w:rPr>
        <w:t>附件</w:t>
      </w:r>
      <w:r>
        <w:rPr>
          <w:rFonts w:hint="eastAsia" w:ascii="方正仿宋_GBK" w:eastAsia="方正仿宋_GBK"/>
          <w:sz w:val="32"/>
          <w:szCs w:val="32"/>
          <w:lang w:val="en-US" w:eastAsia="zh-CN"/>
        </w:rPr>
        <w:t>1</w:t>
      </w:r>
    </w:p>
    <w:p>
      <w:pPr>
        <w:overflowPunct w:val="0"/>
        <w:spacing w:line="590" w:lineRule="exact"/>
        <w:jc w:val="center"/>
        <w:rPr>
          <w:rFonts w:hint="eastAsia" w:ascii="方正小标宋_GBK" w:eastAsia="方正小标宋_GBK" w:cs="方正小标宋_GBK"/>
          <w:sz w:val="44"/>
          <w:szCs w:val="44"/>
        </w:rPr>
      </w:pPr>
      <w:r>
        <w:rPr>
          <w:rFonts w:ascii="方正小标宋_GBK" w:eastAsia="方正小标宋_GBK" w:cs="方正小标宋_GBK"/>
          <w:sz w:val="44"/>
          <w:szCs w:val="44"/>
        </w:rPr>
        <w:t>2023</w:t>
      </w:r>
      <w:r>
        <w:rPr>
          <w:rFonts w:hint="eastAsia" w:ascii="方正小标宋_GBK" w:eastAsia="方正小标宋_GBK" w:cs="方正小标宋_GBK"/>
          <w:sz w:val="44"/>
          <w:szCs w:val="44"/>
        </w:rPr>
        <w:t>年</w:t>
      </w:r>
      <w:r>
        <w:rPr>
          <w:rFonts w:hint="eastAsia" w:ascii="方正小标宋_GBK" w:eastAsia="方正小标宋_GBK" w:cs="方正小标宋_GBK"/>
          <w:sz w:val="44"/>
          <w:szCs w:val="44"/>
          <w:lang w:val="en-US" w:eastAsia="zh-CN"/>
        </w:rPr>
        <w:t>通州区</w:t>
      </w:r>
      <w:r>
        <w:rPr>
          <w:rFonts w:hint="eastAsia" w:ascii="方正小标宋_GBK" w:eastAsia="方正小标宋_GBK" w:cs="方正小标宋_GBK"/>
          <w:sz w:val="44"/>
          <w:szCs w:val="44"/>
        </w:rPr>
        <w:t>药品零售使用单位监督检查计划</w:t>
      </w:r>
    </w:p>
    <w:p>
      <w:pPr>
        <w:overflowPunct w:val="0"/>
        <w:spacing w:line="590" w:lineRule="exact"/>
        <w:jc w:val="center"/>
        <w:rPr>
          <w:rFonts w:hint="eastAsia" w:ascii="方正小标宋_GBK" w:eastAsia="方正小标宋_GBK" w:cs="方正小标宋_GBK"/>
          <w:sz w:val="44"/>
          <w:szCs w:val="44"/>
        </w:rPr>
      </w:pPr>
    </w:p>
    <w:tbl>
      <w:tblPr>
        <w:tblStyle w:val="6"/>
        <w:tblW w:w="137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0"/>
        <w:gridCol w:w="1114"/>
        <w:gridCol w:w="3795"/>
        <w:gridCol w:w="6450"/>
        <w:gridCol w:w="17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690" w:type="dxa"/>
            <w:vAlign w:val="center"/>
          </w:tcPr>
          <w:p>
            <w:pPr>
              <w:overflowPunct w:val="0"/>
              <w:spacing w:line="240" w:lineRule="exact"/>
              <w:jc w:val="center"/>
              <w:rPr>
                <w:rFonts w:hint="eastAsia" w:ascii="黑体" w:hAnsi="黑体" w:eastAsia="黑体" w:cs="黑体"/>
                <w:b/>
                <w:bCs/>
                <w:szCs w:val="21"/>
              </w:rPr>
            </w:pPr>
            <w:r>
              <w:rPr>
                <w:rFonts w:hint="eastAsia" w:ascii="黑体" w:hAnsi="黑体" w:eastAsia="黑体" w:cs="黑体"/>
                <w:b/>
                <w:bCs/>
                <w:szCs w:val="21"/>
              </w:rPr>
              <w:t>序号</w:t>
            </w:r>
          </w:p>
        </w:tc>
        <w:tc>
          <w:tcPr>
            <w:tcW w:w="1114" w:type="dxa"/>
            <w:vAlign w:val="center"/>
          </w:tcPr>
          <w:p>
            <w:pPr>
              <w:overflowPunct w:val="0"/>
              <w:spacing w:line="240" w:lineRule="exact"/>
              <w:jc w:val="center"/>
              <w:rPr>
                <w:rFonts w:hint="eastAsia" w:ascii="黑体" w:hAnsi="黑体" w:eastAsia="黑体" w:cs="黑体"/>
                <w:b/>
                <w:bCs/>
                <w:szCs w:val="21"/>
              </w:rPr>
            </w:pPr>
            <w:r>
              <w:rPr>
                <w:rFonts w:hint="eastAsia" w:ascii="黑体" w:hAnsi="黑体" w:eastAsia="黑体" w:cs="黑体"/>
                <w:b/>
                <w:bCs/>
                <w:szCs w:val="21"/>
              </w:rPr>
              <w:t>检查对象</w:t>
            </w:r>
          </w:p>
        </w:tc>
        <w:tc>
          <w:tcPr>
            <w:tcW w:w="3795" w:type="dxa"/>
            <w:vAlign w:val="center"/>
          </w:tcPr>
          <w:p>
            <w:pPr>
              <w:overflowPunct w:val="0"/>
              <w:spacing w:line="240" w:lineRule="exact"/>
              <w:jc w:val="center"/>
              <w:rPr>
                <w:rFonts w:hint="eastAsia" w:ascii="黑体" w:hAnsi="黑体" w:eastAsia="黑体" w:cs="黑体"/>
                <w:b/>
                <w:bCs/>
                <w:szCs w:val="21"/>
              </w:rPr>
            </w:pPr>
            <w:r>
              <w:rPr>
                <w:rFonts w:hint="eastAsia" w:ascii="黑体" w:hAnsi="黑体" w:eastAsia="黑体" w:cs="黑体"/>
                <w:b/>
                <w:bCs/>
                <w:szCs w:val="21"/>
              </w:rPr>
              <w:t>检查任务</w:t>
            </w:r>
          </w:p>
        </w:tc>
        <w:tc>
          <w:tcPr>
            <w:tcW w:w="6450" w:type="dxa"/>
            <w:vAlign w:val="center"/>
          </w:tcPr>
          <w:p>
            <w:pPr>
              <w:overflowPunct w:val="0"/>
              <w:spacing w:line="240" w:lineRule="exact"/>
              <w:jc w:val="center"/>
              <w:rPr>
                <w:rFonts w:hint="eastAsia" w:ascii="黑体" w:hAnsi="黑体" w:eastAsia="黑体" w:cs="黑体"/>
                <w:b/>
                <w:bCs/>
                <w:szCs w:val="21"/>
              </w:rPr>
            </w:pPr>
            <w:r>
              <w:rPr>
                <w:rFonts w:hint="eastAsia" w:ascii="黑体" w:hAnsi="黑体" w:eastAsia="黑体" w:cs="黑体"/>
                <w:b/>
                <w:bCs/>
                <w:szCs w:val="21"/>
              </w:rPr>
              <w:t>检查依据及检查重点</w:t>
            </w:r>
          </w:p>
        </w:tc>
        <w:tc>
          <w:tcPr>
            <w:tcW w:w="1729" w:type="dxa"/>
            <w:vAlign w:val="center"/>
          </w:tcPr>
          <w:p>
            <w:pPr>
              <w:overflowPunct w:val="0"/>
              <w:spacing w:line="240" w:lineRule="exact"/>
              <w:jc w:val="center"/>
              <w:rPr>
                <w:rFonts w:hint="default" w:ascii="黑体" w:hAnsi="黑体" w:eastAsia="黑体" w:cs="黑体"/>
                <w:b/>
                <w:bCs/>
                <w:szCs w:val="21"/>
                <w:lang w:val="en-US" w:eastAsia="zh-CN"/>
              </w:rPr>
            </w:pPr>
            <w:r>
              <w:rPr>
                <w:rFonts w:hint="eastAsia" w:ascii="黑体" w:hAnsi="黑体" w:eastAsia="黑体" w:cs="黑体"/>
                <w:b/>
                <w:bCs/>
                <w:szCs w:val="21"/>
                <w:lang w:val="en-US" w:eastAsia="zh-CN"/>
              </w:rPr>
              <w:t>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0" w:type="dxa"/>
            <w:vAlign w:val="center"/>
          </w:tcPr>
          <w:p>
            <w:pPr>
              <w:overflowPunct w:val="0"/>
              <w:spacing w:line="240" w:lineRule="exact"/>
              <w:jc w:val="center"/>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1</w:t>
            </w:r>
          </w:p>
        </w:tc>
        <w:tc>
          <w:tcPr>
            <w:tcW w:w="1114" w:type="dxa"/>
            <w:vAlign w:val="center"/>
          </w:tcPr>
          <w:p>
            <w:pPr>
              <w:overflowPunct w:val="0"/>
              <w:spacing w:line="240" w:lineRule="exact"/>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零售药店（含连锁门店）</w:t>
            </w:r>
          </w:p>
        </w:tc>
        <w:tc>
          <w:tcPr>
            <w:tcW w:w="3795" w:type="dxa"/>
            <w:vAlign w:val="center"/>
          </w:tcPr>
          <w:p>
            <w:pPr>
              <w:numPr>
                <w:ilvl w:val="0"/>
                <w:numId w:val="1"/>
              </w:numPr>
              <w:overflowPunct w:val="0"/>
              <w:spacing w:line="240" w:lineRule="exact"/>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对零售药店开展“双随机、一公开”监督检查，比例不低于药店总数的10%；与医保部门联合检查定点零售药店，比例为5%。</w:t>
            </w:r>
          </w:p>
          <w:p>
            <w:pPr>
              <w:overflowPunct w:val="0"/>
              <w:spacing w:line="240" w:lineRule="exact"/>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2.根据三年全覆盖原则，对零售药店监督检查总比例不低于35%。</w:t>
            </w:r>
          </w:p>
          <w:p>
            <w:pPr>
              <w:overflowPunct w:val="0"/>
              <w:spacing w:line="240" w:lineRule="exact"/>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3.对有第二类精神药品、血液制品经营范围的零售药店检查不少于1次。</w:t>
            </w:r>
          </w:p>
          <w:p>
            <w:pPr>
              <w:overflowPunct w:val="0"/>
              <w:spacing w:line="240" w:lineRule="exact"/>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4.对2022年因违法违规被药品监督管理部门给予行政处罚的零售药店检查不少于1次。</w:t>
            </w:r>
          </w:p>
          <w:p>
            <w:pPr>
              <w:overflowPunct w:val="0"/>
              <w:spacing w:line="240" w:lineRule="exact"/>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5.对2022年经营场所及质量管理体系发生重大变化的、检查发现有GSP严重缺陷的、排查发现存在严重质量安全风险的零售药店检查不少于1次。</w:t>
            </w:r>
          </w:p>
          <w:p>
            <w:pPr>
              <w:overflowPunct w:val="0"/>
              <w:spacing w:line="240" w:lineRule="exact"/>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6.对2022年新开办的零售药店检查不少于1次。</w:t>
            </w:r>
          </w:p>
          <w:p>
            <w:pPr>
              <w:overflowPunct w:val="0"/>
              <w:spacing w:line="240" w:lineRule="exact"/>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7.</w:t>
            </w:r>
            <w:r>
              <w:rPr>
                <w:rFonts w:hint="eastAsia" w:ascii="方正仿宋_GBK" w:hAnsi="方正仿宋_GBK" w:eastAsia="方正仿宋_GBK" w:cs="方正仿宋_GBK"/>
                <w:szCs w:val="21"/>
                <w:lang w:val="en-US" w:eastAsia="zh-CN"/>
              </w:rPr>
              <w:t>配合</w:t>
            </w:r>
            <w:r>
              <w:rPr>
                <w:rFonts w:hint="eastAsia" w:ascii="方正仿宋_GBK" w:hAnsi="方正仿宋_GBK" w:eastAsia="方正仿宋_GBK" w:cs="方正仿宋_GBK"/>
                <w:szCs w:val="21"/>
              </w:rPr>
              <w:t>市局对零售药店抽查不少于5家，其中单体药店不少于60%。</w:t>
            </w:r>
          </w:p>
          <w:p>
            <w:pPr>
              <w:overflowPunct w:val="0"/>
              <w:spacing w:line="240" w:lineRule="exact"/>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8.对农村地区、城乡接合部等重点区域监督检查。</w:t>
            </w:r>
          </w:p>
          <w:p>
            <w:pPr>
              <w:overflowPunct w:val="0"/>
              <w:spacing w:line="240" w:lineRule="exact"/>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9.对出租出借证照、挂靠走票、非法渠道购进药品、不凭处方销售处方药等重点问题检查。</w:t>
            </w:r>
          </w:p>
          <w:p>
            <w:pPr>
              <w:overflowPunct w:val="0"/>
              <w:spacing w:line="240" w:lineRule="exact"/>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10.国家局和省局下达的其他检查任务。</w:t>
            </w:r>
          </w:p>
        </w:tc>
        <w:tc>
          <w:tcPr>
            <w:tcW w:w="6450" w:type="dxa"/>
            <w:vAlign w:val="center"/>
          </w:tcPr>
          <w:p>
            <w:pPr>
              <w:overflowPunct w:val="0"/>
              <w:spacing w:line="240" w:lineRule="exact"/>
              <w:rPr>
                <w:rFonts w:hint="eastAsia" w:ascii="方正仿宋_GBK" w:hAnsi="方正仿宋_GBK" w:eastAsia="方正仿宋_GBK" w:cs="方正仿宋_GBK"/>
                <w:szCs w:val="21"/>
              </w:rPr>
            </w:pPr>
          </w:p>
          <w:p>
            <w:pPr>
              <w:overflowPunct w:val="0"/>
              <w:spacing w:line="240" w:lineRule="exact"/>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1.《药品管理法》《麻醉药品和精神药品管理条例》《药品流通监督管理办法》《药品经营质量管理规范》等法律法规规定执行情况。</w:t>
            </w:r>
          </w:p>
          <w:p>
            <w:pPr>
              <w:spacing w:line="240" w:lineRule="exact"/>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2.《国家药监局2023年工作要点的通知》（国药监综[2023]11号）明确的工作重点。</w:t>
            </w:r>
          </w:p>
          <w:p>
            <w:pPr>
              <w:spacing w:line="240" w:lineRule="exact"/>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3. 江苏省药品监管局《关于深入落实涉疫药品和医疗用品稳价保质专项行动实施方案的通知》（苏药监药生〔2023〕4号）。</w:t>
            </w:r>
          </w:p>
          <w:p>
            <w:pPr>
              <w:overflowPunct w:val="0"/>
              <w:spacing w:line="240" w:lineRule="exact"/>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4.原国家食品药品监管总局办公厅《关于开展城乡接合部和农村地区药店诊所药品质量安全集中整治的通知》（食药监办药化监〔2017〕90号）明确的10项整治重点：（1）违法回收或参与回收药品，销售回收药品；从非法渠道购进药品并销售；非法购进医疗机构制剂并销售。（2）购进、销售假劣药品。（3）以中药材及初加工产品冒充中药饮片销售，非法加工中药饮片。（4）出租、出借柜台等为他人非法经营提供便利行为。（5）销售麻醉药品、第一类精神药品、疫苗等国家禁止零售的品种；非定点药店销售第二类精神药品；违规销售含特殊药品复方制剂，导致流入非法渠道；销售米非司酮（含紧急避孕类米非司酮制剂）等具有终止妊娠作用的药品。（6）超范围经营药品。（7）购进药品未索取发票（含应税劳务清单）及随货同行单，或虽索取发票等票据，但相关信息（单位、品名、规格、批号、金额、付款流向等）与实际不符。（8）未严格按照药品的贮藏要求储存、陈列药品。（9）违反处方药与非处方药分类管理规定销售药品。（10）执业药师“挂证”、不在岗履职。</w:t>
            </w:r>
          </w:p>
          <w:p>
            <w:pPr>
              <w:overflowPunct w:val="0"/>
              <w:spacing w:line="240" w:lineRule="exact"/>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5.重点检查第二类精神药品、含特殊药品复方制剂、生物制品、中药饮片、需冷藏冷冻保管药品、细胞治疗类药品、新冠对症治疗药物、网售药品、零售环节常见“回收药品”，严格按照处方药与非处方药分类管理规定销售药品。</w:t>
            </w:r>
          </w:p>
          <w:p>
            <w:pPr>
              <w:overflowPunct w:val="0"/>
              <w:spacing w:line="240" w:lineRule="exact"/>
              <w:rPr>
                <w:rFonts w:hint="eastAsia" w:ascii="方正仿宋_GBK" w:hAnsi="方正仿宋_GBK" w:eastAsia="方正仿宋_GBK" w:cs="方正仿宋_GBK"/>
                <w:szCs w:val="21"/>
              </w:rPr>
            </w:pPr>
          </w:p>
        </w:tc>
        <w:tc>
          <w:tcPr>
            <w:tcW w:w="1729" w:type="dxa"/>
            <w:vAlign w:val="center"/>
          </w:tcPr>
          <w:p>
            <w:pPr>
              <w:overflowPunct w:val="0"/>
              <w:spacing w:line="240" w:lineRule="exact"/>
              <w:rPr>
                <w:rFonts w:hint="eastAsia" w:ascii="方正仿宋_GBK" w:hAnsi="方正仿宋_GBK" w:eastAsia="方正仿宋_GBK" w:cs="方正仿宋_GBK"/>
                <w:szCs w:val="21"/>
                <w:lang w:val="en-US" w:eastAsia="zh-CN"/>
              </w:rPr>
            </w:pPr>
            <w:r>
              <w:rPr>
                <w:rFonts w:hint="eastAsia" w:ascii="方正仿宋_GBK" w:hAnsi="方正仿宋_GBK" w:eastAsia="方正仿宋_GBK" w:cs="方正仿宋_GBK"/>
                <w:szCs w:val="21"/>
              </w:rPr>
              <w:t>在对零售连锁门店检查中发现涉及严重缺陷、重大质量问题的，</w:t>
            </w:r>
            <w:r>
              <w:rPr>
                <w:rFonts w:hint="eastAsia" w:ascii="方正仿宋_GBK" w:hAnsi="方正仿宋_GBK" w:eastAsia="方正仿宋_GBK" w:cs="方正仿宋_GBK"/>
                <w:szCs w:val="21"/>
                <w:lang w:val="en-US" w:eastAsia="zh-CN"/>
              </w:rPr>
              <w:t>及时</w:t>
            </w:r>
            <w:r>
              <w:rPr>
                <w:rFonts w:hint="eastAsia" w:ascii="方正仿宋_GBK" w:hAnsi="方正仿宋_GBK" w:eastAsia="方正仿宋_GBK" w:cs="方正仿宋_GBK"/>
                <w:szCs w:val="21"/>
              </w:rPr>
              <w:t>报药械</w:t>
            </w:r>
            <w:r>
              <w:rPr>
                <w:rFonts w:hint="eastAsia" w:ascii="方正仿宋_GBK" w:hAnsi="方正仿宋_GBK" w:eastAsia="方正仿宋_GBK" w:cs="方正仿宋_GBK"/>
                <w:szCs w:val="21"/>
                <w:lang w:val="en-US" w:eastAsia="zh-CN"/>
              </w:rPr>
              <w:t>科。药械科</w:t>
            </w:r>
            <w:r>
              <w:rPr>
                <w:rFonts w:hint="eastAsia" w:ascii="方正仿宋_GBK" w:hAnsi="方正仿宋_GBK" w:eastAsia="方正仿宋_GBK" w:cs="方正仿宋_GBK"/>
                <w:szCs w:val="21"/>
              </w:rPr>
              <w:t>将相关情况</w:t>
            </w:r>
            <w:r>
              <w:rPr>
                <w:rFonts w:hint="eastAsia" w:ascii="方正仿宋_GBK" w:hAnsi="方正仿宋_GBK" w:eastAsia="方正仿宋_GBK" w:cs="方正仿宋_GBK"/>
                <w:szCs w:val="21"/>
                <w:lang w:val="en-US" w:eastAsia="zh-CN"/>
              </w:rPr>
              <w:t>报市局。</w:t>
            </w:r>
          </w:p>
          <w:p>
            <w:pPr>
              <w:overflowPunct w:val="0"/>
              <w:spacing w:line="240" w:lineRule="exact"/>
              <w:rPr>
                <w:rFonts w:hint="eastAsia" w:ascii="方正仿宋_GBK" w:hAnsi="方正仿宋_GBK" w:eastAsia="方正仿宋_GBK" w:cs="方正仿宋_GBK"/>
                <w:b/>
                <w:bCs/>
                <w:szCs w:val="21"/>
              </w:rPr>
            </w:pPr>
          </w:p>
          <w:p>
            <w:pPr>
              <w:overflowPunct w:val="0"/>
              <w:spacing w:line="240" w:lineRule="exact"/>
              <w:rPr>
                <w:rFonts w:hint="eastAsia" w:ascii="方正仿宋_GBK" w:hAnsi="方正仿宋_GBK" w:eastAsia="方正仿宋_GBK" w:cs="方正仿宋_GBK"/>
                <w:b/>
                <w:bCs/>
                <w:szCs w:val="21"/>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jc w:val="center"/>
        </w:trPr>
        <w:tc>
          <w:tcPr>
            <w:tcW w:w="690" w:type="dxa"/>
            <w:vAlign w:val="center"/>
          </w:tcPr>
          <w:p>
            <w:pPr>
              <w:overflowPunct w:val="0"/>
              <w:spacing w:line="240" w:lineRule="exact"/>
              <w:jc w:val="center"/>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2</w:t>
            </w:r>
          </w:p>
        </w:tc>
        <w:tc>
          <w:tcPr>
            <w:tcW w:w="1114" w:type="dxa"/>
            <w:vAlign w:val="center"/>
          </w:tcPr>
          <w:p>
            <w:pPr>
              <w:overflowPunct w:val="0"/>
              <w:spacing w:line="240" w:lineRule="exact"/>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医疗机构</w:t>
            </w:r>
          </w:p>
        </w:tc>
        <w:tc>
          <w:tcPr>
            <w:tcW w:w="3795" w:type="dxa"/>
            <w:vAlign w:val="center"/>
          </w:tcPr>
          <w:p>
            <w:pPr>
              <w:overflowPunct w:val="0"/>
              <w:spacing w:line="240" w:lineRule="exact"/>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对医疗机构进行监督检查，检查比例不少于35%。</w:t>
            </w:r>
          </w:p>
        </w:tc>
        <w:tc>
          <w:tcPr>
            <w:tcW w:w="6450" w:type="dxa"/>
            <w:vAlign w:val="center"/>
          </w:tcPr>
          <w:p>
            <w:pPr>
              <w:shd w:val="clear" w:color="auto" w:fill="FFFFFF"/>
              <w:spacing w:line="240" w:lineRule="exact"/>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1.《药品管理法》《麻醉药品和精神药品管理条例》和原国家食品药品监督管理局制定的《医疗机构</w:t>
            </w:r>
            <w:r>
              <w:rPr>
                <w:rFonts w:hint="eastAsia" w:ascii="方正仿宋_GBK" w:hAnsi="方正仿宋_GBK" w:eastAsia="方正仿宋_GBK" w:cs="方正仿宋_GBK"/>
              </w:rPr>
              <w:fldChar w:fldCharType="begin"/>
            </w:r>
            <w:r>
              <w:rPr>
                <w:rFonts w:hint="eastAsia" w:ascii="方正仿宋_GBK" w:hAnsi="方正仿宋_GBK" w:eastAsia="方正仿宋_GBK" w:cs="方正仿宋_GBK"/>
              </w:rPr>
              <w:instrText xml:space="preserve"> HYPERLINK "https://baike.baidu.com/item/%E8%8D%AF%E5%93%81%E7%9B%91%E7%9D%A3%E7%AE%A1%E7%90%86" \t "_blank" </w:instrText>
            </w:r>
            <w:r>
              <w:rPr>
                <w:rFonts w:hint="eastAsia" w:ascii="方正仿宋_GBK" w:hAnsi="方正仿宋_GBK" w:eastAsia="方正仿宋_GBK" w:cs="方正仿宋_GBK"/>
              </w:rPr>
              <w:fldChar w:fldCharType="separate"/>
            </w:r>
            <w:r>
              <w:rPr>
                <w:rFonts w:hint="eastAsia" w:ascii="方正仿宋_GBK" w:hAnsi="方正仿宋_GBK" w:eastAsia="方正仿宋_GBK" w:cs="方正仿宋_GBK"/>
                <w:szCs w:val="21"/>
              </w:rPr>
              <w:t>药品监督管理</w:t>
            </w:r>
            <w:r>
              <w:rPr>
                <w:rFonts w:hint="eastAsia" w:ascii="方正仿宋_GBK" w:hAnsi="方正仿宋_GBK" w:eastAsia="方正仿宋_GBK" w:cs="方正仿宋_GBK"/>
                <w:szCs w:val="21"/>
              </w:rPr>
              <w:fldChar w:fldCharType="end"/>
            </w:r>
            <w:r>
              <w:rPr>
                <w:rFonts w:hint="eastAsia" w:ascii="方正仿宋_GBK" w:hAnsi="方正仿宋_GBK" w:eastAsia="方正仿宋_GBK" w:cs="方正仿宋_GBK"/>
                <w:szCs w:val="21"/>
              </w:rPr>
              <w:t>办法（试行）》（国食药监安﹝2011﹞442号）等法律法规及文件关于药品使用质量管理的相关规定执行情况。</w:t>
            </w:r>
          </w:p>
          <w:p>
            <w:pPr>
              <w:shd w:val="clear" w:color="auto" w:fill="FFFFFF"/>
              <w:spacing w:line="240" w:lineRule="exact"/>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2.对民营医疗机构、小型医疗机构（诊所、卫生室、门诊部、学校医务室等）重点检查药品采购渠道及储存保管等情况。</w:t>
            </w:r>
          </w:p>
          <w:p>
            <w:pPr>
              <w:shd w:val="clear" w:color="auto" w:fill="FFFFFF"/>
              <w:spacing w:line="240" w:lineRule="exact"/>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3.重点检查品种包括血液制品、细胞治疗类药品、集采中选药品、特殊管理药品、多组分生化药、儿童用药、无菌制剂等。</w:t>
            </w:r>
          </w:p>
        </w:tc>
        <w:tc>
          <w:tcPr>
            <w:tcW w:w="1729" w:type="dxa"/>
            <w:vMerge w:val="restart"/>
            <w:vAlign w:val="center"/>
          </w:tcPr>
          <w:p>
            <w:pPr>
              <w:overflowPunct w:val="0"/>
              <w:spacing w:line="240" w:lineRule="exact"/>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对检查发现的问题，需向卫生健康等部门通报反馈的，</w:t>
            </w:r>
            <w:r>
              <w:rPr>
                <w:rFonts w:hint="eastAsia" w:ascii="方正仿宋_GBK" w:hAnsi="方正仿宋_GBK" w:eastAsia="方正仿宋_GBK" w:cs="方正仿宋_GBK"/>
                <w:color w:val="000000"/>
                <w:lang w:val="en-US" w:eastAsia="zh-CN"/>
              </w:rPr>
              <w:t>报药械科统一</w:t>
            </w:r>
            <w:r>
              <w:rPr>
                <w:rFonts w:hint="eastAsia" w:ascii="方正仿宋_GBK" w:hAnsi="方正仿宋_GBK" w:eastAsia="方正仿宋_GBK" w:cs="方正仿宋_GBK"/>
                <w:color w:val="000000"/>
              </w:rPr>
              <w:t>按规定通报反馈。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jc w:val="center"/>
        </w:trPr>
        <w:tc>
          <w:tcPr>
            <w:tcW w:w="690" w:type="dxa"/>
            <w:vAlign w:val="center"/>
          </w:tcPr>
          <w:p>
            <w:pPr>
              <w:overflowPunct w:val="0"/>
              <w:spacing w:line="240" w:lineRule="exact"/>
              <w:jc w:val="center"/>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3</w:t>
            </w:r>
          </w:p>
        </w:tc>
        <w:tc>
          <w:tcPr>
            <w:tcW w:w="1114" w:type="dxa"/>
            <w:vAlign w:val="center"/>
          </w:tcPr>
          <w:p>
            <w:pPr>
              <w:overflowPunct w:val="0"/>
              <w:spacing w:line="240" w:lineRule="exact"/>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疾病预防控制机构、疫苗接种单位</w:t>
            </w:r>
          </w:p>
        </w:tc>
        <w:tc>
          <w:tcPr>
            <w:tcW w:w="3795" w:type="dxa"/>
            <w:vAlign w:val="center"/>
          </w:tcPr>
          <w:p>
            <w:pPr>
              <w:overflowPunct w:val="0"/>
              <w:spacing w:line="240" w:lineRule="exact"/>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1.对辖区内疾病预防控制机构、接种单位检查不少于1次。</w:t>
            </w:r>
          </w:p>
          <w:p>
            <w:pPr>
              <w:overflowPunct w:val="0"/>
              <w:spacing w:line="240" w:lineRule="exact"/>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2.对新冠病毒疫苗临时接种点实施全覆盖检查。</w:t>
            </w:r>
          </w:p>
          <w:p>
            <w:pPr>
              <w:overflowPunct w:val="0"/>
              <w:spacing w:line="240" w:lineRule="exact"/>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3.</w:t>
            </w:r>
            <w:r>
              <w:rPr>
                <w:rFonts w:hint="eastAsia" w:ascii="方正仿宋_GBK" w:hAnsi="方正仿宋_GBK" w:eastAsia="方正仿宋_GBK" w:cs="方正仿宋_GBK"/>
                <w:szCs w:val="21"/>
                <w:lang w:val="en-US" w:eastAsia="zh-CN"/>
              </w:rPr>
              <w:t>配合</w:t>
            </w:r>
            <w:r>
              <w:rPr>
                <w:rFonts w:hint="eastAsia" w:ascii="方正仿宋_GBK" w:hAnsi="方正仿宋_GBK" w:eastAsia="方正仿宋_GBK" w:cs="方正仿宋_GBK"/>
                <w:szCs w:val="21"/>
              </w:rPr>
              <w:t>市局对疾病预防控制机构和接种单位抽查不少于5家。</w:t>
            </w:r>
          </w:p>
        </w:tc>
        <w:tc>
          <w:tcPr>
            <w:tcW w:w="6450" w:type="dxa"/>
            <w:vAlign w:val="center"/>
          </w:tcPr>
          <w:p>
            <w:pPr>
              <w:shd w:val="clear" w:color="auto" w:fill="FFFFFF"/>
              <w:spacing w:line="240" w:lineRule="exact"/>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1.《药品管理法》《疫苗管理法》《疫苗储存和运输管理规范(2017年版)》《药品经营质量管理规范》《疫苗生产流通管理规定》等法律法规关于疫苗储存、运输、预防接种中的质量管理有关规定执行情况。</w:t>
            </w:r>
          </w:p>
          <w:p>
            <w:pPr>
              <w:shd w:val="clear" w:color="auto" w:fill="FFFFFF"/>
              <w:spacing w:line="240" w:lineRule="exact"/>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2.《中共中央办公厅国务院办公厅〈关于改革和完善疫苗管理体制的意见〉的通知》（中办发〔2018〕70号）和《省委办公厅省政府办公厅关于改革和完善疫苗管理体制确保疫苗安全和供应保障的通知》（苏办发〔2019〕54号）等有关规定执行情况。</w:t>
            </w:r>
          </w:p>
          <w:p>
            <w:pPr>
              <w:shd w:val="clear" w:color="auto" w:fill="FFFFFF"/>
              <w:spacing w:line="240" w:lineRule="exact"/>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3.国家药监局药品监管司《关于转发〈疫苗配送单位监督检查推荐工作程序〉等3个指导文件的通知》</w:t>
            </w:r>
          </w:p>
        </w:tc>
        <w:tc>
          <w:tcPr>
            <w:tcW w:w="1729" w:type="dxa"/>
            <w:vMerge w:val="continue"/>
            <w:vAlign w:val="center"/>
          </w:tcPr>
          <w:p>
            <w:pPr>
              <w:overflowPunct w:val="0"/>
              <w:spacing w:line="240" w:lineRule="exact"/>
              <w:rPr>
                <w:rFonts w:hint="eastAsia" w:ascii="方正仿宋_GBK" w:hAnsi="方正仿宋_GBK" w:eastAsia="方正仿宋_GBK" w:cs="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jc w:val="center"/>
        </w:trPr>
        <w:tc>
          <w:tcPr>
            <w:tcW w:w="690" w:type="dxa"/>
            <w:vAlign w:val="center"/>
          </w:tcPr>
          <w:p>
            <w:pPr>
              <w:overflowPunct w:val="0"/>
              <w:spacing w:line="240" w:lineRule="exact"/>
              <w:jc w:val="center"/>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4</w:t>
            </w:r>
          </w:p>
        </w:tc>
        <w:tc>
          <w:tcPr>
            <w:tcW w:w="1114" w:type="dxa"/>
            <w:vAlign w:val="center"/>
          </w:tcPr>
          <w:p>
            <w:pPr>
              <w:overflowPunct w:val="0"/>
              <w:spacing w:line="240" w:lineRule="exact"/>
              <w:jc w:val="center"/>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互联网药品信息服务网站</w:t>
            </w:r>
          </w:p>
        </w:tc>
        <w:tc>
          <w:tcPr>
            <w:tcW w:w="3795" w:type="dxa"/>
            <w:vAlign w:val="center"/>
          </w:tcPr>
          <w:p>
            <w:pPr>
              <w:overflowPunct w:val="0"/>
              <w:spacing w:line="240" w:lineRule="exact"/>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对辖区内互联网药品信息服务网站网上巡查每季度不少于1次。发现异常情况进行现场检查。</w:t>
            </w:r>
          </w:p>
        </w:tc>
        <w:tc>
          <w:tcPr>
            <w:tcW w:w="6450" w:type="dxa"/>
            <w:vAlign w:val="center"/>
          </w:tcPr>
          <w:p>
            <w:pPr>
              <w:spacing w:line="240" w:lineRule="exact"/>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《药品管理法》《药品流通监督管理办法》《互联网药品信息服务管理办法》等有关规定执行情况。</w:t>
            </w:r>
          </w:p>
        </w:tc>
        <w:tc>
          <w:tcPr>
            <w:tcW w:w="1729" w:type="dxa"/>
            <w:vAlign w:val="center"/>
          </w:tcPr>
          <w:p>
            <w:pPr>
              <w:overflowPunct w:val="0"/>
              <w:spacing w:line="240" w:lineRule="exact"/>
              <w:rPr>
                <w:rFonts w:hint="eastAsia" w:ascii="方正仿宋_GBK" w:hAnsi="方正仿宋_GBK" w:eastAsia="方正仿宋_GBK" w:cs="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jc w:val="center"/>
        </w:trPr>
        <w:tc>
          <w:tcPr>
            <w:tcW w:w="690" w:type="dxa"/>
            <w:vAlign w:val="center"/>
          </w:tcPr>
          <w:p>
            <w:pPr>
              <w:overflowPunct w:val="0"/>
              <w:spacing w:line="240" w:lineRule="exact"/>
              <w:jc w:val="center"/>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5</w:t>
            </w:r>
          </w:p>
        </w:tc>
        <w:tc>
          <w:tcPr>
            <w:tcW w:w="1114" w:type="dxa"/>
            <w:vAlign w:val="center"/>
          </w:tcPr>
          <w:p>
            <w:pPr>
              <w:overflowPunct w:val="0"/>
              <w:spacing w:line="240" w:lineRule="exact"/>
              <w:jc w:val="center"/>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药品网络销售报告企业</w:t>
            </w:r>
          </w:p>
        </w:tc>
        <w:tc>
          <w:tcPr>
            <w:tcW w:w="3795" w:type="dxa"/>
            <w:vAlign w:val="center"/>
          </w:tcPr>
          <w:p>
            <w:pPr>
              <w:overflowPunct w:val="0"/>
              <w:spacing w:line="240" w:lineRule="exact"/>
              <w:rPr>
                <w:rFonts w:hint="eastAsia" w:ascii="方正仿宋_GBK" w:hAnsi="方正仿宋_GBK" w:eastAsia="方正仿宋_GBK" w:cs="方正仿宋_GBK"/>
                <w:szCs w:val="21"/>
                <w:lang w:eastAsia="zh-CN"/>
              </w:rPr>
            </w:pPr>
            <w:r>
              <w:rPr>
                <w:rFonts w:hint="eastAsia" w:ascii="方正仿宋_GBK" w:hAnsi="方正仿宋_GBK" w:eastAsia="方正仿宋_GBK" w:cs="方正仿宋_GBK"/>
                <w:szCs w:val="21"/>
              </w:rPr>
              <w:t>依职责对药品网络销售报告企业现场检查比例不少于35%，网上巡查每半年不少于1次</w:t>
            </w:r>
            <w:r>
              <w:rPr>
                <w:rFonts w:hint="eastAsia" w:ascii="方正仿宋_GBK" w:hAnsi="方正仿宋_GBK" w:eastAsia="方正仿宋_GBK" w:cs="方正仿宋_GBK"/>
                <w:szCs w:val="21"/>
                <w:lang w:eastAsia="zh-CN"/>
              </w:rPr>
              <w:t>。</w:t>
            </w:r>
          </w:p>
        </w:tc>
        <w:tc>
          <w:tcPr>
            <w:tcW w:w="6450" w:type="dxa"/>
            <w:vAlign w:val="center"/>
          </w:tcPr>
          <w:p>
            <w:pPr>
              <w:spacing w:line="240" w:lineRule="exact"/>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1.《药品管理法》《药品流通监督管理办法》《药品网络销售监督管理办法》等有关规定执行情况。</w:t>
            </w:r>
          </w:p>
          <w:p>
            <w:pPr>
              <w:spacing w:line="240" w:lineRule="exact"/>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2.《国家药监局综合司关于做好〈药品网络销售监督管理办法〉贯彻落实工作的通知》（药监综药管函〔2022〕667号）。</w:t>
            </w:r>
          </w:p>
        </w:tc>
        <w:tc>
          <w:tcPr>
            <w:tcW w:w="1729" w:type="dxa"/>
            <w:vAlign w:val="center"/>
          </w:tcPr>
          <w:p>
            <w:pPr>
              <w:overflowPunct w:val="0"/>
              <w:spacing w:line="240" w:lineRule="exact"/>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按照“线上线下一致”原则进行监督检查。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5" w:hRule="atLeast"/>
          <w:jc w:val="center"/>
        </w:trPr>
        <w:tc>
          <w:tcPr>
            <w:tcW w:w="690" w:type="dxa"/>
            <w:vAlign w:val="center"/>
          </w:tcPr>
          <w:p>
            <w:pPr>
              <w:overflowPunct w:val="0"/>
              <w:spacing w:line="240" w:lineRule="exact"/>
              <w:jc w:val="center"/>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6</w:t>
            </w:r>
          </w:p>
        </w:tc>
        <w:tc>
          <w:tcPr>
            <w:tcW w:w="1114" w:type="dxa"/>
            <w:vAlign w:val="center"/>
          </w:tcPr>
          <w:p>
            <w:pPr>
              <w:overflowPunct w:val="0"/>
              <w:spacing w:line="300" w:lineRule="exact"/>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国家药品网络销售监测平台推送的</w:t>
            </w:r>
            <w:r>
              <w:rPr>
                <w:rFonts w:hint="eastAsia" w:ascii="方正仿宋_GBK" w:hAnsi="方正仿宋_GBK" w:eastAsia="方正仿宋_GBK" w:cs="方正仿宋_GBK"/>
              </w:rPr>
              <w:t>涉嫌违法违规</w:t>
            </w:r>
            <w:r>
              <w:rPr>
                <w:rFonts w:hint="eastAsia" w:ascii="方正仿宋_GBK" w:hAnsi="方正仿宋_GBK" w:eastAsia="方正仿宋_GBK" w:cs="方正仿宋_GBK"/>
                <w:szCs w:val="21"/>
              </w:rPr>
              <w:t>信息</w:t>
            </w:r>
          </w:p>
        </w:tc>
        <w:tc>
          <w:tcPr>
            <w:tcW w:w="3795" w:type="dxa"/>
            <w:vAlign w:val="center"/>
          </w:tcPr>
          <w:p>
            <w:pPr>
              <w:overflowPunct w:val="0"/>
              <w:spacing w:line="300" w:lineRule="exact"/>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对国家药品网络销售监测平台推送的可疑信息进行接收、调查、处置，必要时开展现场检查。</w:t>
            </w:r>
          </w:p>
        </w:tc>
        <w:tc>
          <w:tcPr>
            <w:tcW w:w="6450" w:type="dxa"/>
            <w:vAlign w:val="center"/>
          </w:tcPr>
          <w:p>
            <w:pPr>
              <w:spacing w:line="240" w:lineRule="exact"/>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1.《药品管理法》《药品流通监督管理办法》《药品网络销售监督管理办法》等有关规定执行情况。</w:t>
            </w:r>
          </w:p>
          <w:p>
            <w:pPr>
              <w:spacing w:line="240" w:lineRule="exact"/>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2.国家药监局综合司《关于启用国家药品网络交易监测系统的通知》（药监综药管函〔2020〕187号）。</w:t>
            </w:r>
          </w:p>
          <w:p>
            <w:pPr>
              <w:spacing w:line="240" w:lineRule="exact"/>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3. 江苏省药监局《关于启用国家药品网络交易监测系统的通知》（苏药监办经营〔2020〕55号）。</w:t>
            </w:r>
          </w:p>
          <w:p>
            <w:pPr>
              <w:spacing w:line="240" w:lineRule="exact"/>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4.《国家药监局综合司关于做好〈药品网络销售监督管理办法〉贯彻落实工作的通知》（药监综药管函〔2022〕667号）。</w:t>
            </w:r>
          </w:p>
        </w:tc>
        <w:tc>
          <w:tcPr>
            <w:tcW w:w="1729" w:type="dxa"/>
            <w:vAlign w:val="center"/>
          </w:tcPr>
          <w:p>
            <w:pPr>
              <w:overflowPunct w:val="0"/>
              <w:spacing w:line="240" w:lineRule="exact"/>
              <w:rPr>
                <w:rFonts w:hint="eastAsia" w:ascii="方正仿宋_GBK" w:hAnsi="方正仿宋_GBK" w:eastAsia="方正仿宋_GBK" w:cs="方正仿宋_GBK"/>
                <w:szCs w:val="21"/>
              </w:rPr>
            </w:pPr>
            <w:r>
              <w:rPr>
                <w:rFonts w:hint="eastAsia" w:ascii="方正仿宋_GBK" w:hAnsi="方正仿宋_GBK" w:eastAsia="方正仿宋_GBK" w:cs="方正仿宋_GBK"/>
                <w:szCs w:val="21"/>
                <w:lang w:eastAsia="zh-CN"/>
              </w:rPr>
              <w:t>在规定时间内</w:t>
            </w:r>
            <w:r>
              <w:rPr>
                <w:rFonts w:hint="eastAsia" w:ascii="方正仿宋_GBK" w:hAnsi="方正仿宋_GBK" w:eastAsia="方正仿宋_GBK" w:cs="方正仿宋_GBK"/>
                <w:szCs w:val="21"/>
                <w:lang w:val="en-US" w:eastAsia="zh-CN"/>
              </w:rPr>
              <w:t>上报核查情况及处理结果</w:t>
            </w:r>
            <w:r>
              <w:rPr>
                <w:rFonts w:hint="eastAsia" w:ascii="方正仿宋_GBK" w:hAnsi="方正仿宋_GBK" w:eastAsia="方正仿宋_GBK" w:cs="方正仿宋_GBK"/>
                <w:szCs w:val="21"/>
                <w:lang w:eastAsia="zh-CN"/>
              </w:rPr>
              <w:t>。</w:t>
            </w:r>
          </w:p>
        </w:tc>
      </w:tr>
    </w:tbl>
    <w:p>
      <w:pPr>
        <w:overflowPunct w:val="0"/>
        <w:adjustRightInd w:val="0"/>
        <w:snapToGrid w:val="0"/>
        <w:spacing w:line="20" w:lineRule="exact"/>
        <w:rPr>
          <w:rFonts w:cs="等线"/>
          <w:b/>
          <w:bCs/>
          <w:sz w:val="32"/>
          <w:szCs w:val="32"/>
        </w:rPr>
      </w:pPr>
    </w:p>
    <w:sectPr>
      <w:headerReference r:id="rId3" w:type="default"/>
      <w:footerReference r:id="rId4" w:type="default"/>
      <w:footerReference r:id="rId5" w:type="even"/>
      <w:pgSz w:w="16838" w:h="11906" w:orient="landscape"/>
      <w:pgMar w:top="1501" w:right="1417" w:bottom="1130" w:left="1417"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DBC88FD-BD7F-4BB0-A1CD-B4B315975A7F}"/>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embedRegular r:id="rId2" w:fontKey="{CE5643DC-D537-45FA-926F-465AA511DE65}"/>
  </w:font>
  <w:font w:name="方正仿宋_GBK">
    <w:panose1 w:val="02000000000000000000"/>
    <w:charset w:val="86"/>
    <w:family w:val="script"/>
    <w:pitch w:val="default"/>
    <w:sig w:usb0="A00002BF" w:usb1="38CF7CFA" w:usb2="00082016" w:usb3="00000000" w:csb0="00040001" w:csb1="00000000"/>
    <w:embedRegular r:id="rId3" w:fontKey="{74DE8C51-3B60-46A5-B733-8F71151B1983}"/>
  </w:font>
  <w:font w:name="方正小标宋_GBK">
    <w:panose1 w:val="02000000000000000000"/>
    <w:charset w:val="86"/>
    <w:family w:val="script"/>
    <w:pitch w:val="default"/>
    <w:sig w:usb0="A00002BF" w:usb1="38CF7CFA" w:usb2="00082016" w:usb3="00000000" w:csb0="00040001" w:csb1="00000000"/>
    <w:embedRegular r:id="rId4" w:fontKey="{7361E551-9740-4B0A-A437-43FB82FD3ED0}"/>
  </w:font>
  <w:font w:name="微软雅黑 Light">
    <w:panose1 w:val="020B0502040204020203"/>
    <w:charset w:val="86"/>
    <w:family w:val="auto"/>
    <w:pitch w:val="default"/>
    <w:sig w:usb0="80000287" w:usb1="2ACF0010" w:usb2="00000016" w:usb3="00000000" w:csb0="0004001F" w:csb1="00000000"/>
  </w:font>
  <w:font w:name="方正仿宋_GB2312">
    <w:panose1 w:val="02000000000000000000"/>
    <w:charset w:val="86"/>
    <w:family w:val="auto"/>
    <w:pitch w:val="default"/>
    <w:sig w:usb0="A00002BF" w:usb1="184F6CFA" w:usb2="00000012" w:usb3="00000000" w:csb0="00040001" w:csb1="00000000"/>
  </w:font>
  <w:font w:name="方正舒体">
    <w:panose1 w:val="02010601030101010101"/>
    <w:charset w:val="86"/>
    <w:family w:val="auto"/>
    <w:pitch w:val="default"/>
    <w:sig w:usb0="00000003"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华文彩云">
    <w:panose1 w:val="02010800040101010101"/>
    <w:charset w:val="86"/>
    <w:family w:val="auto"/>
    <w:pitch w:val="default"/>
    <w:sig w:usb0="00000001" w:usb1="080F0000" w:usb2="00000000" w:usb3="00000000" w:csb0="00040000" w:csb1="00000000"/>
  </w:font>
  <w:font w:name="方正公文小标宋">
    <w:panose1 w:val="02000500000000000000"/>
    <w:charset w:val="86"/>
    <w:family w:val="auto"/>
    <w:pitch w:val="default"/>
    <w:sig w:usb0="A00002BF" w:usb1="38CF7CFA" w:usb2="00000016" w:usb3="00000000" w:csb0="00040001" w:csb1="00000000"/>
  </w:font>
  <w:font w:name="方正楷体_GBK">
    <w:panose1 w:val="02000000000000000000"/>
    <w:charset w:val="86"/>
    <w:family w:val="auto"/>
    <w:pitch w:val="default"/>
    <w:sig w:usb0="800002BF" w:usb1="38CF7CFA" w:usb2="00000016" w:usb3="00000000" w:csb0="00040000" w:csb1="00000000"/>
  </w:font>
  <w:font w:name="方正公文黑体">
    <w:panose1 w:val="02000500000000000000"/>
    <w:charset w:val="86"/>
    <w:family w:val="auto"/>
    <w:pitch w:val="default"/>
    <w:sig w:usb0="A00002BF" w:usb1="38CF7CFA" w:usb2="00000016" w:usb3="00000000" w:csb0="00040001" w:csb1="00000000"/>
  </w:font>
  <w:font w:name="方正楷体_GB2312">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720"/>
      <w:jc w:val="right"/>
      <w:rPr>
        <w:rFonts w:ascii="方正仿宋_GBK" w:eastAsia="方正仿宋_GBK"/>
        <w:sz w:val="32"/>
        <w:szCs w:val="32"/>
      </w:rPr>
    </w:pPr>
    <w:r>
      <w:t xml:space="preserve">——  </w:t>
    </w:r>
    <w:r>
      <w:rPr>
        <w:rFonts w:ascii="方正仿宋_GBK" w:eastAsia="方正仿宋_GBK"/>
        <w:sz w:val="32"/>
        <w:szCs w:val="32"/>
      </w:rPr>
      <w:fldChar w:fldCharType="begin"/>
    </w:r>
    <w:r>
      <w:rPr>
        <w:rFonts w:ascii="方正仿宋_GBK" w:eastAsia="方正仿宋_GBK"/>
        <w:sz w:val="32"/>
        <w:szCs w:val="32"/>
      </w:rPr>
      <w:instrText xml:space="preserve">PAGE   \* MERGEFORMAT</w:instrText>
    </w:r>
    <w:r>
      <w:rPr>
        <w:rFonts w:ascii="方正仿宋_GBK" w:eastAsia="方正仿宋_GBK"/>
        <w:sz w:val="32"/>
        <w:szCs w:val="32"/>
      </w:rPr>
      <w:fldChar w:fldCharType="separate"/>
    </w:r>
    <w:r>
      <w:rPr>
        <w:rFonts w:ascii="方正仿宋_GBK" w:eastAsia="方正仿宋_GBK"/>
        <w:sz w:val="32"/>
        <w:szCs w:val="32"/>
        <w:lang w:val="zh-CN"/>
      </w:rPr>
      <w:t>1</w:t>
    </w:r>
    <w:r>
      <w:rPr>
        <w:rFonts w:ascii="方正仿宋_GBK" w:eastAsia="方正仿宋_GBK"/>
        <w:sz w:val="32"/>
        <w:szCs w:val="32"/>
      </w:rPr>
      <w:fldChar w:fldCharType="end"/>
    </w:r>
    <w:r>
      <w:t>——</w:t>
    </w:r>
  </w:p>
  <w:p>
    <w:pPr>
      <w:pStyle w:val="4"/>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t>2</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678179"/>
    <w:multiLevelType w:val="singleLevel"/>
    <w:tmpl w:val="9D678179"/>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EwOTM1MGY2YjUyM2IwYWFhNjBhMWYxMTk5ZTg4OGEifQ=="/>
  </w:docVars>
  <w:rsids>
    <w:rsidRoot w:val="00B9713F"/>
    <w:rsid w:val="00007403"/>
    <w:rsid w:val="00022959"/>
    <w:rsid w:val="0005344F"/>
    <w:rsid w:val="000603E5"/>
    <w:rsid w:val="000772AD"/>
    <w:rsid w:val="000A07D5"/>
    <w:rsid w:val="000A1285"/>
    <w:rsid w:val="000B4B71"/>
    <w:rsid w:val="000B632C"/>
    <w:rsid w:val="000C5119"/>
    <w:rsid w:val="000E2841"/>
    <w:rsid w:val="000E39DA"/>
    <w:rsid w:val="0011424E"/>
    <w:rsid w:val="0011469A"/>
    <w:rsid w:val="00165685"/>
    <w:rsid w:val="00166FB0"/>
    <w:rsid w:val="00172BE7"/>
    <w:rsid w:val="00175D39"/>
    <w:rsid w:val="0017669B"/>
    <w:rsid w:val="00180E35"/>
    <w:rsid w:val="001B3B30"/>
    <w:rsid w:val="001D164C"/>
    <w:rsid w:val="0022748F"/>
    <w:rsid w:val="00235064"/>
    <w:rsid w:val="00247F9C"/>
    <w:rsid w:val="00265D8E"/>
    <w:rsid w:val="0027680E"/>
    <w:rsid w:val="002A0E71"/>
    <w:rsid w:val="002B62BA"/>
    <w:rsid w:val="002C7488"/>
    <w:rsid w:val="002F4FFA"/>
    <w:rsid w:val="00305671"/>
    <w:rsid w:val="003267A1"/>
    <w:rsid w:val="00331080"/>
    <w:rsid w:val="0037210C"/>
    <w:rsid w:val="00392790"/>
    <w:rsid w:val="003A6B66"/>
    <w:rsid w:val="00406420"/>
    <w:rsid w:val="00407B02"/>
    <w:rsid w:val="00444BA7"/>
    <w:rsid w:val="00463264"/>
    <w:rsid w:val="004738CE"/>
    <w:rsid w:val="00497EED"/>
    <w:rsid w:val="00497F05"/>
    <w:rsid w:val="004A10F3"/>
    <w:rsid w:val="004A6AEC"/>
    <w:rsid w:val="004B6905"/>
    <w:rsid w:val="004C19F2"/>
    <w:rsid w:val="004D1894"/>
    <w:rsid w:val="004D7BAE"/>
    <w:rsid w:val="005078C3"/>
    <w:rsid w:val="00525D50"/>
    <w:rsid w:val="00545D0C"/>
    <w:rsid w:val="00573F3D"/>
    <w:rsid w:val="0058280C"/>
    <w:rsid w:val="005937A7"/>
    <w:rsid w:val="005972E8"/>
    <w:rsid w:val="005A71AF"/>
    <w:rsid w:val="005A7CF3"/>
    <w:rsid w:val="0063546E"/>
    <w:rsid w:val="00650B50"/>
    <w:rsid w:val="0069339D"/>
    <w:rsid w:val="006C78CB"/>
    <w:rsid w:val="006D582A"/>
    <w:rsid w:val="0073364F"/>
    <w:rsid w:val="00743A2B"/>
    <w:rsid w:val="007552CB"/>
    <w:rsid w:val="007631BA"/>
    <w:rsid w:val="007E729C"/>
    <w:rsid w:val="007E7C36"/>
    <w:rsid w:val="008054D0"/>
    <w:rsid w:val="00851573"/>
    <w:rsid w:val="00863865"/>
    <w:rsid w:val="0087011E"/>
    <w:rsid w:val="008C05C8"/>
    <w:rsid w:val="008C1F65"/>
    <w:rsid w:val="008C688F"/>
    <w:rsid w:val="009012D1"/>
    <w:rsid w:val="00914FAA"/>
    <w:rsid w:val="0095100E"/>
    <w:rsid w:val="00952E56"/>
    <w:rsid w:val="0095315B"/>
    <w:rsid w:val="00954414"/>
    <w:rsid w:val="00981FFD"/>
    <w:rsid w:val="00985CF2"/>
    <w:rsid w:val="009B4D9B"/>
    <w:rsid w:val="009B5B46"/>
    <w:rsid w:val="009B6195"/>
    <w:rsid w:val="00A01106"/>
    <w:rsid w:val="00A05B13"/>
    <w:rsid w:val="00A10289"/>
    <w:rsid w:val="00A1736E"/>
    <w:rsid w:val="00A2101C"/>
    <w:rsid w:val="00A31C5C"/>
    <w:rsid w:val="00A85556"/>
    <w:rsid w:val="00A87F9A"/>
    <w:rsid w:val="00AA1560"/>
    <w:rsid w:val="00AD0CC8"/>
    <w:rsid w:val="00B17360"/>
    <w:rsid w:val="00B22AF0"/>
    <w:rsid w:val="00B45849"/>
    <w:rsid w:val="00B55B92"/>
    <w:rsid w:val="00B70C24"/>
    <w:rsid w:val="00B843FC"/>
    <w:rsid w:val="00B9713F"/>
    <w:rsid w:val="00B97E43"/>
    <w:rsid w:val="00BF6235"/>
    <w:rsid w:val="00C845D3"/>
    <w:rsid w:val="00CB7BEF"/>
    <w:rsid w:val="00CD5E14"/>
    <w:rsid w:val="00CF7F59"/>
    <w:rsid w:val="00D14E5F"/>
    <w:rsid w:val="00D67AE0"/>
    <w:rsid w:val="00D84BAC"/>
    <w:rsid w:val="00DA1F75"/>
    <w:rsid w:val="00DB10BB"/>
    <w:rsid w:val="00DD0701"/>
    <w:rsid w:val="00E214E5"/>
    <w:rsid w:val="00E247B0"/>
    <w:rsid w:val="00E332C4"/>
    <w:rsid w:val="00E51989"/>
    <w:rsid w:val="00E5308F"/>
    <w:rsid w:val="00E535EF"/>
    <w:rsid w:val="00E61A93"/>
    <w:rsid w:val="00E762B9"/>
    <w:rsid w:val="00EA77D1"/>
    <w:rsid w:val="00F014CC"/>
    <w:rsid w:val="00F3656D"/>
    <w:rsid w:val="00F62F52"/>
    <w:rsid w:val="00F97CFA"/>
    <w:rsid w:val="00FB6E88"/>
    <w:rsid w:val="00FC2532"/>
    <w:rsid w:val="00FD43BF"/>
    <w:rsid w:val="076D18CD"/>
    <w:rsid w:val="0F1A402A"/>
    <w:rsid w:val="159771A5"/>
    <w:rsid w:val="20305E02"/>
    <w:rsid w:val="33D9403C"/>
    <w:rsid w:val="384D04E7"/>
    <w:rsid w:val="3D0754BF"/>
    <w:rsid w:val="3E5B3DE7"/>
    <w:rsid w:val="3E9079E7"/>
    <w:rsid w:val="3EBE3EE3"/>
    <w:rsid w:val="43FE4671"/>
    <w:rsid w:val="446C5795"/>
    <w:rsid w:val="48194573"/>
    <w:rsid w:val="49661DD2"/>
    <w:rsid w:val="5437467A"/>
    <w:rsid w:val="55E069DD"/>
    <w:rsid w:val="579F5233"/>
    <w:rsid w:val="57C92E92"/>
    <w:rsid w:val="59AD4E28"/>
    <w:rsid w:val="59C13066"/>
    <w:rsid w:val="5B3438FA"/>
    <w:rsid w:val="66855F1A"/>
    <w:rsid w:val="69F04075"/>
    <w:rsid w:val="76244DE9"/>
    <w:rsid w:val="7E8920EE"/>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2"/>
    <w:semiHidden/>
    <w:qFormat/>
    <w:uiPriority w:val="99"/>
    <w:pPr>
      <w:ind w:left="100" w:leftChars="2500"/>
    </w:pPr>
  </w:style>
  <w:style w:type="paragraph" w:styleId="3">
    <w:name w:val="Balloon Text"/>
    <w:basedOn w:val="1"/>
    <w:link w:val="13"/>
    <w:semiHidden/>
    <w:unhideWhenUsed/>
    <w:qFormat/>
    <w:uiPriority w:val="99"/>
    <w:rPr>
      <w:sz w:val="18"/>
      <w:szCs w:val="18"/>
    </w:rPr>
  </w:style>
  <w:style w:type="paragraph" w:styleId="4">
    <w:name w:val="footer"/>
    <w:basedOn w:val="1"/>
    <w:link w:val="9"/>
    <w:qFormat/>
    <w:uiPriority w:val="99"/>
    <w:pPr>
      <w:tabs>
        <w:tab w:val="center" w:pos="4153"/>
        <w:tab w:val="right" w:pos="8306"/>
      </w:tabs>
      <w:snapToGrid w:val="0"/>
      <w:jc w:val="left"/>
    </w:pPr>
    <w:rPr>
      <w:rFonts w:ascii="Calibri" w:hAnsi="Calibri" w:eastAsia="宋体" w:cs="Calibri"/>
      <w:kern w:val="0"/>
      <w:sz w:val="18"/>
      <w:szCs w:val="18"/>
    </w:rPr>
  </w:style>
  <w:style w:type="paragraph" w:styleId="5">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character" w:styleId="8">
    <w:name w:val="Hyperlink"/>
    <w:basedOn w:val="7"/>
    <w:qFormat/>
    <w:uiPriority w:val="99"/>
    <w:rPr>
      <w:rFonts w:cs="Times New Roman"/>
      <w:color w:val="0563C1"/>
      <w:u w:val="single"/>
    </w:rPr>
  </w:style>
  <w:style w:type="character" w:customStyle="1" w:styleId="9">
    <w:name w:val="页脚 Char"/>
    <w:basedOn w:val="7"/>
    <w:link w:val="4"/>
    <w:qFormat/>
    <w:locked/>
    <w:uiPriority w:val="99"/>
    <w:rPr>
      <w:rFonts w:ascii="Calibri" w:hAnsi="Calibri" w:eastAsia="宋体" w:cs="Calibri"/>
      <w:kern w:val="0"/>
      <w:sz w:val="18"/>
      <w:szCs w:val="18"/>
    </w:rPr>
  </w:style>
  <w:style w:type="character" w:customStyle="1" w:styleId="10">
    <w:name w:val="页眉 Char"/>
    <w:basedOn w:val="7"/>
    <w:link w:val="5"/>
    <w:qFormat/>
    <w:locked/>
    <w:uiPriority w:val="99"/>
    <w:rPr>
      <w:rFonts w:cs="Times New Roman"/>
      <w:sz w:val="18"/>
      <w:szCs w:val="18"/>
    </w:rPr>
  </w:style>
  <w:style w:type="paragraph" w:styleId="11">
    <w:name w:val="List Paragraph"/>
    <w:basedOn w:val="1"/>
    <w:qFormat/>
    <w:uiPriority w:val="99"/>
    <w:pPr>
      <w:ind w:firstLine="420" w:firstLineChars="200"/>
    </w:pPr>
  </w:style>
  <w:style w:type="character" w:customStyle="1" w:styleId="12">
    <w:name w:val="日期 Char"/>
    <w:basedOn w:val="7"/>
    <w:link w:val="2"/>
    <w:semiHidden/>
    <w:qFormat/>
    <w:locked/>
    <w:uiPriority w:val="99"/>
    <w:rPr>
      <w:rFonts w:cs="Times New Roman"/>
    </w:rPr>
  </w:style>
  <w:style w:type="character" w:customStyle="1" w:styleId="13">
    <w:name w:val="批注框文本 Char"/>
    <w:basedOn w:val="7"/>
    <w:link w:val="3"/>
    <w:semiHidden/>
    <w:qFormat/>
    <w:uiPriority w:val="99"/>
    <w:rPr>
      <w:rFonts w:ascii="等线" w:hAnsi="等线" w:eastAsia="等线"/>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HP Inc.</Company>
  <Pages>2</Pages>
  <Words>2256</Words>
  <Characters>2366</Characters>
  <Lines>19</Lines>
  <Paragraphs>5</Paragraphs>
  <TotalTime>5</TotalTime>
  <ScaleCrop>false</ScaleCrop>
  <LinksUpToDate>false</LinksUpToDate>
  <CharactersWithSpaces>2368</CharactersWithSpaces>
  <Application>WPS Office_11.1.0.14305_F1E327BC-269C-435d-A152-05C5408002CA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2023-02-23T17:28:00Z</dcterms:created>
  <dc:creator>1602956657@qq.com</dc:creator>
  <cp:lastModifiedBy>湫千洢梦</cp:lastModifiedBy>
  <cp:lastPrinted>2023-02-16T08:41:00Z</cp:lastPrinted>
  <dcterms:modified xsi:type="dcterms:W3CDTF">2023-04-25T07:16:35Z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2052-11.1.0.14305</vt:lpwstr>
  </property>
  <property fmtid="{D5CDD505-2E9C-101B-9397-08002B2CF9AE}" pid="3" name="ICV">
    <vt:lpwstr>AA9A94CD54DC4A41A524D823029FFA1B_13</vt:lpwstr>
  </property>
</Properties>
</file>