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黑体_GBK" w:hAnsi="方正黑体_GBK" w:eastAsia="方正黑体_GBK" w:cs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原《区转贷服务管理办法》与现《指导意见》差异变动表</w:t>
      </w:r>
    </w:p>
    <w:bookmarkEnd w:id="0"/>
    <w:tbl>
      <w:tblPr>
        <w:tblStyle w:val="3"/>
        <w:tblW w:w="9188" w:type="dxa"/>
        <w:tblInd w:w="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24"/>
        <w:gridCol w:w="4241"/>
        <w:gridCol w:w="2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60" w:rightChars="-5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差异内容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原办法规定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现指导意见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64" w:rightChars="-2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服务范畴增加个体经营者、涉农经营主体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《区转贷服务暂行办法》第一章第三条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本办法所称中小微企业，是指在本区依法设立，符合工信部、国家统计局、发展改革委、财政部制定的《中小微企业划型标准规定》（工信部联企业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【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2011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】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300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号）的中型、小型和微型企业。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坚持融资担保和转贷业务的准公共定位，立足服务本区实体经济（主要服务对象包括民营中小微企业、个体经营者、涉农经营主体等）和乡村振兴。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64" w:rightChars="-2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降低转贷业务费率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《区转贷服务暂行办法》第三章第十一条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为充分提高运转效率，企业借用资金的使用时限一般不得超过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天，收费按日综合费率不超过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0.5‰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的标准收费。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转贷业务单笔费率不超过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0.4‰/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天，罚息不超过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0.6‰/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天，切实降低中小微企业资金成本。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64" w:rightChars="-2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根据实际业务需求调整单笔转贷限额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《区转贷服务暂行办法》第三章第十二条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单笔转贷金额原则上不得超过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1000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单户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500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万元以下不得少于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70%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对各类客户转贷单笔不得超过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3000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64" w:rightChars="-2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明确补偿资金来源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《区转贷服务暂行办法》第三章第十三条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年度未分配利润作为风险补偿资金留存，若发生风险损失，优先从风险补偿资金中安排支出。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；第五章第十九条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如借出（用）资金发生风险损失，优先安排风险补偿资金用于补偿损失；风险补偿资金不足以弥补损失的，则财政与惠通公司按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的比例承担补偿责任。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区财政根据需要安排资金设立区中小微企业担保转贷风险补偿资金，专项用于补偿区内企业担保转贷业务中部分风险敞口。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64" w:rightChars="-2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转贷业务出险处置限额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《区转贷服务暂行办法》第五章第十九条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借出资金总额达到其净资产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20%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，逾期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个月及以上未能收回的，应停业整顿，及时清收；达到其净资产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50%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、从而影响其持续提供转贷服务的，出资人和托管人督促受委托管理人依法加大追偿力度，受委托管理人同时向出资人和地方金</w:t>
            </w:r>
            <w:r>
              <w:rPr>
                <w:rStyle w:val="5"/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 w:bidi="ar"/>
              </w:rPr>
              <w:t>融、财政等部门报告追偿进展情况及所采取的措施。</w:t>
            </w:r>
            <w:r>
              <w:rPr>
                <w:rStyle w:val="6"/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转贷业务出险并处在追偿状态的，追偿资金合计不得超过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3000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万元，超过的（已追偿到位或已核销呆账的不计算在内），暂停新增业务。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64" w:rightChars="-2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明确尽职免责条件，制订尽职免责工作指引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《区转贷服务暂行办法》第五章第二十三条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对于相关单位和个人弄虚作假、审查把关不严、违反规定程序办理资金借用造成损失的，按照有关规定予以处理。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建立健全融资担保和转贷业务尽职免责机制，合理容忍正常的担保代偿、贷款转贷风险，不将正常担保代偿、贷款转贷风险作为追责依据，营造担当作为、创业干事的良好氛围。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64" w:rightChars="-2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调整经营业绩目标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《区转贷服务暂行办法》第五章第二十四条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本管理办法暂定期限为三年，累计转贷金额应不低于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亿元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第一年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亿，第二年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亿，第三年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亿元，年新增首贷户不低于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15%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到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2024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年底，转贷公司年转贷业务总额要超过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60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亿元。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0" w:leftChars="0" w:firstLine="0" w:firstLineChars="0"/>
        <w:textAlignment w:val="auto"/>
        <w:sectPr>
          <w:pgSz w:w="11906" w:h="16838"/>
          <w:pgMar w:top="1814" w:right="1531" w:bottom="1984" w:left="1531" w:header="720" w:footer="1474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mY4ZmYzYzFkNTI4NjU1MjQ1OTUzNmI2MzZkMjEifQ=="/>
  </w:docVars>
  <w:rsids>
    <w:rsidRoot w:val="784B102C"/>
    <w:rsid w:val="784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2023-01-19T03:33:00Z</dcterms:created>
  <dc:creator>Administrator</dc:creator>
  <cp:lastModifiedBy>Administrator</cp:lastModifiedBy>
  <dcterms:modified xsi:type="dcterms:W3CDTF">2023-01-19T03:33:42Z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B1896F4541E14185B047CF7BA8416C41</vt:lpwstr>
  </property>
</Properties>
</file>