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E7F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《通州区鼓励扩大对外开放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激发企业发展活力的若干政策意见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2025年版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征求意见稿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  <w:bookmarkStart w:id="0" w:name="_GoBack"/>
            <w:bookmarkEnd w:id="0"/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《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通州区鼓励扩大对外开放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激发企业发展活力的若干政策意见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2025年版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胡江华，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115911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25C97C66"/>
    <w:rsid w:val="39305E18"/>
    <w:rsid w:val="470D5BD8"/>
    <w:rsid w:val="57A15EA9"/>
    <w:rsid w:val="68AF0769"/>
    <w:rsid w:val="74F622C5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138</Words>
  <Characters>162</Characters>
  <Lines>1</Lines>
  <Paragraphs>1</Paragraphs>
  <TotalTime>0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胡江华</cp:lastModifiedBy>
  <cp:lastPrinted>2023-11-02T01:52:00Z</cp:lastPrinted>
  <dcterms:modified xsi:type="dcterms:W3CDTF">2025-03-13T08:05:10Z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9CC1972293D04BC184370D13E38305C9</vt:lpwstr>
  </property>
  <property fmtid="{D5CDD505-2E9C-101B-9397-08002B2CF9AE}" pid="4" name="KSOTemplateDocerSaveRecord">
    <vt:lpwstr>eyJoZGlkIjoiNjZhM2VjODgyZWEyNGZiYWY3NzFkMDE4Nzk2ZGJjODAiLCJ1c2VySWQiOiI3MjAxNzAxNjQifQ==</vt:lpwstr>
  </property>
</Properties>
</file>