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BDACEA">
      <w:pPr>
        <w:spacing w:line="590" w:lineRule="exact"/>
        <w:ind w:firstLine="0"/>
        <w:rPr>
          <w:rFonts w:ascii="方正小标宋_GBK" w:eastAsia="方正小标宋_GBK"/>
          <w:sz w:val="44"/>
          <w:szCs w:val="44"/>
        </w:rPr>
      </w:pPr>
      <w:bookmarkStart w:id="65" w:name="_GoBack"/>
      <w:bookmarkEnd w:id="65"/>
    </w:p>
    <w:p w14:paraId="7B3335AF">
      <w:pPr>
        <w:pStyle w:val="2"/>
      </w:pPr>
    </w:p>
    <w:p w14:paraId="737EB00B">
      <w:pPr>
        <w:autoSpaceDE/>
        <w:autoSpaceDN/>
        <w:snapToGrid/>
        <w:spacing w:line="590" w:lineRule="exact"/>
        <w:ind w:firstLine="0"/>
        <w:jc w:val="center"/>
        <w:rPr>
          <w:rFonts w:ascii="楷体_GB2312" w:hAnsi="黑体" w:eastAsia="楷体_GB2312" w:cs="黑体"/>
          <w:bCs/>
          <w:snapToGrid/>
          <w:color w:val="000000"/>
          <w:kern w:val="2"/>
          <w:sz w:val="36"/>
          <w:szCs w:val="36"/>
        </w:rPr>
      </w:pPr>
      <w:r>
        <w:rPr>
          <w:rFonts w:hint="eastAsia" w:ascii="方正小标宋_GBK" w:eastAsia="方正小标宋_GBK"/>
          <w:sz w:val="44"/>
          <w:szCs w:val="44"/>
        </w:rPr>
        <w:t>南通市通州区养殖水域滩涂规划（修编）</w:t>
      </w:r>
    </w:p>
    <w:p w14:paraId="3C7D8E51">
      <w:pPr>
        <w:autoSpaceDE/>
        <w:autoSpaceDN/>
        <w:snapToGrid/>
        <w:spacing w:line="590" w:lineRule="exact"/>
        <w:ind w:firstLine="0"/>
        <w:jc w:val="center"/>
        <w:rPr>
          <w:rFonts w:eastAsia="楷体_GB2312" w:cs="黑体"/>
          <w:bCs/>
          <w:snapToGrid/>
          <w:color w:val="000000"/>
          <w:kern w:val="2"/>
          <w:sz w:val="36"/>
          <w:szCs w:val="36"/>
        </w:rPr>
      </w:pPr>
      <w:r>
        <w:rPr>
          <w:rFonts w:eastAsia="楷体_GB2312" w:cs="黑体"/>
          <w:bCs/>
          <w:snapToGrid/>
          <w:color w:val="000000"/>
          <w:kern w:val="2"/>
          <w:sz w:val="36"/>
          <w:szCs w:val="36"/>
        </w:rPr>
        <w:t>（20</w:t>
      </w:r>
      <w:r>
        <w:rPr>
          <w:rFonts w:hint="eastAsia" w:eastAsia="楷体_GB2312" w:cs="黑体"/>
          <w:bCs/>
          <w:snapToGrid/>
          <w:color w:val="000000"/>
          <w:kern w:val="2"/>
          <w:sz w:val="36"/>
          <w:szCs w:val="36"/>
        </w:rPr>
        <w:t>25</w:t>
      </w:r>
      <w:r>
        <w:rPr>
          <w:rFonts w:hint="eastAsia" w:eastAsia="微软雅黑" w:cs="微软雅黑"/>
          <w:snapToGrid/>
          <w:color w:val="000000"/>
          <w:kern w:val="2"/>
          <w:sz w:val="30"/>
          <w:szCs w:val="30"/>
          <w:shd w:val="clear" w:color="auto" w:fill="FFFFFF"/>
        </w:rPr>
        <w:t xml:space="preserve">~ </w:t>
      </w:r>
      <w:r>
        <w:rPr>
          <w:rFonts w:eastAsia="楷体_GB2312" w:cs="黑体"/>
          <w:bCs/>
          <w:snapToGrid/>
          <w:color w:val="000000"/>
          <w:kern w:val="2"/>
          <w:sz w:val="36"/>
          <w:szCs w:val="36"/>
        </w:rPr>
        <w:t>2030年）</w:t>
      </w:r>
    </w:p>
    <w:p w14:paraId="2166CBBD">
      <w:pPr>
        <w:autoSpaceDE/>
        <w:autoSpaceDN/>
        <w:snapToGrid/>
        <w:spacing w:line="590" w:lineRule="exact"/>
        <w:ind w:firstLine="0"/>
        <w:jc w:val="center"/>
        <w:rPr>
          <w:rFonts w:ascii="方正楷体_GBK" w:eastAsia="方正楷体_GBK"/>
          <w:szCs w:val="32"/>
        </w:rPr>
      </w:pPr>
    </w:p>
    <w:p w14:paraId="22EFF336">
      <w:pPr>
        <w:autoSpaceDE/>
        <w:autoSpaceDN/>
        <w:snapToGrid/>
        <w:spacing w:line="590" w:lineRule="exact"/>
        <w:ind w:firstLine="0"/>
        <w:jc w:val="center"/>
        <w:rPr>
          <w:rFonts w:ascii="方正楷体_GBK" w:eastAsia="方正楷体_GBK"/>
          <w:szCs w:val="32"/>
        </w:rPr>
      </w:pPr>
      <w:r>
        <w:rPr>
          <w:rFonts w:hint="eastAsia" w:ascii="方正楷体_GBK" w:eastAsia="方正楷体_GBK"/>
          <w:szCs w:val="32"/>
        </w:rPr>
        <w:t>（</w:t>
      </w:r>
      <w:r>
        <w:rPr>
          <w:rFonts w:hint="eastAsia" w:ascii="方正楷体_GBK" w:eastAsia="方正楷体_GBK"/>
          <w:szCs w:val="32"/>
          <w:lang w:val="en-US" w:eastAsia="zh-CN"/>
        </w:rPr>
        <w:t>征求意见稿</w:t>
      </w:r>
      <w:r>
        <w:rPr>
          <w:rFonts w:hint="eastAsia" w:ascii="方正楷体_GBK" w:eastAsia="方正楷体_GBK"/>
          <w:szCs w:val="32"/>
        </w:rPr>
        <w:t>）</w:t>
      </w:r>
    </w:p>
    <w:p w14:paraId="37C489CC">
      <w:pPr>
        <w:autoSpaceDE/>
        <w:autoSpaceDN/>
        <w:snapToGrid/>
        <w:spacing w:line="590" w:lineRule="exact"/>
        <w:ind w:firstLine="0"/>
        <w:jc w:val="center"/>
        <w:rPr>
          <w:rFonts w:ascii="楷体_GB2312" w:hAnsi="黑体" w:eastAsia="楷体_GB2312" w:cs="黑体"/>
          <w:bCs/>
          <w:snapToGrid/>
          <w:color w:val="000000"/>
          <w:kern w:val="2"/>
          <w:sz w:val="36"/>
          <w:szCs w:val="36"/>
        </w:rPr>
      </w:pPr>
    </w:p>
    <w:p w14:paraId="4E499CE7">
      <w:pPr>
        <w:autoSpaceDE/>
        <w:autoSpaceDN/>
        <w:snapToGrid/>
        <w:spacing w:line="590" w:lineRule="exact"/>
        <w:ind w:firstLine="0"/>
        <w:rPr>
          <w:rFonts w:ascii="楷体_GB2312" w:hAnsi="黑体" w:eastAsia="楷体_GB2312" w:cs="黑体"/>
          <w:bCs/>
          <w:snapToGrid/>
          <w:color w:val="000000"/>
          <w:kern w:val="2"/>
          <w:sz w:val="36"/>
          <w:szCs w:val="36"/>
        </w:rPr>
      </w:pPr>
    </w:p>
    <w:p w14:paraId="2CDDECC7">
      <w:pPr>
        <w:autoSpaceDE/>
        <w:autoSpaceDN/>
        <w:snapToGrid/>
        <w:spacing w:line="590" w:lineRule="exact"/>
        <w:ind w:firstLine="0"/>
        <w:rPr>
          <w:rFonts w:ascii="楷体_GB2312" w:hAnsi="黑体" w:eastAsia="楷体_GB2312" w:cs="黑体"/>
          <w:bCs/>
          <w:snapToGrid/>
          <w:color w:val="000000"/>
          <w:kern w:val="2"/>
          <w:sz w:val="36"/>
          <w:szCs w:val="36"/>
        </w:rPr>
      </w:pPr>
    </w:p>
    <w:p w14:paraId="574DC42E">
      <w:pPr>
        <w:autoSpaceDE/>
        <w:autoSpaceDN/>
        <w:snapToGrid/>
        <w:spacing w:line="590" w:lineRule="exact"/>
        <w:ind w:firstLine="0"/>
        <w:rPr>
          <w:rFonts w:ascii="楷体_GB2312" w:hAnsi="黑体" w:eastAsia="楷体_GB2312" w:cs="黑体"/>
          <w:bCs/>
          <w:snapToGrid/>
          <w:color w:val="000000"/>
          <w:kern w:val="2"/>
          <w:sz w:val="36"/>
          <w:szCs w:val="36"/>
        </w:rPr>
      </w:pPr>
    </w:p>
    <w:p w14:paraId="3688C0CE">
      <w:pPr>
        <w:autoSpaceDE/>
        <w:autoSpaceDN/>
        <w:snapToGrid/>
        <w:spacing w:line="590" w:lineRule="exact"/>
        <w:ind w:firstLine="0"/>
        <w:rPr>
          <w:rFonts w:ascii="楷体_GB2312" w:hAnsi="黑体" w:eastAsia="楷体_GB2312" w:cs="黑体"/>
          <w:bCs/>
          <w:snapToGrid/>
          <w:color w:val="000000"/>
          <w:kern w:val="2"/>
          <w:sz w:val="36"/>
          <w:szCs w:val="36"/>
        </w:rPr>
      </w:pPr>
    </w:p>
    <w:p w14:paraId="3B014F22">
      <w:pPr>
        <w:autoSpaceDE/>
        <w:autoSpaceDN/>
        <w:snapToGrid/>
        <w:spacing w:line="590" w:lineRule="exact"/>
        <w:ind w:firstLine="0"/>
        <w:rPr>
          <w:rFonts w:ascii="楷体_GB2312" w:hAnsi="黑体" w:eastAsia="楷体_GB2312" w:cs="黑体"/>
          <w:bCs/>
          <w:snapToGrid/>
          <w:color w:val="000000"/>
          <w:kern w:val="2"/>
          <w:sz w:val="36"/>
          <w:szCs w:val="36"/>
        </w:rPr>
      </w:pPr>
    </w:p>
    <w:p w14:paraId="745F9C39">
      <w:pPr>
        <w:autoSpaceDE/>
        <w:autoSpaceDN/>
        <w:snapToGrid/>
        <w:spacing w:line="590" w:lineRule="exact"/>
        <w:ind w:firstLine="0"/>
        <w:rPr>
          <w:rFonts w:ascii="楷体_GB2312" w:hAnsi="黑体" w:eastAsia="楷体_GB2312" w:cs="黑体"/>
          <w:bCs/>
          <w:snapToGrid/>
          <w:color w:val="000000"/>
          <w:kern w:val="2"/>
          <w:sz w:val="36"/>
          <w:szCs w:val="36"/>
        </w:rPr>
      </w:pPr>
    </w:p>
    <w:p w14:paraId="284E2922">
      <w:pPr>
        <w:autoSpaceDE/>
        <w:autoSpaceDN/>
        <w:snapToGrid/>
        <w:spacing w:line="590" w:lineRule="exact"/>
        <w:ind w:firstLine="0"/>
        <w:rPr>
          <w:rFonts w:ascii="楷体_GB2312" w:hAnsi="黑体" w:eastAsia="楷体_GB2312" w:cs="黑体"/>
          <w:bCs/>
          <w:snapToGrid/>
          <w:color w:val="000000"/>
          <w:kern w:val="2"/>
          <w:sz w:val="36"/>
          <w:szCs w:val="36"/>
        </w:rPr>
      </w:pPr>
    </w:p>
    <w:p w14:paraId="6983832A">
      <w:pPr>
        <w:autoSpaceDE/>
        <w:autoSpaceDN/>
        <w:snapToGrid/>
        <w:spacing w:line="590" w:lineRule="exact"/>
        <w:ind w:firstLine="0"/>
        <w:rPr>
          <w:rFonts w:ascii="楷体_GB2312" w:hAnsi="黑体" w:eastAsia="楷体_GB2312" w:cs="黑体"/>
          <w:bCs/>
          <w:snapToGrid/>
          <w:color w:val="000000"/>
          <w:kern w:val="2"/>
          <w:sz w:val="36"/>
          <w:szCs w:val="36"/>
        </w:rPr>
      </w:pPr>
    </w:p>
    <w:p w14:paraId="6ABA27A9">
      <w:pPr>
        <w:autoSpaceDE/>
        <w:autoSpaceDN/>
        <w:snapToGrid/>
        <w:spacing w:line="590" w:lineRule="exact"/>
        <w:ind w:firstLine="0"/>
        <w:rPr>
          <w:rFonts w:ascii="楷体_GB2312" w:hAnsi="黑体" w:eastAsia="楷体_GB2312" w:cs="黑体"/>
          <w:bCs/>
          <w:snapToGrid/>
          <w:color w:val="000000"/>
          <w:kern w:val="2"/>
          <w:sz w:val="36"/>
          <w:szCs w:val="36"/>
        </w:rPr>
      </w:pPr>
    </w:p>
    <w:p w14:paraId="160EC3A0">
      <w:pPr>
        <w:autoSpaceDE/>
        <w:autoSpaceDN/>
        <w:snapToGrid/>
        <w:spacing w:line="590" w:lineRule="exact"/>
        <w:ind w:firstLine="0"/>
        <w:rPr>
          <w:rFonts w:ascii="楷体_GB2312" w:hAnsi="黑体" w:eastAsia="楷体_GB2312" w:cs="黑体"/>
          <w:bCs/>
          <w:snapToGrid/>
          <w:color w:val="000000"/>
          <w:kern w:val="2"/>
          <w:sz w:val="36"/>
          <w:szCs w:val="36"/>
        </w:rPr>
      </w:pPr>
    </w:p>
    <w:p w14:paraId="45BDE1EE">
      <w:pPr>
        <w:autoSpaceDE/>
        <w:autoSpaceDN/>
        <w:snapToGrid/>
        <w:spacing w:line="590" w:lineRule="exact"/>
        <w:ind w:firstLine="0"/>
        <w:rPr>
          <w:rFonts w:ascii="楷体_GB2312" w:hAnsi="黑体" w:eastAsia="楷体_GB2312" w:cs="黑体"/>
          <w:bCs/>
          <w:snapToGrid/>
          <w:color w:val="000000"/>
          <w:kern w:val="2"/>
          <w:sz w:val="36"/>
          <w:szCs w:val="36"/>
        </w:rPr>
      </w:pPr>
    </w:p>
    <w:p w14:paraId="3229B24A">
      <w:pPr>
        <w:autoSpaceDE/>
        <w:autoSpaceDN/>
        <w:snapToGrid/>
        <w:spacing w:line="590" w:lineRule="exact"/>
        <w:ind w:firstLine="0"/>
        <w:rPr>
          <w:rFonts w:ascii="楷体_GB2312" w:hAnsi="黑体" w:eastAsia="楷体_GB2312" w:cs="黑体"/>
          <w:bCs/>
          <w:snapToGrid/>
          <w:color w:val="000000"/>
          <w:kern w:val="2"/>
          <w:sz w:val="36"/>
          <w:szCs w:val="36"/>
        </w:rPr>
      </w:pPr>
    </w:p>
    <w:p w14:paraId="06345732">
      <w:pPr>
        <w:pStyle w:val="2"/>
        <w:ind w:firstLine="720"/>
        <w:rPr>
          <w:rFonts w:ascii="楷体_GB2312" w:hAnsi="黑体" w:eastAsia="楷体_GB2312" w:cs="黑体"/>
          <w:bCs/>
          <w:snapToGrid/>
          <w:color w:val="000000"/>
          <w:kern w:val="2"/>
          <w:sz w:val="36"/>
          <w:szCs w:val="36"/>
        </w:rPr>
      </w:pPr>
    </w:p>
    <w:p w14:paraId="2EEFE894">
      <w:pPr>
        <w:spacing w:line="590" w:lineRule="exact"/>
        <w:rPr>
          <w:rFonts w:ascii="楷体_GB2312" w:hAnsi="黑体" w:eastAsia="楷体_GB2312" w:cs="黑体"/>
          <w:bCs/>
          <w:snapToGrid/>
          <w:color w:val="000000"/>
          <w:kern w:val="2"/>
          <w:sz w:val="36"/>
          <w:szCs w:val="36"/>
        </w:rPr>
      </w:pPr>
    </w:p>
    <w:p w14:paraId="29750A24">
      <w:pPr>
        <w:pStyle w:val="2"/>
        <w:ind w:firstLine="720"/>
        <w:rPr>
          <w:rFonts w:ascii="楷体_GB2312" w:hAnsi="黑体" w:eastAsia="楷体_GB2312" w:cs="黑体"/>
          <w:bCs/>
          <w:snapToGrid/>
          <w:color w:val="000000"/>
          <w:kern w:val="2"/>
          <w:sz w:val="36"/>
          <w:szCs w:val="36"/>
        </w:rPr>
      </w:pPr>
    </w:p>
    <w:p w14:paraId="77D20C44">
      <w:pPr>
        <w:autoSpaceDE/>
        <w:autoSpaceDN/>
        <w:snapToGrid/>
        <w:spacing w:line="590" w:lineRule="exact"/>
        <w:ind w:firstLine="0"/>
        <w:rPr>
          <w:rFonts w:ascii="楷体_GB2312" w:hAnsi="黑体" w:eastAsia="楷体_GB2312" w:cs="黑体"/>
          <w:bCs/>
          <w:snapToGrid/>
          <w:color w:val="000000"/>
          <w:kern w:val="2"/>
          <w:sz w:val="36"/>
          <w:szCs w:val="36"/>
        </w:rPr>
      </w:pPr>
    </w:p>
    <w:p w14:paraId="5B5B96AC">
      <w:pPr>
        <w:autoSpaceDE/>
        <w:autoSpaceDN/>
        <w:snapToGrid/>
        <w:spacing w:line="590" w:lineRule="exact"/>
        <w:ind w:firstLine="0"/>
        <w:jc w:val="center"/>
        <w:rPr>
          <w:rFonts w:ascii="方正小标宋_GBK" w:eastAsia="方正小标宋_GBK"/>
          <w:sz w:val="44"/>
          <w:szCs w:val="44"/>
        </w:rPr>
      </w:pPr>
      <w:r>
        <w:rPr>
          <w:rFonts w:hint="eastAsia" w:ascii="方正小标宋_GBK" w:eastAsia="方正小标宋_GBK"/>
          <w:sz w:val="44"/>
          <w:szCs w:val="44"/>
        </w:rPr>
        <w:t>目 录</w:t>
      </w:r>
    </w:p>
    <w:p w14:paraId="7901C7D9">
      <w:pPr>
        <w:tabs>
          <w:tab w:val="left" w:pos="2503"/>
        </w:tabs>
        <w:autoSpaceDE/>
        <w:autoSpaceDN/>
        <w:snapToGrid/>
        <w:spacing w:line="590" w:lineRule="exact"/>
        <w:ind w:firstLine="0"/>
        <w:jc w:val="center"/>
        <w:rPr>
          <w:rFonts w:ascii="黑体" w:hAnsi="黑体" w:eastAsia="黑体" w:cs="黑体"/>
          <w:snapToGrid/>
          <w:color w:val="000000"/>
          <w:kern w:val="2"/>
          <w:sz w:val="36"/>
          <w:szCs w:val="36"/>
        </w:rPr>
      </w:pPr>
    </w:p>
    <w:p w14:paraId="23927D63">
      <w:pPr>
        <w:tabs>
          <w:tab w:val="right" w:leader="dot" w:pos="8308"/>
        </w:tabs>
        <w:autoSpaceDE/>
        <w:autoSpaceDN/>
        <w:snapToGrid/>
        <w:spacing w:line="590" w:lineRule="exact"/>
        <w:rPr>
          <w:rFonts w:cs="楷体_GB2312"/>
          <w:kern w:val="2"/>
          <w:szCs w:val="28"/>
        </w:rPr>
      </w:pPr>
      <w:r>
        <w:rPr>
          <w:rFonts w:hint="eastAsia" w:ascii="楷体_GB2312" w:hAnsi="楷体_GB2312" w:eastAsia="楷体_GB2312" w:cs="楷体_GB2312"/>
          <w:color w:val="000000"/>
          <w:kern w:val="2"/>
          <w:sz w:val="28"/>
          <w:szCs w:val="28"/>
        </w:rPr>
        <w:fldChar w:fldCharType="begin"/>
      </w:r>
      <w:r>
        <w:rPr>
          <w:rFonts w:hint="eastAsia" w:ascii="楷体_GB2312" w:hAnsi="楷体_GB2312" w:eastAsia="楷体_GB2312" w:cs="楷体_GB2312"/>
          <w:color w:val="000000"/>
          <w:kern w:val="2"/>
          <w:sz w:val="28"/>
          <w:szCs w:val="28"/>
        </w:rPr>
        <w:instrText xml:space="preserve">TOC \o "1-3" \h \u </w:instrText>
      </w:r>
      <w:r>
        <w:rPr>
          <w:rFonts w:hint="eastAsia" w:ascii="楷体_GB2312" w:hAnsi="楷体_GB2312" w:eastAsia="楷体_GB2312" w:cs="楷体_GB2312"/>
          <w:color w:val="000000"/>
          <w:kern w:val="2"/>
          <w:sz w:val="28"/>
          <w:szCs w:val="28"/>
        </w:rPr>
        <w:fldChar w:fldCharType="separate"/>
      </w:r>
      <w:r>
        <w:fldChar w:fldCharType="begin"/>
      </w:r>
      <w:r>
        <w:instrText xml:space="preserve"> HYPERLINK \l "_Toc1849" </w:instrText>
      </w:r>
      <w:r>
        <w:fldChar w:fldCharType="separate"/>
      </w:r>
      <w:r>
        <w:rPr>
          <w:rFonts w:hint="eastAsia" w:cs="楷体_GB2312"/>
          <w:kern w:val="2"/>
          <w:szCs w:val="28"/>
        </w:rPr>
        <w:t>第一章  总则</w:t>
      </w:r>
      <w:r>
        <w:rPr>
          <w:rFonts w:hint="eastAsia" w:cs="楷体_GB2312"/>
          <w:kern w:val="2"/>
          <w:szCs w:val="28"/>
        </w:rPr>
        <w:tab/>
      </w:r>
      <w:r>
        <w:rPr>
          <w:rFonts w:hint="eastAsia" w:cs="楷体_GB2312"/>
          <w:kern w:val="2"/>
          <w:szCs w:val="28"/>
        </w:rPr>
        <w:t>............................................................................8</w:t>
      </w:r>
      <w:r>
        <w:rPr>
          <w:rFonts w:hint="eastAsia" w:cs="楷体_GB2312"/>
          <w:kern w:val="2"/>
          <w:szCs w:val="28"/>
        </w:rPr>
        <w:fldChar w:fldCharType="end"/>
      </w:r>
    </w:p>
    <w:p w14:paraId="58EA62E4">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"_Toc25318" </w:instrText>
      </w:r>
      <w:r>
        <w:fldChar w:fldCharType="separate"/>
      </w:r>
      <w:r>
        <w:rPr>
          <w:rFonts w:hint="eastAsia" w:cs="楷体_GB2312"/>
          <w:bCs/>
          <w:kern w:val="2"/>
          <w:szCs w:val="28"/>
        </w:rPr>
        <w:t>第一节  前言</w:t>
      </w:r>
      <w:r>
        <w:rPr>
          <w:rFonts w:hint="eastAsia" w:cs="楷体_GB2312"/>
          <w:kern w:val="2"/>
          <w:szCs w:val="28"/>
        </w:rPr>
        <w:tab/>
      </w:r>
      <w:r>
        <w:rPr>
          <w:rFonts w:hint="eastAsia" w:cs="楷体_GB2312"/>
          <w:kern w:val="2"/>
          <w:szCs w:val="28"/>
        </w:rPr>
        <w:t>....................................................................8</w:t>
      </w:r>
      <w:r>
        <w:rPr>
          <w:rFonts w:hint="eastAsia" w:cs="楷体_GB2312"/>
          <w:kern w:val="2"/>
          <w:szCs w:val="28"/>
        </w:rPr>
        <w:fldChar w:fldCharType="end"/>
      </w:r>
    </w:p>
    <w:p w14:paraId="033FA91D">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"_Toc3503" </w:instrText>
      </w:r>
      <w:r>
        <w:fldChar w:fldCharType="separate"/>
      </w:r>
      <w:r>
        <w:rPr>
          <w:rFonts w:hint="eastAsia" w:cs="楷体_GB2312"/>
          <w:bCs/>
          <w:kern w:val="2"/>
          <w:szCs w:val="28"/>
        </w:rPr>
        <w:t>第二节  编制依据</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_Toc3503 \h </w:instrText>
      </w:r>
      <w:r>
        <w:rPr>
          <w:rFonts w:hint="eastAsia" w:cs="楷体_GB2312"/>
          <w:kern w:val="2"/>
          <w:szCs w:val="28"/>
        </w:rPr>
        <w:fldChar w:fldCharType="separate"/>
      </w:r>
      <w:r>
        <w:rPr>
          <w:rFonts w:cs="楷体_GB2312"/>
          <w:kern w:val="2"/>
          <w:szCs w:val="28"/>
        </w:rPr>
        <w:t>10</w:t>
      </w:r>
      <w:r>
        <w:rPr>
          <w:rFonts w:hint="eastAsia" w:cs="楷体_GB2312"/>
          <w:kern w:val="2"/>
          <w:szCs w:val="28"/>
        </w:rPr>
        <w:fldChar w:fldCharType="end"/>
      </w:r>
      <w:r>
        <w:rPr>
          <w:rFonts w:hint="eastAsia" w:cs="楷体_GB2312"/>
          <w:kern w:val="2"/>
          <w:szCs w:val="28"/>
        </w:rPr>
        <w:fldChar w:fldCharType="end"/>
      </w:r>
    </w:p>
    <w:p w14:paraId="3B31DD2A">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"_Toc31187" </w:instrText>
      </w:r>
      <w:r>
        <w:fldChar w:fldCharType="separate"/>
      </w:r>
      <w:r>
        <w:rPr>
          <w:rFonts w:hint="eastAsia" w:cs="楷体_GB2312"/>
          <w:bCs/>
          <w:kern w:val="2"/>
          <w:szCs w:val="28"/>
        </w:rPr>
        <w:t>第三节  目标任务</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_Toc31187 \h </w:instrText>
      </w:r>
      <w:r>
        <w:rPr>
          <w:rFonts w:hint="eastAsia" w:cs="楷体_GB2312"/>
          <w:kern w:val="2"/>
          <w:szCs w:val="28"/>
        </w:rPr>
        <w:fldChar w:fldCharType="separate"/>
      </w:r>
      <w:r>
        <w:rPr>
          <w:rFonts w:cs="楷体_GB2312"/>
          <w:kern w:val="2"/>
          <w:szCs w:val="28"/>
        </w:rPr>
        <w:t>12</w:t>
      </w:r>
      <w:r>
        <w:rPr>
          <w:rFonts w:hint="eastAsia" w:cs="楷体_GB2312"/>
          <w:kern w:val="2"/>
          <w:szCs w:val="28"/>
        </w:rPr>
        <w:fldChar w:fldCharType="end"/>
      </w:r>
      <w:r>
        <w:rPr>
          <w:rFonts w:hint="eastAsia" w:cs="楷体_GB2312"/>
          <w:kern w:val="2"/>
          <w:szCs w:val="28"/>
        </w:rPr>
        <w:fldChar w:fldCharType="end"/>
      </w:r>
    </w:p>
    <w:p w14:paraId="246CA39A">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"_Toc15901" </w:instrText>
      </w:r>
      <w:r>
        <w:fldChar w:fldCharType="separate"/>
      </w:r>
      <w:r>
        <w:rPr>
          <w:rFonts w:hint="eastAsia" w:cs="楷体_GB2312"/>
          <w:bCs/>
          <w:kern w:val="2"/>
          <w:szCs w:val="28"/>
        </w:rPr>
        <w:t>第四节  指导思想和基本原则</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_Toc15901 \h </w:instrText>
      </w:r>
      <w:r>
        <w:rPr>
          <w:rFonts w:hint="eastAsia" w:cs="楷体_GB2312"/>
          <w:kern w:val="2"/>
          <w:szCs w:val="28"/>
        </w:rPr>
        <w:fldChar w:fldCharType="separate"/>
      </w:r>
      <w:r>
        <w:rPr>
          <w:rFonts w:cs="楷体_GB2312"/>
          <w:kern w:val="2"/>
          <w:szCs w:val="28"/>
        </w:rPr>
        <w:t>13</w:t>
      </w:r>
      <w:r>
        <w:rPr>
          <w:rFonts w:hint="eastAsia" w:cs="楷体_GB2312"/>
          <w:kern w:val="2"/>
          <w:szCs w:val="28"/>
        </w:rPr>
        <w:fldChar w:fldCharType="end"/>
      </w:r>
      <w:r>
        <w:rPr>
          <w:rFonts w:hint="eastAsia" w:cs="楷体_GB2312"/>
          <w:kern w:val="2"/>
          <w:szCs w:val="28"/>
        </w:rPr>
        <w:fldChar w:fldCharType="end"/>
      </w:r>
    </w:p>
    <w:p w14:paraId="42C70A65">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"_Toc11403" </w:instrText>
      </w:r>
      <w:r>
        <w:fldChar w:fldCharType="separate"/>
      </w:r>
      <w:r>
        <w:rPr>
          <w:rFonts w:hint="eastAsia" w:cs="楷体_GB2312"/>
          <w:bCs/>
          <w:kern w:val="2"/>
          <w:szCs w:val="28"/>
        </w:rPr>
        <w:t>第五节  规划范围</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_Toc11403 \h </w:instrText>
      </w:r>
      <w:r>
        <w:rPr>
          <w:rFonts w:hint="eastAsia" w:cs="楷体_GB2312"/>
          <w:kern w:val="2"/>
          <w:szCs w:val="28"/>
        </w:rPr>
        <w:fldChar w:fldCharType="separate"/>
      </w:r>
      <w:r>
        <w:rPr>
          <w:rFonts w:cs="楷体_GB2312"/>
          <w:kern w:val="2"/>
          <w:szCs w:val="28"/>
        </w:rPr>
        <w:t>15</w:t>
      </w:r>
      <w:r>
        <w:rPr>
          <w:rFonts w:hint="eastAsia" w:cs="楷体_GB2312"/>
          <w:kern w:val="2"/>
          <w:szCs w:val="28"/>
        </w:rPr>
        <w:fldChar w:fldCharType="end"/>
      </w:r>
      <w:r>
        <w:rPr>
          <w:rFonts w:hint="eastAsia" w:cs="楷体_GB2312"/>
          <w:kern w:val="2"/>
          <w:szCs w:val="28"/>
        </w:rPr>
        <w:fldChar w:fldCharType="end"/>
      </w:r>
    </w:p>
    <w:p w14:paraId="2C73AF9D">
      <w:pPr>
        <w:tabs>
          <w:tab w:val="right" w:leader="dot" w:pos="8308"/>
        </w:tabs>
        <w:autoSpaceDE/>
        <w:autoSpaceDN/>
        <w:snapToGrid/>
        <w:spacing w:line="590" w:lineRule="exact"/>
        <w:rPr>
          <w:rFonts w:cs="楷体_GB2312"/>
          <w:kern w:val="2"/>
          <w:szCs w:val="28"/>
        </w:rPr>
      </w:pPr>
      <w:r>
        <w:fldChar w:fldCharType="begin"/>
      </w:r>
      <w:r>
        <w:instrText xml:space="preserve"> HYPERLINK \l "_Toc28430" </w:instrText>
      </w:r>
      <w:r>
        <w:fldChar w:fldCharType="separate"/>
      </w:r>
      <w:r>
        <w:rPr>
          <w:rFonts w:hint="eastAsia" w:cs="楷体_GB2312"/>
          <w:kern w:val="2"/>
          <w:szCs w:val="28"/>
        </w:rPr>
        <w:t>第二章  养殖水域滩涂利用评价</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_Toc28430 \h </w:instrText>
      </w:r>
      <w:r>
        <w:rPr>
          <w:rFonts w:hint="eastAsia" w:cs="楷体_GB2312"/>
          <w:kern w:val="2"/>
          <w:szCs w:val="28"/>
        </w:rPr>
        <w:fldChar w:fldCharType="separate"/>
      </w:r>
      <w:r>
        <w:rPr>
          <w:rFonts w:cs="楷体_GB2312"/>
          <w:kern w:val="2"/>
          <w:szCs w:val="28"/>
        </w:rPr>
        <w:t>15</w:t>
      </w:r>
      <w:r>
        <w:rPr>
          <w:rFonts w:hint="eastAsia" w:cs="楷体_GB2312"/>
          <w:kern w:val="2"/>
          <w:szCs w:val="28"/>
        </w:rPr>
        <w:fldChar w:fldCharType="end"/>
      </w:r>
      <w:r>
        <w:rPr>
          <w:rFonts w:hint="eastAsia" w:cs="楷体_GB2312"/>
          <w:kern w:val="2"/>
          <w:szCs w:val="28"/>
        </w:rPr>
        <w:fldChar w:fldCharType="end"/>
      </w:r>
    </w:p>
    <w:p w14:paraId="3A1BEDF8">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"_Toc32531" </w:instrText>
      </w:r>
      <w:r>
        <w:fldChar w:fldCharType="separate"/>
      </w:r>
      <w:r>
        <w:rPr>
          <w:rFonts w:hint="eastAsia" w:cs="楷体_GB2312"/>
          <w:bCs/>
          <w:kern w:val="2"/>
          <w:szCs w:val="28"/>
        </w:rPr>
        <w:t>第六节  水域滩涂承载力分析</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_Toc32531 \h </w:instrText>
      </w:r>
      <w:r>
        <w:rPr>
          <w:rFonts w:hint="eastAsia" w:cs="楷体_GB2312"/>
          <w:kern w:val="2"/>
          <w:szCs w:val="28"/>
        </w:rPr>
        <w:fldChar w:fldCharType="separate"/>
      </w:r>
      <w:r>
        <w:rPr>
          <w:rFonts w:cs="楷体_GB2312"/>
          <w:kern w:val="2"/>
          <w:szCs w:val="28"/>
        </w:rPr>
        <w:t>15</w:t>
      </w:r>
      <w:r>
        <w:rPr>
          <w:rFonts w:hint="eastAsia" w:cs="楷体_GB2312"/>
          <w:kern w:val="2"/>
          <w:szCs w:val="28"/>
        </w:rPr>
        <w:fldChar w:fldCharType="end"/>
      </w:r>
      <w:r>
        <w:rPr>
          <w:rFonts w:hint="eastAsia" w:cs="楷体_GB2312"/>
          <w:kern w:val="2"/>
          <w:szCs w:val="28"/>
        </w:rPr>
        <w:fldChar w:fldCharType="end"/>
      </w:r>
    </w:p>
    <w:p w14:paraId="06048B2E">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"_Toc1417" </w:instrText>
      </w:r>
      <w:r>
        <w:fldChar w:fldCharType="separate"/>
      </w:r>
      <w:r>
        <w:rPr>
          <w:rFonts w:hint="eastAsia" w:cs="楷体_GB2312"/>
          <w:bCs/>
          <w:kern w:val="2"/>
          <w:szCs w:val="28"/>
        </w:rPr>
        <w:t>第七节  水产养殖产业发展分析</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_Toc1417 \h </w:instrText>
      </w:r>
      <w:r>
        <w:rPr>
          <w:rFonts w:hint="eastAsia" w:cs="楷体_GB2312"/>
          <w:kern w:val="2"/>
          <w:szCs w:val="28"/>
        </w:rPr>
        <w:fldChar w:fldCharType="separate"/>
      </w:r>
      <w:r>
        <w:rPr>
          <w:rFonts w:cs="楷体_GB2312"/>
          <w:kern w:val="2"/>
          <w:szCs w:val="28"/>
        </w:rPr>
        <w:t>24</w:t>
      </w:r>
      <w:r>
        <w:rPr>
          <w:rFonts w:hint="eastAsia" w:cs="楷体_GB2312"/>
          <w:kern w:val="2"/>
          <w:szCs w:val="28"/>
        </w:rPr>
        <w:fldChar w:fldCharType="end"/>
      </w:r>
      <w:r>
        <w:rPr>
          <w:rFonts w:hint="eastAsia" w:cs="楷体_GB2312"/>
          <w:kern w:val="2"/>
          <w:szCs w:val="28"/>
        </w:rPr>
        <w:fldChar w:fldCharType="end"/>
      </w:r>
    </w:p>
    <w:p w14:paraId="7114C3E1">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"_Toc22274" </w:instrText>
      </w:r>
      <w:r>
        <w:fldChar w:fldCharType="separate"/>
      </w:r>
      <w:r>
        <w:rPr>
          <w:rFonts w:hint="eastAsia" w:cs="楷体_GB2312"/>
          <w:bCs/>
          <w:kern w:val="2"/>
          <w:szCs w:val="28"/>
        </w:rPr>
        <w:t>第八节  养殖水域滩涂开发总体思路</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_Toc22274 \h </w:instrText>
      </w:r>
      <w:r>
        <w:rPr>
          <w:rFonts w:hint="eastAsia" w:cs="楷体_GB2312"/>
          <w:kern w:val="2"/>
          <w:szCs w:val="28"/>
        </w:rPr>
        <w:fldChar w:fldCharType="separate"/>
      </w:r>
      <w:r>
        <w:rPr>
          <w:rFonts w:cs="楷体_GB2312"/>
          <w:kern w:val="2"/>
          <w:szCs w:val="28"/>
        </w:rPr>
        <w:t>30</w:t>
      </w:r>
      <w:r>
        <w:rPr>
          <w:rFonts w:hint="eastAsia" w:cs="楷体_GB2312"/>
          <w:kern w:val="2"/>
          <w:szCs w:val="28"/>
        </w:rPr>
        <w:fldChar w:fldCharType="end"/>
      </w:r>
      <w:r>
        <w:rPr>
          <w:rFonts w:hint="eastAsia" w:cs="楷体_GB2312"/>
          <w:kern w:val="2"/>
          <w:szCs w:val="28"/>
        </w:rPr>
        <w:fldChar w:fldCharType="end"/>
      </w:r>
    </w:p>
    <w:p w14:paraId="061223F1">
      <w:pPr>
        <w:tabs>
          <w:tab w:val="right" w:leader="dot" w:pos="8308"/>
        </w:tabs>
        <w:autoSpaceDE/>
        <w:autoSpaceDN/>
        <w:snapToGrid/>
        <w:spacing w:line="590" w:lineRule="exact"/>
        <w:rPr>
          <w:rFonts w:cs="楷体_GB2312"/>
          <w:kern w:val="2"/>
          <w:szCs w:val="28"/>
        </w:rPr>
      </w:pPr>
      <w:r>
        <w:fldChar w:fldCharType="begin"/>
      </w:r>
      <w:r>
        <w:instrText xml:space="preserve"> HYPERLINK \l "_Toc23226" </w:instrText>
      </w:r>
      <w:r>
        <w:fldChar w:fldCharType="separate"/>
      </w:r>
      <w:r>
        <w:rPr>
          <w:rFonts w:hint="eastAsia" w:cs="楷体_GB2312"/>
          <w:kern w:val="2"/>
          <w:szCs w:val="28"/>
        </w:rPr>
        <w:t>第三章  养殖水域滩涂功能区划</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_Toc23226 \h </w:instrText>
      </w:r>
      <w:r>
        <w:rPr>
          <w:rFonts w:hint="eastAsia" w:cs="楷体_GB2312"/>
          <w:kern w:val="2"/>
          <w:szCs w:val="28"/>
        </w:rPr>
        <w:fldChar w:fldCharType="separate"/>
      </w:r>
      <w:r>
        <w:rPr>
          <w:rFonts w:cs="楷体_GB2312"/>
          <w:kern w:val="2"/>
          <w:szCs w:val="28"/>
        </w:rPr>
        <w:t>31</w:t>
      </w:r>
      <w:r>
        <w:rPr>
          <w:rFonts w:hint="eastAsia" w:cs="楷体_GB2312"/>
          <w:kern w:val="2"/>
          <w:szCs w:val="28"/>
        </w:rPr>
        <w:fldChar w:fldCharType="end"/>
      </w:r>
      <w:r>
        <w:rPr>
          <w:rFonts w:hint="eastAsia" w:cs="楷体_GB2312"/>
          <w:kern w:val="2"/>
          <w:szCs w:val="28"/>
        </w:rPr>
        <w:fldChar w:fldCharType="end"/>
      </w:r>
    </w:p>
    <w:p w14:paraId="57A42C99">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"_Toc13084" </w:instrText>
      </w:r>
      <w:r>
        <w:fldChar w:fldCharType="separate"/>
      </w:r>
      <w:r>
        <w:rPr>
          <w:rFonts w:hint="eastAsia" w:cs="楷体_GB2312"/>
          <w:bCs/>
          <w:kern w:val="2"/>
          <w:szCs w:val="28"/>
        </w:rPr>
        <w:t>第九节  功能区划概述</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_Toc13084 \h </w:instrText>
      </w:r>
      <w:r>
        <w:rPr>
          <w:rFonts w:hint="eastAsia" w:cs="楷体_GB2312"/>
          <w:kern w:val="2"/>
          <w:szCs w:val="28"/>
        </w:rPr>
        <w:fldChar w:fldCharType="separate"/>
      </w:r>
      <w:r>
        <w:rPr>
          <w:rFonts w:cs="楷体_GB2312"/>
          <w:kern w:val="2"/>
          <w:szCs w:val="28"/>
        </w:rPr>
        <w:t>31</w:t>
      </w:r>
      <w:r>
        <w:rPr>
          <w:rFonts w:hint="eastAsia" w:cs="楷体_GB2312"/>
          <w:kern w:val="2"/>
          <w:szCs w:val="28"/>
        </w:rPr>
        <w:fldChar w:fldCharType="end"/>
      </w:r>
      <w:r>
        <w:rPr>
          <w:rFonts w:hint="eastAsia" w:cs="楷体_GB2312"/>
          <w:kern w:val="2"/>
          <w:szCs w:val="28"/>
        </w:rPr>
        <w:fldChar w:fldCharType="end"/>
      </w:r>
    </w:p>
    <w:p w14:paraId="3509C636">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"_Toc23434" </w:instrText>
      </w:r>
      <w:r>
        <w:fldChar w:fldCharType="separate"/>
      </w:r>
      <w:r>
        <w:rPr>
          <w:rFonts w:hint="eastAsia" w:cs="楷体_GB2312"/>
          <w:bCs/>
          <w:kern w:val="2"/>
          <w:szCs w:val="28"/>
        </w:rPr>
        <w:t>第十节 禁止养殖区</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_Toc23434 \h </w:instrText>
      </w:r>
      <w:r>
        <w:rPr>
          <w:rFonts w:hint="eastAsia" w:cs="楷体_GB2312"/>
          <w:kern w:val="2"/>
          <w:szCs w:val="28"/>
        </w:rPr>
        <w:fldChar w:fldCharType="separate"/>
      </w:r>
      <w:r>
        <w:rPr>
          <w:rFonts w:cs="楷体_GB2312"/>
          <w:kern w:val="2"/>
          <w:szCs w:val="28"/>
        </w:rPr>
        <w:t>34</w:t>
      </w:r>
      <w:r>
        <w:rPr>
          <w:rFonts w:hint="eastAsia" w:cs="楷体_GB2312"/>
          <w:kern w:val="2"/>
          <w:szCs w:val="28"/>
        </w:rPr>
        <w:fldChar w:fldCharType="end"/>
      </w:r>
      <w:r>
        <w:rPr>
          <w:rFonts w:hint="eastAsia" w:cs="楷体_GB2312"/>
          <w:kern w:val="2"/>
          <w:szCs w:val="28"/>
        </w:rPr>
        <w:fldChar w:fldCharType="end"/>
      </w:r>
    </w:p>
    <w:p w14:paraId="5EDC727F">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"_Toc30961" </w:instrText>
      </w:r>
      <w:r>
        <w:fldChar w:fldCharType="separate"/>
      </w:r>
      <w:r>
        <w:rPr>
          <w:rFonts w:hint="eastAsia" w:cs="楷体_GB2312"/>
          <w:kern w:val="2"/>
          <w:szCs w:val="28"/>
        </w:rPr>
        <w:t>第十一节 限制养殖区</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_Toc30961 \h </w:instrText>
      </w:r>
      <w:r>
        <w:rPr>
          <w:rFonts w:hint="eastAsia" w:cs="楷体_GB2312"/>
          <w:kern w:val="2"/>
          <w:szCs w:val="28"/>
        </w:rPr>
        <w:fldChar w:fldCharType="separate"/>
      </w:r>
      <w:r>
        <w:rPr>
          <w:rFonts w:cs="楷体_GB2312"/>
          <w:kern w:val="2"/>
          <w:szCs w:val="28"/>
        </w:rPr>
        <w:t>34</w:t>
      </w:r>
      <w:r>
        <w:rPr>
          <w:rFonts w:hint="eastAsia" w:cs="楷体_GB2312"/>
          <w:kern w:val="2"/>
          <w:szCs w:val="28"/>
        </w:rPr>
        <w:fldChar w:fldCharType="end"/>
      </w:r>
      <w:r>
        <w:rPr>
          <w:rFonts w:hint="eastAsia" w:cs="楷体_GB2312"/>
          <w:kern w:val="2"/>
          <w:szCs w:val="28"/>
        </w:rPr>
        <w:fldChar w:fldCharType="end"/>
      </w:r>
    </w:p>
    <w:p w14:paraId="0141478A">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"_Toc6737" </w:instrText>
      </w:r>
      <w:r>
        <w:fldChar w:fldCharType="separate"/>
      </w:r>
      <w:r>
        <w:rPr>
          <w:rFonts w:hint="eastAsia" w:cs="楷体_GB2312"/>
          <w:kern w:val="2"/>
          <w:szCs w:val="28"/>
        </w:rPr>
        <w:t>第十二节  养殖区</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_Toc6737 \h </w:instrText>
      </w:r>
      <w:r>
        <w:rPr>
          <w:rFonts w:hint="eastAsia" w:cs="楷体_GB2312"/>
          <w:kern w:val="2"/>
          <w:szCs w:val="28"/>
        </w:rPr>
        <w:fldChar w:fldCharType="separate"/>
      </w:r>
      <w:r>
        <w:rPr>
          <w:rFonts w:cs="楷体_GB2312"/>
          <w:kern w:val="2"/>
          <w:szCs w:val="28"/>
        </w:rPr>
        <w:t>36</w:t>
      </w:r>
      <w:r>
        <w:rPr>
          <w:rFonts w:hint="eastAsia" w:cs="楷体_GB2312"/>
          <w:kern w:val="2"/>
          <w:szCs w:val="28"/>
        </w:rPr>
        <w:fldChar w:fldCharType="end"/>
      </w:r>
      <w:r>
        <w:rPr>
          <w:rFonts w:hint="eastAsia" w:cs="楷体_GB2312"/>
          <w:kern w:val="2"/>
          <w:szCs w:val="28"/>
        </w:rPr>
        <w:fldChar w:fldCharType="end"/>
      </w:r>
    </w:p>
    <w:p w14:paraId="2A5EC363">
      <w:pPr>
        <w:tabs>
          <w:tab w:val="right" w:leader="dot" w:pos="8308"/>
        </w:tabs>
        <w:autoSpaceDE/>
        <w:autoSpaceDN/>
        <w:snapToGrid/>
        <w:spacing w:line="590" w:lineRule="exact"/>
        <w:rPr>
          <w:rFonts w:cs="楷体_GB2312"/>
          <w:kern w:val="2"/>
          <w:szCs w:val="28"/>
        </w:rPr>
      </w:pPr>
      <w:r>
        <w:fldChar w:fldCharType="begin"/>
      </w:r>
      <w:r>
        <w:instrText xml:space="preserve"> HYPERLINK \l "_Toc20579" </w:instrText>
      </w:r>
      <w:r>
        <w:fldChar w:fldCharType="separate"/>
      </w:r>
      <w:r>
        <w:rPr>
          <w:rFonts w:hint="eastAsia" w:cs="楷体_GB2312"/>
          <w:kern w:val="2"/>
          <w:szCs w:val="28"/>
        </w:rPr>
        <w:t>第四章  保障措施</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_Toc20579 \h </w:instrText>
      </w:r>
      <w:r>
        <w:rPr>
          <w:rFonts w:hint="eastAsia" w:cs="楷体_GB2312"/>
          <w:kern w:val="2"/>
          <w:szCs w:val="28"/>
        </w:rPr>
        <w:fldChar w:fldCharType="separate"/>
      </w:r>
      <w:r>
        <w:rPr>
          <w:rFonts w:cs="楷体_GB2312"/>
          <w:kern w:val="2"/>
          <w:szCs w:val="28"/>
        </w:rPr>
        <w:t>37</w:t>
      </w:r>
      <w:r>
        <w:rPr>
          <w:rFonts w:hint="eastAsia" w:cs="楷体_GB2312"/>
          <w:kern w:val="2"/>
          <w:szCs w:val="28"/>
        </w:rPr>
        <w:fldChar w:fldCharType="end"/>
      </w:r>
      <w:r>
        <w:rPr>
          <w:rFonts w:hint="eastAsia" w:cs="楷体_GB2312"/>
          <w:kern w:val="2"/>
          <w:szCs w:val="28"/>
        </w:rPr>
        <w:fldChar w:fldCharType="end"/>
      </w:r>
    </w:p>
    <w:p w14:paraId="05EF51F8">
      <w:pPr>
        <w:tabs>
          <w:tab w:val="right" w:leader="dot" w:pos="8308"/>
          <w:tab w:val="left" w:pos="8640"/>
        </w:tabs>
        <w:autoSpaceDE/>
        <w:autoSpaceDN/>
        <w:snapToGrid/>
        <w:spacing w:line="590" w:lineRule="exact"/>
        <w:ind w:left="640" w:leftChars="200"/>
        <w:rPr>
          <w:rFonts w:cs="楷体_GB2312"/>
          <w:kern w:val="2"/>
          <w:szCs w:val="28"/>
        </w:rPr>
      </w:pPr>
      <w:r>
        <w:fldChar w:fldCharType="begin"/>
      </w:r>
      <w:r>
        <w:instrText xml:space="preserve"> HYPERLINK \l "_Toc2763" </w:instrText>
      </w:r>
      <w:r>
        <w:fldChar w:fldCharType="separate"/>
      </w:r>
      <w:r>
        <w:rPr>
          <w:rFonts w:hint="eastAsia" w:cs="楷体_GB2312"/>
          <w:bCs/>
          <w:kern w:val="2"/>
          <w:szCs w:val="28"/>
        </w:rPr>
        <w:t>第十三节  加强组织领导</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_Toc2763 \h </w:instrText>
      </w:r>
      <w:r>
        <w:rPr>
          <w:rFonts w:hint="eastAsia" w:cs="楷体_GB2312"/>
          <w:kern w:val="2"/>
          <w:szCs w:val="28"/>
        </w:rPr>
        <w:fldChar w:fldCharType="separate"/>
      </w:r>
      <w:r>
        <w:rPr>
          <w:rFonts w:cs="楷体_GB2312"/>
          <w:kern w:val="2"/>
          <w:szCs w:val="28"/>
        </w:rPr>
        <w:t>37</w:t>
      </w:r>
      <w:r>
        <w:rPr>
          <w:rFonts w:hint="eastAsia" w:cs="楷体_GB2312"/>
          <w:kern w:val="2"/>
          <w:szCs w:val="28"/>
        </w:rPr>
        <w:fldChar w:fldCharType="end"/>
      </w:r>
      <w:r>
        <w:rPr>
          <w:rFonts w:hint="eastAsia" w:cs="楷体_GB2312"/>
          <w:kern w:val="2"/>
          <w:szCs w:val="28"/>
        </w:rPr>
        <w:fldChar w:fldCharType="end"/>
      </w:r>
    </w:p>
    <w:p w14:paraId="21249ED7">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"_Toc1067" </w:instrText>
      </w:r>
      <w:r>
        <w:fldChar w:fldCharType="separate"/>
      </w:r>
      <w:r>
        <w:rPr>
          <w:rFonts w:hint="eastAsia" w:cs="楷体_GB2312"/>
          <w:bCs/>
          <w:kern w:val="2"/>
          <w:szCs w:val="28"/>
        </w:rPr>
        <w:t>第十四节  强化监督检查</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_Toc1067 \h </w:instrText>
      </w:r>
      <w:r>
        <w:rPr>
          <w:rFonts w:hint="eastAsia" w:cs="楷体_GB2312"/>
          <w:kern w:val="2"/>
          <w:szCs w:val="28"/>
        </w:rPr>
        <w:fldChar w:fldCharType="separate"/>
      </w:r>
      <w:r>
        <w:rPr>
          <w:rFonts w:cs="楷体_GB2312"/>
          <w:kern w:val="2"/>
          <w:szCs w:val="28"/>
        </w:rPr>
        <w:t>37</w:t>
      </w:r>
      <w:r>
        <w:rPr>
          <w:rFonts w:hint="eastAsia" w:cs="楷体_GB2312"/>
          <w:kern w:val="2"/>
          <w:szCs w:val="28"/>
        </w:rPr>
        <w:fldChar w:fldCharType="end"/>
      </w:r>
      <w:r>
        <w:rPr>
          <w:rFonts w:hint="eastAsia" w:cs="楷体_GB2312"/>
          <w:kern w:val="2"/>
          <w:szCs w:val="28"/>
        </w:rPr>
        <w:fldChar w:fldCharType="end"/>
      </w:r>
    </w:p>
    <w:p w14:paraId="02DA29C7">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"_Toc8944" </w:instrText>
      </w:r>
      <w:r>
        <w:fldChar w:fldCharType="separate"/>
      </w:r>
      <w:r>
        <w:rPr>
          <w:rFonts w:hint="eastAsia" w:cs="楷体_GB2312"/>
          <w:bCs/>
          <w:kern w:val="2"/>
          <w:szCs w:val="28"/>
        </w:rPr>
        <w:t>第十五节  完善生态保护</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_Toc8944 \h </w:instrText>
      </w:r>
      <w:r>
        <w:rPr>
          <w:rFonts w:hint="eastAsia" w:cs="楷体_GB2312"/>
          <w:kern w:val="2"/>
          <w:szCs w:val="28"/>
        </w:rPr>
        <w:fldChar w:fldCharType="separate"/>
      </w:r>
      <w:r>
        <w:rPr>
          <w:rFonts w:cs="楷体_GB2312"/>
          <w:kern w:val="2"/>
          <w:szCs w:val="28"/>
        </w:rPr>
        <w:t>38</w:t>
      </w:r>
      <w:r>
        <w:rPr>
          <w:rFonts w:hint="eastAsia" w:cs="楷体_GB2312"/>
          <w:kern w:val="2"/>
          <w:szCs w:val="28"/>
        </w:rPr>
        <w:fldChar w:fldCharType="end"/>
      </w:r>
      <w:r>
        <w:rPr>
          <w:rFonts w:hint="eastAsia" w:cs="楷体_GB2312"/>
          <w:kern w:val="2"/>
          <w:szCs w:val="28"/>
        </w:rPr>
        <w:fldChar w:fldCharType="end"/>
      </w:r>
    </w:p>
    <w:p w14:paraId="387CB29E">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"_Toc22502" </w:instrText>
      </w:r>
      <w:r>
        <w:fldChar w:fldCharType="separate"/>
      </w:r>
      <w:r>
        <w:rPr>
          <w:rFonts w:hint="eastAsia" w:cs="楷体_GB2312"/>
          <w:bCs/>
          <w:kern w:val="2"/>
          <w:szCs w:val="28"/>
        </w:rPr>
        <w:t>第十六节  其他保障措施</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_Toc22502 \h </w:instrText>
      </w:r>
      <w:r>
        <w:rPr>
          <w:rFonts w:hint="eastAsia" w:cs="楷体_GB2312"/>
          <w:kern w:val="2"/>
          <w:szCs w:val="28"/>
        </w:rPr>
        <w:fldChar w:fldCharType="separate"/>
      </w:r>
      <w:r>
        <w:rPr>
          <w:rFonts w:cs="楷体_GB2312"/>
          <w:kern w:val="2"/>
          <w:szCs w:val="28"/>
        </w:rPr>
        <w:t>38</w:t>
      </w:r>
      <w:r>
        <w:rPr>
          <w:rFonts w:hint="eastAsia" w:cs="楷体_GB2312"/>
          <w:kern w:val="2"/>
          <w:szCs w:val="28"/>
        </w:rPr>
        <w:fldChar w:fldCharType="end"/>
      </w:r>
      <w:r>
        <w:rPr>
          <w:rFonts w:hint="eastAsia" w:cs="楷体_GB2312"/>
          <w:kern w:val="2"/>
          <w:szCs w:val="28"/>
        </w:rPr>
        <w:fldChar w:fldCharType="end"/>
      </w:r>
    </w:p>
    <w:p w14:paraId="6407B38D">
      <w:pPr>
        <w:tabs>
          <w:tab w:val="right" w:leader="dot" w:pos="8308"/>
        </w:tabs>
        <w:autoSpaceDE/>
        <w:autoSpaceDN/>
        <w:snapToGrid/>
        <w:spacing w:line="590" w:lineRule="exact"/>
        <w:rPr>
          <w:rFonts w:cs="楷体_GB2312"/>
          <w:kern w:val="2"/>
          <w:szCs w:val="28"/>
        </w:rPr>
      </w:pPr>
      <w:r>
        <w:fldChar w:fldCharType="begin"/>
      </w:r>
      <w:r>
        <w:instrText xml:space="preserve"> HYPERLINK \l "_Toc12134" </w:instrText>
      </w:r>
      <w:r>
        <w:fldChar w:fldCharType="separate"/>
      </w:r>
      <w:r>
        <w:rPr>
          <w:rFonts w:hint="eastAsia" w:cs="楷体_GB2312"/>
          <w:kern w:val="2"/>
          <w:szCs w:val="28"/>
        </w:rPr>
        <w:t>第五章 附则</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_Toc12134 \h </w:instrText>
      </w:r>
      <w:r>
        <w:rPr>
          <w:rFonts w:hint="eastAsia" w:cs="楷体_GB2312"/>
          <w:kern w:val="2"/>
          <w:szCs w:val="28"/>
        </w:rPr>
        <w:fldChar w:fldCharType="separate"/>
      </w:r>
      <w:r>
        <w:rPr>
          <w:rFonts w:cs="楷体_GB2312"/>
          <w:kern w:val="2"/>
          <w:szCs w:val="28"/>
        </w:rPr>
        <w:t>41</w:t>
      </w:r>
      <w:r>
        <w:rPr>
          <w:rFonts w:hint="eastAsia" w:cs="楷体_GB2312"/>
          <w:kern w:val="2"/>
          <w:szCs w:val="28"/>
        </w:rPr>
        <w:fldChar w:fldCharType="end"/>
      </w:r>
      <w:r>
        <w:rPr>
          <w:rFonts w:hint="eastAsia" w:cs="楷体_GB2312"/>
          <w:kern w:val="2"/>
          <w:szCs w:val="28"/>
        </w:rPr>
        <w:fldChar w:fldCharType="end"/>
      </w:r>
    </w:p>
    <w:p w14:paraId="3DB3BF44">
      <w:pPr>
        <w:tabs>
          <w:tab w:val="right" w:leader="dot" w:pos="8308"/>
        </w:tabs>
        <w:autoSpaceDE/>
        <w:autoSpaceDN/>
        <w:snapToGrid/>
        <w:spacing w:line="590" w:lineRule="exact"/>
        <w:rPr>
          <w:rFonts w:cs="楷体_GB2312"/>
          <w:kern w:val="2"/>
          <w:szCs w:val="28"/>
        </w:rPr>
      </w:pPr>
      <w:r>
        <w:fldChar w:fldCharType="begin"/>
      </w:r>
      <w:r>
        <w:instrText xml:space="preserve"> HYPERLINK \l "_Toc24740" </w:instrText>
      </w:r>
      <w:r>
        <w:fldChar w:fldCharType="separate"/>
      </w:r>
      <w:r>
        <w:rPr>
          <w:rFonts w:hint="eastAsia" w:cs="楷体_GB2312"/>
          <w:bCs/>
          <w:kern w:val="2"/>
          <w:szCs w:val="28"/>
        </w:rPr>
        <w:t>第十八节  附图与附表</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_Toc24740 \h </w:instrText>
      </w:r>
      <w:r>
        <w:rPr>
          <w:rFonts w:hint="eastAsia" w:cs="楷体_GB2312"/>
          <w:kern w:val="2"/>
          <w:szCs w:val="28"/>
        </w:rPr>
        <w:fldChar w:fldCharType="separate"/>
      </w:r>
      <w:r>
        <w:rPr>
          <w:rFonts w:cs="楷体_GB2312"/>
          <w:kern w:val="2"/>
          <w:szCs w:val="28"/>
        </w:rPr>
        <w:t>41</w:t>
      </w:r>
      <w:r>
        <w:rPr>
          <w:rFonts w:hint="eastAsia" w:cs="楷体_GB2312"/>
          <w:kern w:val="2"/>
          <w:szCs w:val="28"/>
        </w:rPr>
        <w:fldChar w:fldCharType="end"/>
      </w:r>
      <w:r>
        <w:rPr>
          <w:rFonts w:hint="eastAsia" w:cs="楷体_GB2312"/>
          <w:kern w:val="2"/>
          <w:szCs w:val="28"/>
        </w:rPr>
        <w:fldChar w:fldCharType="end"/>
      </w:r>
    </w:p>
    <w:p w14:paraId="7F911D6C">
      <w:pPr>
        <w:tabs>
          <w:tab w:val="right" w:leader="dot" w:pos="8308"/>
        </w:tabs>
        <w:autoSpaceDE/>
        <w:autoSpaceDN/>
        <w:snapToGrid/>
        <w:spacing w:line="590" w:lineRule="exact"/>
        <w:rPr>
          <w:rFonts w:cs="楷体_GB2312"/>
          <w:kern w:val="2"/>
          <w:szCs w:val="28"/>
        </w:rPr>
      </w:pPr>
      <w:r>
        <w:fldChar w:fldCharType="begin"/>
      </w:r>
      <w:r>
        <w:instrText xml:space="preserve"> HYPERLINK \l "_Toc32458" </w:instrText>
      </w:r>
      <w:r>
        <w:fldChar w:fldCharType="separate"/>
      </w:r>
      <w:r>
        <w:rPr>
          <w:rFonts w:hint="eastAsia" w:cs="楷体_GB2312"/>
          <w:kern w:val="2"/>
          <w:szCs w:val="28"/>
        </w:rPr>
        <w:t>附图</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_Toc32458 \h </w:instrText>
      </w:r>
      <w:r>
        <w:rPr>
          <w:rFonts w:hint="eastAsia" w:cs="楷体_GB2312"/>
          <w:kern w:val="2"/>
          <w:szCs w:val="28"/>
        </w:rPr>
        <w:fldChar w:fldCharType="separate"/>
      </w:r>
      <w:r>
        <w:rPr>
          <w:rFonts w:cs="楷体_GB2312"/>
          <w:kern w:val="2"/>
          <w:szCs w:val="28"/>
        </w:rPr>
        <w:t>42</w:t>
      </w:r>
      <w:r>
        <w:rPr>
          <w:rFonts w:hint="eastAsia" w:cs="楷体_GB2312"/>
          <w:kern w:val="2"/>
          <w:szCs w:val="28"/>
        </w:rPr>
        <w:fldChar w:fldCharType="end"/>
      </w:r>
      <w:r>
        <w:rPr>
          <w:rFonts w:hint="eastAsia" w:cs="楷体_GB2312"/>
          <w:kern w:val="2"/>
          <w:szCs w:val="28"/>
        </w:rPr>
        <w:fldChar w:fldCharType="end"/>
      </w:r>
    </w:p>
    <w:p w14:paraId="7BD44F9C">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"_Toc32250" </w:instrText>
      </w:r>
      <w:r>
        <w:fldChar w:fldCharType="separate"/>
      </w:r>
      <w:r>
        <w:rPr>
          <w:rFonts w:hint="eastAsia" w:cs="楷体_GB2312"/>
          <w:bCs/>
          <w:kern w:val="2"/>
          <w:szCs w:val="28"/>
        </w:rPr>
        <w:t>图1 南通市通州区养殖水域滩涂现状图</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_Toc32250 \h </w:instrText>
      </w:r>
      <w:r>
        <w:rPr>
          <w:rFonts w:hint="eastAsia" w:cs="楷体_GB2312"/>
          <w:kern w:val="2"/>
          <w:szCs w:val="28"/>
        </w:rPr>
        <w:fldChar w:fldCharType="separate"/>
      </w:r>
      <w:r>
        <w:rPr>
          <w:rFonts w:cs="楷体_GB2312"/>
          <w:kern w:val="2"/>
          <w:szCs w:val="28"/>
        </w:rPr>
        <w:t>42</w:t>
      </w:r>
      <w:r>
        <w:rPr>
          <w:rFonts w:hint="eastAsia" w:cs="楷体_GB2312"/>
          <w:kern w:val="2"/>
          <w:szCs w:val="28"/>
        </w:rPr>
        <w:fldChar w:fldCharType="end"/>
      </w:r>
      <w:r>
        <w:rPr>
          <w:rFonts w:hint="eastAsia" w:cs="楷体_GB2312"/>
          <w:kern w:val="2"/>
          <w:szCs w:val="28"/>
        </w:rPr>
        <w:fldChar w:fldCharType="end"/>
      </w:r>
    </w:p>
    <w:p w14:paraId="451CC9A3">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"_Toc10226" </w:instrText>
      </w:r>
      <w:r>
        <w:fldChar w:fldCharType="separate"/>
      </w:r>
      <w:r>
        <w:rPr>
          <w:rFonts w:hint="eastAsia" w:cs="楷体_GB2312"/>
          <w:bCs/>
          <w:kern w:val="2"/>
          <w:szCs w:val="28"/>
        </w:rPr>
        <w:t>图2 南通市通州区养殖水域滩涂规划图</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_Toc10226 \h </w:instrText>
      </w:r>
      <w:r>
        <w:rPr>
          <w:rFonts w:hint="eastAsia" w:cs="楷体_GB2312"/>
          <w:kern w:val="2"/>
          <w:szCs w:val="28"/>
        </w:rPr>
        <w:fldChar w:fldCharType="separate"/>
      </w:r>
      <w:r>
        <w:rPr>
          <w:rFonts w:cs="楷体_GB2312"/>
          <w:kern w:val="2"/>
          <w:szCs w:val="28"/>
        </w:rPr>
        <w:t>43</w:t>
      </w:r>
      <w:r>
        <w:rPr>
          <w:rFonts w:hint="eastAsia" w:cs="楷体_GB2312"/>
          <w:kern w:val="2"/>
          <w:szCs w:val="28"/>
        </w:rPr>
        <w:fldChar w:fldCharType="end"/>
      </w:r>
      <w:r>
        <w:rPr>
          <w:rFonts w:hint="eastAsia" w:cs="楷体_GB2312"/>
          <w:kern w:val="2"/>
          <w:szCs w:val="28"/>
        </w:rPr>
        <w:fldChar w:fldCharType="end"/>
      </w:r>
    </w:p>
    <w:p w14:paraId="3B94E1E3">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"_Toc22049" </w:instrText>
      </w:r>
      <w:r>
        <w:fldChar w:fldCharType="separate"/>
      </w:r>
      <w:r>
        <w:rPr>
          <w:rFonts w:hint="eastAsia" w:cs="楷体_GB2312"/>
          <w:bCs/>
          <w:kern w:val="2"/>
          <w:szCs w:val="28"/>
        </w:rPr>
        <w:t>图3 南通市通州区养殖水域滩涂禁止养殖区规划图.</w:t>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_Toc22049 \h </w:instrText>
      </w:r>
      <w:r>
        <w:rPr>
          <w:rFonts w:hint="eastAsia" w:cs="楷体_GB2312"/>
          <w:kern w:val="2"/>
          <w:szCs w:val="28"/>
        </w:rPr>
        <w:fldChar w:fldCharType="separate"/>
      </w:r>
      <w:r>
        <w:rPr>
          <w:rFonts w:cs="楷体_GB2312"/>
          <w:kern w:val="2"/>
          <w:szCs w:val="28"/>
        </w:rPr>
        <w:t>44</w:t>
      </w:r>
      <w:r>
        <w:rPr>
          <w:rFonts w:hint="eastAsia" w:cs="楷体_GB2312"/>
          <w:kern w:val="2"/>
          <w:szCs w:val="28"/>
        </w:rPr>
        <w:fldChar w:fldCharType="end"/>
      </w:r>
      <w:r>
        <w:rPr>
          <w:rFonts w:hint="eastAsia" w:cs="楷体_GB2312"/>
          <w:kern w:val="2"/>
          <w:szCs w:val="28"/>
        </w:rPr>
        <w:fldChar w:fldCharType="end"/>
      </w:r>
    </w:p>
    <w:p w14:paraId="6FA6585B">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"_Toc8002" </w:instrText>
      </w:r>
      <w:r>
        <w:fldChar w:fldCharType="separate"/>
      </w:r>
      <w:r>
        <w:rPr>
          <w:rFonts w:hint="eastAsia" w:cs="楷体_GB2312"/>
          <w:bCs/>
          <w:kern w:val="2"/>
          <w:szCs w:val="28"/>
        </w:rPr>
        <w:t>图4 南通市通州区养殖水域滩涂限制养殖区规划图</w:t>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_Toc8002 \h </w:instrText>
      </w:r>
      <w:r>
        <w:rPr>
          <w:rFonts w:hint="eastAsia" w:cs="楷体_GB2312"/>
          <w:kern w:val="2"/>
          <w:szCs w:val="28"/>
        </w:rPr>
        <w:fldChar w:fldCharType="separate"/>
      </w:r>
      <w:r>
        <w:rPr>
          <w:rFonts w:cs="楷体_GB2312"/>
          <w:kern w:val="2"/>
          <w:szCs w:val="28"/>
        </w:rPr>
        <w:t>45</w:t>
      </w:r>
      <w:r>
        <w:rPr>
          <w:rFonts w:hint="eastAsia" w:cs="楷体_GB2312"/>
          <w:kern w:val="2"/>
          <w:szCs w:val="28"/>
        </w:rPr>
        <w:fldChar w:fldCharType="end"/>
      </w:r>
      <w:r>
        <w:rPr>
          <w:rFonts w:hint="eastAsia" w:cs="楷体_GB2312"/>
          <w:kern w:val="2"/>
          <w:szCs w:val="28"/>
        </w:rPr>
        <w:fldChar w:fldCharType="end"/>
      </w:r>
    </w:p>
    <w:p w14:paraId="28117BF6">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"_Toc254" </w:instrText>
      </w:r>
      <w:r>
        <w:fldChar w:fldCharType="separate"/>
      </w:r>
      <w:r>
        <w:rPr>
          <w:rFonts w:hint="eastAsia" w:cs="楷体_GB2312"/>
          <w:bCs/>
          <w:kern w:val="2"/>
          <w:szCs w:val="28"/>
        </w:rPr>
        <w:t>图5 南通市通州区养殖水域滩涂养殖区规划图</w:t>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_Toc254 \h </w:instrText>
      </w:r>
      <w:r>
        <w:rPr>
          <w:rFonts w:hint="eastAsia" w:cs="楷体_GB2312"/>
          <w:kern w:val="2"/>
          <w:szCs w:val="28"/>
        </w:rPr>
        <w:fldChar w:fldCharType="separate"/>
      </w:r>
      <w:r>
        <w:rPr>
          <w:rFonts w:cs="楷体_GB2312"/>
          <w:kern w:val="2"/>
          <w:szCs w:val="28"/>
        </w:rPr>
        <w:t>46</w:t>
      </w:r>
      <w:r>
        <w:rPr>
          <w:rFonts w:hint="eastAsia" w:cs="楷体_GB2312"/>
          <w:kern w:val="2"/>
          <w:szCs w:val="28"/>
        </w:rPr>
        <w:fldChar w:fldCharType="end"/>
      </w:r>
      <w:r>
        <w:rPr>
          <w:rFonts w:hint="eastAsia" w:cs="楷体_GB2312"/>
          <w:kern w:val="2"/>
          <w:szCs w:val="28"/>
        </w:rPr>
        <w:fldChar w:fldCharType="end"/>
      </w:r>
    </w:p>
    <w:p w14:paraId="60D3491A">
      <w:pPr>
        <w:tabs>
          <w:tab w:val="right" w:leader="dot" w:pos="8308"/>
        </w:tabs>
        <w:autoSpaceDE/>
        <w:autoSpaceDN/>
        <w:snapToGrid/>
        <w:spacing w:line="590" w:lineRule="exact"/>
        <w:rPr>
          <w:rFonts w:cs="楷体_GB2312"/>
          <w:kern w:val="2"/>
          <w:szCs w:val="28"/>
        </w:rPr>
      </w:pPr>
      <w:r>
        <w:fldChar w:fldCharType="begin"/>
      </w:r>
      <w:r>
        <w:instrText xml:space="preserve"> HYPERLINK \l "_Toc15326" </w:instrText>
      </w:r>
      <w:r>
        <w:fldChar w:fldCharType="separate"/>
      </w:r>
      <w:r>
        <w:rPr>
          <w:rFonts w:hint="eastAsia" w:cs="楷体_GB2312"/>
          <w:kern w:val="2"/>
          <w:szCs w:val="28"/>
        </w:rPr>
        <w:t>附表</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_Toc15326 \h </w:instrText>
      </w:r>
      <w:r>
        <w:rPr>
          <w:rFonts w:hint="eastAsia" w:cs="楷体_GB2312"/>
          <w:kern w:val="2"/>
          <w:szCs w:val="28"/>
        </w:rPr>
        <w:fldChar w:fldCharType="separate"/>
      </w:r>
      <w:r>
        <w:rPr>
          <w:rFonts w:cs="楷体_GB2312"/>
          <w:kern w:val="2"/>
          <w:szCs w:val="28"/>
        </w:rPr>
        <w:t>47</w:t>
      </w:r>
      <w:r>
        <w:rPr>
          <w:rFonts w:hint="eastAsia" w:cs="楷体_GB2312"/>
          <w:kern w:val="2"/>
          <w:szCs w:val="28"/>
        </w:rPr>
        <w:fldChar w:fldCharType="end"/>
      </w:r>
      <w:r>
        <w:rPr>
          <w:rFonts w:hint="eastAsia" w:cs="楷体_GB2312"/>
          <w:kern w:val="2"/>
          <w:szCs w:val="28"/>
        </w:rPr>
        <w:fldChar w:fldCharType="end"/>
      </w:r>
    </w:p>
    <w:p w14:paraId="0A85DBE1">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"_Toc25783" </w:instrText>
      </w:r>
      <w:r>
        <w:fldChar w:fldCharType="separate"/>
      </w:r>
      <w:r>
        <w:rPr>
          <w:rFonts w:hint="eastAsia" w:cs="楷体_GB2312"/>
          <w:bCs/>
          <w:kern w:val="2"/>
          <w:szCs w:val="28"/>
        </w:rPr>
        <w:t>表1 禁止养殖区规划表</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_Toc25783 \h </w:instrText>
      </w:r>
      <w:r>
        <w:rPr>
          <w:rFonts w:hint="eastAsia" w:cs="楷体_GB2312"/>
          <w:kern w:val="2"/>
          <w:szCs w:val="28"/>
        </w:rPr>
        <w:fldChar w:fldCharType="separate"/>
      </w:r>
      <w:r>
        <w:rPr>
          <w:rFonts w:cs="楷体_GB2312"/>
          <w:kern w:val="2"/>
          <w:szCs w:val="28"/>
        </w:rPr>
        <w:t>47</w:t>
      </w:r>
      <w:r>
        <w:rPr>
          <w:rFonts w:hint="eastAsia" w:cs="楷体_GB2312"/>
          <w:kern w:val="2"/>
          <w:szCs w:val="28"/>
        </w:rPr>
        <w:fldChar w:fldCharType="end"/>
      </w:r>
      <w:r>
        <w:rPr>
          <w:rFonts w:hint="eastAsia" w:cs="楷体_GB2312"/>
          <w:kern w:val="2"/>
          <w:szCs w:val="28"/>
        </w:rPr>
        <w:fldChar w:fldCharType="end"/>
      </w:r>
    </w:p>
    <w:p w14:paraId="383151E1">
      <w:pPr>
        <w:tabs>
          <w:tab w:val="right" w:leader="dot" w:pos="8308"/>
        </w:tabs>
        <w:autoSpaceDE/>
        <w:autoSpaceDN/>
        <w:snapToGrid/>
        <w:spacing w:line="590" w:lineRule="exact"/>
        <w:ind w:left="640" w:leftChars="200"/>
        <w:rPr>
          <w:rFonts w:cs="楷体_GB2312"/>
          <w:kern w:val="2"/>
          <w:szCs w:val="28"/>
        </w:rPr>
      </w:pPr>
      <w:r>
        <w:fldChar w:fldCharType="begin"/>
      </w:r>
      <w:r>
        <w:instrText xml:space="preserve"> HYPERLINK \l "_Toc12468" </w:instrText>
      </w:r>
      <w:r>
        <w:fldChar w:fldCharType="separate"/>
      </w:r>
      <w:r>
        <w:rPr>
          <w:rFonts w:hint="eastAsia" w:cs="楷体_GB2312"/>
          <w:bCs/>
          <w:kern w:val="2"/>
          <w:szCs w:val="28"/>
        </w:rPr>
        <w:t>表2 限制养殖区规划表</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_Toc12468 \h </w:instrText>
      </w:r>
      <w:r>
        <w:rPr>
          <w:rFonts w:hint="eastAsia" w:cs="楷体_GB2312"/>
          <w:kern w:val="2"/>
          <w:szCs w:val="28"/>
        </w:rPr>
        <w:fldChar w:fldCharType="separate"/>
      </w:r>
      <w:r>
        <w:rPr>
          <w:rFonts w:cs="楷体_GB2312"/>
          <w:kern w:val="2"/>
          <w:szCs w:val="28"/>
        </w:rPr>
        <w:t>49</w:t>
      </w:r>
      <w:r>
        <w:rPr>
          <w:rFonts w:hint="eastAsia" w:cs="楷体_GB2312"/>
          <w:kern w:val="2"/>
          <w:szCs w:val="28"/>
        </w:rPr>
        <w:fldChar w:fldCharType="end"/>
      </w:r>
      <w:r>
        <w:rPr>
          <w:rFonts w:hint="eastAsia" w:cs="楷体_GB2312"/>
          <w:kern w:val="2"/>
          <w:szCs w:val="28"/>
        </w:rPr>
        <w:fldChar w:fldCharType="end"/>
      </w:r>
    </w:p>
    <w:p w14:paraId="5D40D11F">
      <w:pPr>
        <w:tabs>
          <w:tab w:val="right" w:leader="dot" w:pos="8308"/>
        </w:tabs>
        <w:autoSpaceDE/>
        <w:autoSpaceDN/>
        <w:snapToGrid/>
        <w:spacing w:line="590" w:lineRule="exact"/>
        <w:ind w:left="640" w:leftChars="200"/>
        <w:rPr>
          <w:rFonts w:ascii="楷体_GB2312" w:hAnsi="楷体_GB2312" w:eastAsia="楷体_GB2312" w:cs="楷体_GB2312"/>
          <w:kern w:val="2"/>
          <w:sz w:val="28"/>
          <w:szCs w:val="28"/>
        </w:rPr>
      </w:pPr>
      <w:r>
        <w:fldChar w:fldCharType="begin"/>
      </w:r>
      <w:r>
        <w:instrText xml:space="preserve"> HYPERLINK \l "_Toc16469" </w:instrText>
      </w:r>
      <w:r>
        <w:fldChar w:fldCharType="separate"/>
      </w:r>
      <w:r>
        <w:rPr>
          <w:rFonts w:hint="eastAsia" w:cs="楷体_GB2312"/>
          <w:bCs/>
          <w:kern w:val="2"/>
          <w:szCs w:val="28"/>
        </w:rPr>
        <w:t>表3 淡水池塘养殖区规划表</w:t>
      </w:r>
      <w:r>
        <w:rPr>
          <w:rFonts w:hint="eastAsia" w:cs="楷体_GB2312"/>
          <w:kern w:val="2"/>
          <w:szCs w:val="28"/>
        </w:rPr>
        <w:tab/>
      </w:r>
      <w:r>
        <w:rPr>
          <w:rFonts w:hint="eastAsia" w:cs="楷体_GB2312"/>
          <w:kern w:val="2"/>
          <w:szCs w:val="28"/>
        </w:rPr>
        <w:t>.........................................</w:t>
      </w:r>
      <w:r>
        <w:rPr>
          <w:rFonts w:hint="eastAsia" w:cs="楷体_GB2312"/>
          <w:kern w:val="2"/>
          <w:szCs w:val="28"/>
        </w:rPr>
        <w:fldChar w:fldCharType="begin"/>
      </w:r>
      <w:r>
        <w:rPr>
          <w:rFonts w:hint="eastAsia" w:cs="楷体_GB2312"/>
          <w:kern w:val="2"/>
          <w:szCs w:val="28"/>
        </w:rPr>
        <w:instrText xml:space="preserve"> PAGEREF _Toc16469 \h </w:instrText>
      </w:r>
      <w:r>
        <w:rPr>
          <w:rFonts w:hint="eastAsia" w:cs="楷体_GB2312"/>
          <w:kern w:val="2"/>
          <w:szCs w:val="28"/>
        </w:rPr>
        <w:fldChar w:fldCharType="separate"/>
      </w:r>
      <w:r>
        <w:rPr>
          <w:rFonts w:cs="楷体_GB2312"/>
          <w:kern w:val="2"/>
          <w:szCs w:val="28"/>
        </w:rPr>
        <w:t>56</w:t>
      </w:r>
      <w:r>
        <w:rPr>
          <w:rFonts w:hint="eastAsia" w:cs="楷体_GB2312"/>
          <w:kern w:val="2"/>
          <w:szCs w:val="28"/>
        </w:rPr>
        <w:fldChar w:fldCharType="end"/>
      </w:r>
      <w:r>
        <w:rPr>
          <w:rFonts w:hint="eastAsia" w:cs="楷体_GB2312"/>
          <w:kern w:val="2"/>
          <w:szCs w:val="28"/>
        </w:rPr>
        <w:fldChar w:fldCharType="end"/>
      </w:r>
    </w:p>
    <w:p w14:paraId="50B39BB4">
      <w:pPr>
        <w:tabs>
          <w:tab w:val="right" w:leader="dot" w:pos="8306"/>
        </w:tabs>
        <w:autoSpaceDE/>
        <w:autoSpaceDN/>
        <w:snapToGrid/>
        <w:spacing w:line="590" w:lineRule="exact"/>
        <w:rPr>
          <w:rFonts w:ascii="微软雅黑" w:hAnsi="微软雅黑" w:eastAsia="微软雅黑" w:cs="微软雅黑"/>
          <w:color w:val="000000"/>
          <w:sz w:val="33"/>
          <w:szCs w:val="33"/>
        </w:rPr>
        <w:sectPr>
          <w:footerReference r:id="rId5" w:type="default"/>
          <w:footerReference r:id="rId6" w:type="even"/>
          <w:pgSz w:w="11908" w:h="16838"/>
          <w:pgMar w:top="1814" w:right="1531" w:bottom="1984" w:left="1531" w:header="720" w:footer="1474" w:gutter="0"/>
          <w:cols w:space="720" w:num="1"/>
          <w:docGrid w:linePitch="286" w:charSpace="0"/>
        </w:sectPr>
      </w:pPr>
      <w:r>
        <w:rPr>
          <w:rFonts w:hint="eastAsia" w:ascii="楷体_GB2312" w:hAnsi="楷体_GB2312" w:eastAsia="楷体_GB2312" w:cs="楷体_GB2312"/>
          <w:color w:val="000000"/>
          <w:kern w:val="2"/>
          <w:sz w:val="28"/>
          <w:szCs w:val="28"/>
        </w:rPr>
        <w:fldChar w:fldCharType="end"/>
      </w:r>
      <w:bookmarkStart w:id="0" w:name="_Toc29910"/>
    </w:p>
    <w:p w14:paraId="103494F2">
      <w:pPr>
        <w:spacing w:line="590" w:lineRule="exact"/>
        <w:ind w:firstLine="0"/>
        <w:jc w:val="center"/>
        <w:rPr>
          <w:rFonts w:ascii="方正小标宋_GBK" w:eastAsia="方正小标宋_GBK"/>
          <w:sz w:val="44"/>
          <w:szCs w:val="44"/>
        </w:rPr>
      </w:pPr>
      <w:r>
        <w:rPr>
          <w:rFonts w:hint="eastAsia" w:ascii="方正小标宋_GBK" w:eastAsia="方正小标宋_GBK"/>
          <w:sz w:val="44"/>
          <w:szCs w:val="44"/>
        </w:rPr>
        <w:t>南通市通州区养殖水域滩涂规划（修编）</w:t>
      </w:r>
    </w:p>
    <w:p w14:paraId="727CA59A">
      <w:pPr>
        <w:spacing w:line="590" w:lineRule="exact"/>
        <w:ind w:firstLine="0"/>
        <w:jc w:val="center"/>
        <w:rPr>
          <w:rFonts w:ascii="方正小标宋_GBK" w:eastAsia="方正小标宋_GBK"/>
          <w:sz w:val="44"/>
          <w:szCs w:val="44"/>
        </w:rPr>
      </w:pPr>
      <w:r>
        <w:rPr>
          <w:rFonts w:hint="eastAsia" w:ascii="方正小标宋_GBK" w:eastAsia="方正小标宋_GBK"/>
          <w:sz w:val="44"/>
          <w:szCs w:val="44"/>
        </w:rPr>
        <w:t>（2025~ 2030年）</w:t>
      </w:r>
    </w:p>
    <w:p w14:paraId="1965924D">
      <w:pPr>
        <w:spacing w:line="590" w:lineRule="exact"/>
        <w:jc w:val="center"/>
        <w:outlineLvl w:val="0"/>
        <w:rPr>
          <w:rFonts w:ascii="方正小标宋_GBK" w:eastAsia="方正小标宋_GBK"/>
          <w:sz w:val="44"/>
          <w:szCs w:val="44"/>
        </w:rPr>
      </w:pPr>
      <w:bookmarkStart w:id="1" w:name="_Toc1849"/>
    </w:p>
    <w:p w14:paraId="368F8648">
      <w:pPr>
        <w:spacing w:line="590" w:lineRule="exact"/>
        <w:ind w:firstLine="0"/>
        <w:jc w:val="center"/>
        <w:outlineLvl w:val="0"/>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第一章  总则</w:t>
      </w:r>
      <w:bookmarkEnd w:id="1"/>
    </w:p>
    <w:p w14:paraId="4E4B0A7E">
      <w:pPr>
        <w:keepNext/>
        <w:keepLines/>
        <w:spacing w:line="590" w:lineRule="exact"/>
        <w:outlineLvl w:val="1"/>
        <w:rPr>
          <w:rFonts w:ascii="方正黑体_GBK" w:eastAsia="方正黑体_GBK"/>
          <w:szCs w:val="32"/>
        </w:rPr>
      </w:pPr>
      <w:bookmarkStart w:id="2" w:name="_Toc25318"/>
      <w:r>
        <w:rPr>
          <w:rFonts w:hint="eastAsia" w:ascii="方正黑体_GBK" w:eastAsia="方正黑体_GBK"/>
          <w:szCs w:val="32"/>
        </w:rPr>
        <w:t>第一节  前言</w:t>
      </w:r>
      <w:bookmarkEnd w:id="2"/>
    </w:p>
    <w:p w14:paraId="615ABAC0">
      <w:pPr>
        <w:spacing w:line="590" w:lineRule="exact"/>
        <w:ind w:firstLine="640" w:firstLineChars="200"/>
        <w:rPr>
          <w:szCs w:val="32"/>
        </w:rPr>
      </w:pPr>
      <w:r>
        <w:rPr>
          <w:rFonts w:hint="eastAsia"/>
          <w:szCs w:val="32"/>
        </w:rPr>
        <w:t>南通市通州区</w:t>
      </w:r>
      <w:r>
        <w:rPr>
          <w:rStyle w:val="34"/>
          <w:rFonts w:hint="eastAsia"/>
        </w:rPr>
        <w:t>濒临长江，全区水</w:t>
      </w:r>
      <w:r>
        <w:rPr>
          <w:rFonts w:hint="eastAsia"/>
          <w:szCs w:val="32"/>
        </w:rPr>
        <w:t>系发达，水域滩涂水生生物多样性良好、渔业资源丰富，具有发展水产养殖业良好的自然条件。长期以来，通州区委、区政府高度重视渔业，特别是水产养殖业发展，不断加大政策扶持和工作推进力度，促进渔业经济与水域资源环境保护协调发展，有效促进了渔业结构战略调整和水产养殖又好又快发展，使水产养殖成为全区现代农业的重要组成部分。</w:t>
      </w:r>
    </w:p>
    <w:p w14:paraId="429F22B8">
      <w:pPr>
        <w:spacing w:line="590" w:lineRule="exact"/>
        <w:ind w:firstLine="640" w:firstLineChars="200"/>
        <w:rPr>
          <w:szCs w:val="32"/>
        </w:rPr>
      </w:pPr>
      <w:r>
        <w:rPr>
          <w:rFonts w:hint="eastAsia"/>
          <w:szCs w:val="32"/>
        </w:rPr>
        <w:t>根据《中华人民共和国渔业法》《江苏省渔业管理条例》以及《农业部关于印发〈养殖水域滩涂规划编制规范〉和〈养殖水域滩涂规划编制大纲〉的通知》等法律法规和文件，按照江苏省农业农村厅2024年8月《关于组织开展养殖水域滩涂规划修编的通知》等上级相关部门要求，为提高全区养殖水域滩涂利用效率，保护养殖水域滩涂生态环境，加快完善水产养殖管理制度，保障养殖业者合法权益，促进水产养殖绿色高质量发展，更好地协调水产养殖与全区经济社会发展相关方面的关系，结合通州区自然资源的特点，以及水产养殖发展实际与渔业资源保护、增殖、开发和合理利用需要，南通市通州区人民政府于2019年制定并发布了《南通市通州区养殖水域滩涂规划（2017-2030）》（以下简称《规划》）。</w:t>
      </w:r>
    </w:p>
    <w:p w14:paraId="5E2E04C2">
      <w:pPr>
        <w:spacing w:line="590" w:lineRule="exact"/>
        <w:ind w:firstLine="640" w:firstLineChars="200"/>
        <w:rPr>
          <w:szCs w:val="32"/>
        </w:rPr>
      </w:pPr>
      <w:r>
        <w:rPr>
          <w:rFonts w:hint="eastAsia"/>
          <w:szCs w:val="32"/>
        </w:rPr>
        <w:t>《规划》的发布和实施对全区水产养殖健康稳定发展发挥了重要作用。但是，由于规划发布实施一段时间后，全区经济社会发展发生了较大变化，特别是《江苏省国土空间规划（2021-2035年）》《南通市通州区国土空间总体规划（2021-2035年）》正式批准实施后，原规划的重要依据已经改变，规划区域的划分已经不能适应新形势的需要，部分区域与现行政策和规划发生了明显的冲突。根据原农业部《养殖水域滩涂规划编制工作规范》第六条：“因生态安全、经国务院批准的区域规划或产业规划确定的重大项目建设等原因，养殖水域滩涂发生重大改变确需修改的，由本级渔业行政主管部门提出修改建议”“重大修改是指涉及一级养殖水域滩涂类型调整的，应报上一级渔业行政主管部门审核同意，由本级渔业行政部门组织论证，报本级人民政府批准”。本规划因涉及限养区等一级养殖水域滩涂类型调整，属于重大修改，因此必须对原规划进行修编。通过规划修编、实施，力求实现以下目标：</w:t>
      </w:r>
    </w:p>
    <w:p w14:paraId="2F71BECC">
      <w:pPr>
        <w:spacing w:line="590" w:lineRule="exact"/>
        <w:ind w:firstLine="640" w:firstLineChars="200"/>
        <w:rPr>
          <w:szCs w:val="32"/>
        </w:rPr>
      </w:pPr>
      <w:r>
        <w:rPr>
          <w:rFonts w:hint="eastAsia"/>
          <w:szCs w:val="32"/>
        </w:rPr>
        <w:t>1.统筹水产养殖与城镇化和工业化进程中相关方面的关系。</w:t>
      </w:r>
    </w:p>
    <w:p w14:paraId="7952C929">
      <w:pPr>
        <w:spacing w:line="590" w:lineRule="exact"/>
        <w:ind w:firstLine="640" w:firstLineChars="200"/>
        <w:rPr>
          <w:szCs w:val="32"/>
        </w:rPr>
      </w:pPr>
      <w:r>
        <w:rPr>
          <w:rFonts w:hint="eastAsia"/>
          <w:szCs w:val="32"/>
        </w:rPr>
        <w:t>2.依法保护重要养殖水域滩涂。</w:t>
      </w:r>
    </w:p>
    <w:p w14:paraId="42C80F58">
      <w:pPr>
        <w:spacing w:line="590" w:lineRule="exact"/>
        <w:ind w:firstLine="640" w:firstLineChars="200"/>
        <w:rPr>
          <w:szCs w:val="32"/>
        </w:rPr>
      </w:pPr>
      <w:r>
        <w:rPr>
          <w:rFonts w:hint="eastAsia"/>
          <w:szCs w:val="32"/>
        </w:rPr>
        <w:t>3.合理调整和规划养殖结构布局。</w:t>
      </w:r>
    </w:p>
    <w:p w14:paraId="56480F12">
      <w:pPr>
        <w:spacing w:line="590" w:lineRule="exact"/>
        <w:ind w:firstLine="640" w:firstLineChars="200"/>
        <w:rPr>
          <w:szCs w:val="32"/>
        </w:rPr>
      </w:pPr>
      <w:r>
        <w:rPr>
          <w:rFonts w:hint="eastAsia"/>
          <w:szCs w:val="32"/>
        </w:rPr>
        <w:t>4.控制养殖规模、密度，推广生态健康养殖模式，保护和改善养殖水域生态环境。</w:t>
      </w:r>
    </w:p>
    <w:p w14:paraId="0334EDBD">
      <w:pPr>
        <w:spacing w:line="590" w:lineRule="exact"/>
        <w:ind w:firstLine="640" w:firstLineChars="200"/>
        <w:rPr>
          <w:szCs w:val="32"/>
        </w:rPr>
      </w:pPr>
      <w:r>
        <w:rPr>
          <w:rFonts w:hint="eastAsia"/>
          <w:szCs w:val="32"/>
        </w:rPr>
        <w:t>5.为加强水产养殖执法管理提供法律和科学依据。</w:t>
      </w:r>
      <w:bookmarkStart w:id="3" w:name="_Toc3503"/>
    </w:p>
    <w:p w14:paraId="36A82729">
      <w:pPr>
        <w:spacing w:line="590" w:lineRule="exact"/>
        <w:ind w:firstLine="640" w:firstLineChars="200"/>
        <w:rPr>
          <w:rFonts w:ascii="黑体" w:hAnsi="黑体" w:eastAsia="黑体" w:cs="黑体"/>
          <w:bCs/>
          <w:color w:val="000000"/>
          <w:szCs w:val="32"/>
        </w:rPr>
      </w:pPr>
      <w:r>
        <w:rPr>
          <w:rFonts w:hint="eastAsia" w:ascii="方正黑体_GBK" w:eastAsia="方正黑体_GBK"/>
          <w:szCs w:val="32"/>
        </w:rPr>
        <w:t>第二节  编制依据</w:t>
      </w:r>
      <w:bookmarkEnd w:id="3"/>
    </w:p>
    <w:p w14:paraId="1FE0B307">
      <w:pPr>
        <w:spacing w:line="590" w:lineRule="exact"/>
        <w:ind w:firstLine="640" w:firstLineChars="200"/>
        <w:rPr>
          <w:szCs w:val="32"/>
        </w:rPr>
      </w:pPr>
      <w:r>
        <w:rPr>
          <w:rFonts w:hint="eastAsia"/>
          <w:szCs w:val="32"/>
        </w:rPr>
        <w:t>《中华人民共和国渔业法》</w:t>
      </w:r>
    </w:p>
    <w:p w14:paraId="5D7A4B5A">
      <w:pPr>
        <w:spacing w:line="590" w:lineRule="exact"/>
        <w:ind w:firstLine="640" w:firstLineChars="200"/>
        <w:rPr>
          <w:szCs w:val="32"/>
        </w:rPr>
      </w:pPr>
      <w:r>
        <w:rPr>
          <w:rFonts w:hint="eastAsia"/>
          <w:szCs w:val="32"/>
        </w:rPr>
        <w:t>《中华人民共和国环境保护法》</w:t>
      </w:r>
    </w:p>
    <w:p w14:paraId="2C658811">
      <w:pPr>
        <w:spacing w:line="590" w:lineRule="exact"/>
        <w:ind w:firstLine="640" w:firstLineChars="200"/>
        <w:rPr>
          <w:szCs w:val="32"/>
        </w:rPr>
      </w:pPr>
      <w:r>
        <w:rPr>
          <w:rFonts w:hint="eastAsia"/>
          <w:szCs w:val="32"/>
        </w:rPr>
        <w:t>《中华人民共和国土地管理法》</w:t>
      </w:r>
    </w:p>
    <w:p w14:paraId="2AB135AC">
      <w:pPr>
        <w:spacing w:line="590" w:lineRule="exact"/>
        <w:ind w:firstLine="640" w:firstLineChars="200"/>
        <w:rPr>
          <w:szCs w:val="32"/>
        </w:rPr>
      </w:pPr>
      <w:r>
        <w:rPr>
          <w:rFonts w:hint="eastAsia"/>
          <w:szCs w:val="32"/>
        </w:rPr>
        <w:t>《中华人民共和国水法》</w:t>
      </w:r>
    </w:p>
    <w:p w14:paraId="69D6D395">
      <w:pPr>
        <w:spacing w:line="590" w:lineRule="exact"/>
        <w:ind w:firstLine="640" w:firstLineChars="200"/>
        <w:rPr>
          <w:szCs w:val="32"/>
        </w:rPr>
      </w:pPr>
      <w:r>
        <w:rPr>
          <w:rFonts w:hint="eastAsia"/>
          <w:szCs w:val="32"/>
        </w:rPr>
        <w:t>《中华人民共和国防洪法》</w:t>
      </w:r>
    </w:p>
    <w:p w14:paraId="59054E24">
      <w:pPr>
        <w:spacing w:line="590" w:lineRule="exact"/>
        <w:ind w:firstLine="640" w:firstLineChars="200"/>
        <w:rPr>
          <w:szCs w:val="32"/>
        </w:rPr>
      </w:pPr>
      <w:r>
        <w:rPr>
          <w:rFonts w:hint="eastAsia"/>
          <w:szCs w:val="32"/>
        </w:rPr>
        <w:t>《中华人民共和国水污染防治法》</w:t>
      </w:r>
    </w:p>
    <w:p w14:paraId="5710179C">
      <w:pPr>
        <w:spacing w:line="590" w:lineRule="exact"/>
        <w:ind w:firstLine="640" w:firstLineChars="200"/>
        <w:rPr>
          <w:szCs w:val="32"/>
        </w:rPr>
      </w:pPr>
      <w:r>
        <w:rPr>
          <w:rFonts w:hint="eastAsia"/>
          <w:szCs w:val="32"/>
        </w:rPr>
        <w:t>《中华人民共和国长江保护法》</w:t>
      </w:r>
    </w:p>
    <w:p w14:paraId="67F0A802">
      <w:pPr>
        <w:spacing w:line="590" w:lineRule="exact"/>
        <w:ind w:firstLine="640" w:firstLineChars="200"/>
        <w:rPr>
          <w:szCs w:val="32"/>
        </w:rPr>
      </w:pPr>
      <w:r>
        <w:rPr>
          <w:rFonts w:hint="eastAsia"/>
          <w:szCs w:val="32"/>
        </w:rPr>
        <w:t>《中华人民共和国农产品质量安全法》</w:t>
      </w:r>
    </w:p>
    <w:p w14:paraId="22C31D8F">
      <w:pPr>
        <w:spacing w:line="590" w:lineRule="exact"/>
        <w:ind w:firstLine="640" w:firstLineChars="200"/>
        <w:rPr>
          <w:szCs w:val="32"/>
        </w:rPr>
      </w:pPr>
      <w:r>
        <w:rPr>
          <w:rFonts w:hint="eastAsia"/>
          <w:szCs w:val="32"/>
        </w:rPr>
        <w:t>《中华人民共和国基本农田保护条例》</w:t>
      </w:r>
    </w:p>
    <w:p w14:paraId="49FC55C3">
      <w:pPr>
        <w:spacing w:line="590" w:lineRule="exact"/>
        <w:ind w:firstLine="640" w:firstLineChars="200"/>
        <w:rPr>
          <w:szCs w:val="32"/>
        </w:rPr>
      </w:pPr>
      <w:r>
        <w:rPr>
          <w:rFonts w:hint="eastAsia"/>
          <w:szCs w:val="32"/>
        </w:rPr>
        <w:t>《中华人民共和国自然保护区条例》</w:t>
      </w:r>
    </w:p>
    <w:p w14:paraId="3BDEF477">
      <w:pPr>
        <w:spacing w:line="590" w:lineRule="exact"/>
        <w:ind w:firstLine="640" w:firstLineChars="200"/>
        <w:rPr>
          <w:szCs w:val="32"/>
        </w:rPr>
      </w:pPr>
      <w:r>
        <w:rPr>
          <w:rFonts w:hint="eastAsia"/>
          <w:szCs w:val="32"/>
        </w:rPr>
        <w:t>《中共中央 国务院关于加快推进生态文明建设的意见》</w:t>
      </w:r>
    </w:p>
    <w:p w14:paraId="0978B4B0">
      <w:pPr>
        <w:spacing w:line="590" w:lineRule="exact"/>
        <w:ind w:firstLine="640" w:firstLineChars="200"/>
        <w:rPr>
          <w:szCs w:val="32"/>
        </w:rPr>
      </w:pPr>
      <w:r>
        <w:rPr>
          <w:rFonts w:hint="eastAsia"/>
          <w:szCs w:val="32"/>
        </w:rPr>
        <w:t>《关于践行大食物观构建多元化食物供给体系的意见》</w:t>
      </w:r>
    </w:p>
    <w:p w14:paraId="279C6DE8">
      <w:pPr>
        <w:spacing w:line="590" w:lineRule="exact"/>
        <w:ind w:firstLine="640" w:firstLineChars="200"/>
        <w:rPr>
          <w:szCs w:val="32"/>
        </w:rPr>
      </w:pPr>
      <w:r>
        <w:rPr>
          <w:rFonts w:hint="eastAsia"/>
          <w:szCs w:val="32"/>
        </w:rPr>
        <w:t>《国务院关于促进海洋渔业持续健康发展的若干意见》</w:t>
      </w:r>
    </w:p>
    <w:p w14:paraId="0679647E">
      <w:pPr>
        <w:spacing w:line="590" w:lineRule="exact"/>
        <w:ind w:firstLine="640" w:firstLineChars="200"/>
        <w:rPr>
          <w:szCs w:val="32"/>
        </w:rPr>
      </w:pPr>
      <w:r>
        <w:rPr>
          <w:rFonts w:hint="eastAsia"/>
          <w:szCs w:val="32"/>
        </w:rPr>
        <w:t>《国务院关于印发水污染防治行动计划的通知》</w:t>
      </w:r>
    </w:p>
    <w:p w14:paraId="57881F2D">
      <w:pPr>
        <w:spacing w:line="590" w:lineRule="exact"/>
        <w:ind w:firstLine="640" w:firstLineChars="200"/>
        <w:rPr>
          <w:szCs w:val="32"/>
        </w:rPr>
      </w:pPr>
      <w:r>
        <w:rPr>
          <w:rFonts w:hint="eastAsia"/>
          <w:szCs w:val="32"/>
        </w:rPr>
        <w:t>《国务院办公厅关于加强长江水生生物保护工作的意见》</w:t>
      </w:r>
    </w:p>
    <w:p w14:paraId="60C725E0">
      <w:pPr>
        <w:spacing w:line="590" w:lineRule="exact"/>
        <w:ind w:firstLine="640" w:firstLineChars="200"/>
        <w:rPr>
          <w:szCs w:val="32"/>
        </w:rPr>
      </w:pPr>
      <w:r>
        <w:rPr>
          <w:szCs w:val="32"/>
        </w:rPr>
        <w:t>《</w:t>
      </w:r>
      <w:r>
        <w:rPr>
          <w:rFonts w:hint="eastAsia"/>
          <w:szCs w:val="32"/>
        </w:rPr>
        <w:t>长江水生生物保护管理规定</w:t>
      </w:r>
      <w:r>
        <w:rPr>
          <w:szCs w:val="32"/>
        </w:rPr>
        <w:t>》 </w:t>
      </w:r>
    </w:p>
    <w:p w14:paraId="0DD80383">
      <w:pPr>
        <w:spacing w:line="590" w:lineRule="exact"/>
        <w:ind w:firstLine="640" w:firstLineChars="200"/>
        <w:rPr>
          <w:szCs w:val="32"/>
        </w:rPr>
      </w:pPr>
      <w:r>
        <w:rPr>
          <w:rFonts w:hint="eastAsia"/>
          <w:szCs w:val="32"/>
        </w:rPr>
        <w:t>《农业部关于加快推进渔业转方式调结构的指导意见》</w:t>
      </w:r>
    </w:p>
    <w:p w14:paraId="5E363DB1">
      <w:pPr>
        <w:spacing w:line="590" w:lineRule="exact"/>
        <w:ind w:firstLine="640" w:firstLineChars="200"/>
        <w:rPr>
          <w:szCs w:val="32"/>
        </w:rPr>
      </w:pPr>
      <w:r>
        <w:rPr>
          <w:rFonts w:hint="eastAsia"/>
          <w:szCs w:val="32"/>
        </w:rPr>
        <w:t>《农业部关于稳定水域滩涂养殖使用权推进水域滩涂养殖发证登记工作的意见》</w:t>
      </w:r>
    </w:p>
    <w:p w14:paraId="4C58AD7E">
      <w:pPr>
        <w:spacing w:line="590" w:lineRule="exact"/>
        <w:ind w:firstLine="640" w:firstLineChars="200"/>
        <w:rPr>
          <w:szCs w:val="32"/>
        </w:rPr>
      </w:pPr>
      <w:r>
        <w:rPr>
          <w:rFonts w:hint="eastAsia"/>
          <w:szCs w:val="32"/>
        </w:rPr>
        <w:t>农业部《养殖水域滩涂规划编制工作规范》</w:t>
      </w:r>
    </w:p>
    <w:p w14:paraId="6F107A60">
      <w:pPr>
        <w:spacing w:line="590" w:lineRule="exact"/>
        <w:ind w:firstLine="640" w:firstLineChars="200"/>
        <w:rPr>
          <w:szCs w:val="32"/>
        </w:rPr>
      </w:pPr>
      <w:r>
        <w:rPr>
          <w:rFonts w:hint="eastAsia"/>
          <w:szCs w:val="32"/>
        </w:rPr>
        <w:t>农业部《养殖水域滩涂规划编制大纲》</w:t>
      </w:r>
    </w:p>
    <w:p w14:paraId="639E003A">
      <w:pPr>
        <w:spacing w:line="590" w:lineRule="exact"/>
        <w:ind w:firstLine="640" w:firstLineChars="200"/>
        <w:rPr>
          <w:szCs w:val="32"/>
        </w:rPr>
      </w:pPr>
      <w:r>
        <w:rPr>
          <w:rFonts w:hint="eastAsia"/>
          <w:szCs w:val="32"/>
        </w:rPr>
        <w:t>农业部《水域滩涂养殖发证登记办法》</w:t>
      </w:r>
    </w:p>
    <w:p w14:paraId="5AEB7E9F">
      <w:pPr>
        <w:spacing w:line="590" w:lineRule="exact"/>
        <w:ind w:firstLine="640" w:firstLineChars="200"/>
        <w:rPr>
          <w:szCs w:val="32"/>
        </w:rPr>
      </w:pPr>
      <w:r>
        <w:rPr>
          <w:rFonts w:hint="eastAsia"/>
          <w:szCs w:val="32"/>
        </w:rPr>
        <w:t>农业部《水产种质资源保护区管理暂行办法》</w:t>
      </w:r>
    </w:p>
    <w:p w14:paraId="3C080454">
      <w:pPr>
        <w:spacing w:line="590" w:lineRule="exact"/>
        <w:ind w:firstLine="640" w:firstLineChars="200"/>
        <w:rPr>
          <w:szCs w:val="32"/>
        </w:rPr>
      </w:pPr>
      <w:r>
        <w:rPr>
          <w:rFonts w:hint="eastAsia"/>
          <w:szCs w:val="32"/>
        </w:rPr>
        <w:t>农业农村部《水产苗种管理办法》</w:t>
      </w:r>
    </w:p>
    <w:p w14:paraId="39608ED0">
      <w:pPr>
        <w:spacing w:line="590" w:lineRule="exact"/>
        <w:ind w:firstLine="640" w:firstLineChars="200"/>
        <w:rPr>
          <w:szCs w:val="32"/>
        </w:rPr>
      </w:pPr>
      <w:r>
        <w:rPr>
          <w:rFonts w:hint="eastAsia"/>
          <w:szCs w:val="32"/>
        </w:rPr>
        <w:t>农业部《水产养殖质量安全管理规定》</w:t>
      </w:r>
    </w:p>
    <w:p w14:paraId="611AD1A4">
      <w:pPr>
        <w:spacing w:line="590" w:lineRule="exact"/>
        <w:ind w:firstLine="640" w:firstLineChars="200"/>
        <w:rPr>
          <w:szCs w:val="32"/>
        </w:rPr>
      </w:pPr>
      <w:r>
        <w:rPr>
          <w:rFonts w:hint="eastAsia"/>
          <w:szCs w:val="32"/>
        </w:rPr>
        <w:t>《省政府办公厅转发省海洋渔业局关于进一步推进水域滩涂养殖使用权制度建设意见的通知》</w:t>
      </w:r>
    </w:p>
    <w:p w14:paraId="5D2F8244">
      <w:pPr>
        <w:spacing w:line="590" w:lineRule="exact"/>
        <w:ind w:firstLine="640" w:firstLineChars="200"/>
        <w:rPr>
          <w:szCs w:val="32"/>
        </w:rPr>
      </w:pPr>
      <w:r>
        <w:rPr>
          <w:rFonts w:hint="eastAsia"/>
          <w:szCs w:val="32"/>
        </w:rPr>
        <w:t>《江苏省国家级生态保护红线规划》</w:t>
      </w:r>
    </w:p>
    <w:p w14:paraId="7CD196FA">
      <w:pPr>
        <w:spacing w:line="590" w:lineRule="exact"/>
        <w:ind w:firstLine="640" w:firstLineChars="200"/>
        <w:rPr>
          <w:szCs w:val="32"/>
        </w:rPr>
      </w:pPr>
      <w:r>
        <w:rPr>
          <w:rFonts w:hint="eastAsia"/>
          <w:szCs w:val="32"/>
        </w:rPr>
        <w:t>《江苏省渔业管理条例》</w:t>
      </w:r>
    </w:p>
    <w:p w14:paraId="4D068388">
      <w:pPr>
        <w:spacing w:line="590" w:lineRule="exact"/>
        <w:ind w:firstLine="640" w:firstLineChars="200"/>
        <w:rPr>
          <w:szCs w:val="32"/>
        </w:rPr>
      </w:pPr>
      <w:r>
        <w:rPr>
          <w:rFonts w:hint="eastAsia"/>
          <w:szCs w:val="32"/>
        </w:rPr>
        <w:t>《江苏省湿地保护条例》</w:t>
      </w:r>
    </w:p>
    <w:p w14:paraId="1FD13C6A">
      <w:pPr>
        <w:spacing w:line="590" w:lineRule="exact"/>
        <w:ind w:firstLine="640" w:firstLineChars="200"/>
        <w:rPr>
          <w:szCs w:val="32"/>
        </w:rPr>
      </w:pPr>
      <w:r>
        <w:rPr>
          <w:rFonts w:hint="eastAsia"/>
          <w:szCs w:val="32"/>
        </w:rPr>
        <w:t>《江苏省河道管理条例》</w:t>
      </w:r>
    </w:p>
    <w:p w14:paraId="374E7CC1">
      <w:pPr>
        <w:spacing w:line="590" w:lineRule="exact"/>
        <w:ind w:firstLine="640" w:firstLineChars="200"/>
        <w:rPr>
          <w:szCs w:val="32"/>
        </w:rPr>
      </w:pPr>
      <w:r>
        <w:rPr>
          <w:rFonts w:hint="eastAsia"/>
          <w:szCs w:val="32"/>
        </w:rPr>
        <w:t>《江苏省国土空间规划（2021-2035）》</w:t>
      </w:r>
    </w:p>
    <w:p w14:paraId="601B87B1">
      <w:pPr>
        <w:spacing w:line="590" w:lineRule="exact"/>
        <w:ind w:firstLine="640" w:firstLineChars="200"/>
        <w:rPr>
          <w:szCs w:val="32"/>
        </w:rPr>
      </w:pPr>
      <w:r>
        <w:rPr>
          <w:rFonts w:hint="eastAsia"/>
          <w:szCs w:val="32"/>
        </w:rPr>
        <w:t>《江苏省“十四五”渔业发展规划》</w:t>
      </w:r>
    </w:p>
    <w:p w14:paraId="464682FB">
      <w:pPr>
        <w:spacing w:line="590" w:lineRule="exact"/>
        <w:ind w:firstLine="640" w:firstLineChars="200"/>
        <w:rPr>
          <w:szCs w:val="32"/>
        </w:rPr>
      </w:pPr>
      <w:r>
        <w:rPr>
          <w:rFonts w:hint="eastAsia"/>
          <w:szCs w:val="32"/>
        </w:rPr>
        <w:t>《省政府办公厅转发省海洋与渔业局关于进一步推进水域滩涂养殖使用权制度建设意见的通知》</w:t>
      </w:r>
    </w:p>
    <w:p w14:paraId="2F231FF9">
      <w:pPr>
        <w:spacing w:line="590" w:lineRule="exact"/>
        <w:ind w:firstLine="640" w:firstLineChars="200"/>
        <w:rPr>
          <w:szCs w:val="32"/>
        </w:rPr>
      </w:pPr>
      <w:r>
        <w:rPr>
          <w:rFonts w:hint="eastAsia"/>
          <w:szCs w:val="32"/>
        </w:rPr>
        <w:t>《江苏省农业农村厅 关于组织开展养殖水域滩涂规划修编的通知》</w:t>
      </w:r>
    </w:p>
    <w:p w14:paraId="784D9487">
      <w:pPr>
        <w:spacing w:line="590" w:lineRule="exact"/>
        <w:ind w:firstLine="640" w:firstLineChars="200"/>
        <w:rPr>
          <w:szCs w:val="32"/>
        </w:rPr>
      </w:pPr>
      <w:r>
        <w:rPr>
          <w:rFonts w:hint="eastAsia"/>
          <w:szCs w:val="32"/>
        </w:rPr>
        <w:t>《南通市通州区国土空间总体规划（2021-2035年）》</w:t>
      </w:r>
    </w:p>
    <w:p w14:paraId="4E0CEDB8">
      <w:pPr>
        <w:spacing w:line="590" w:lineRule="exact"/>
        <w:ind w:firstLine="640" w:firstLineChars="200"/>
        <w:rPr>
          <w:szCs w:val="32"/>
        </w:rPr>
      </w:pPr>
      <w:r>
        <w:rPr>
          <w:rFonts w:hint="eastAsia"/>
          <w:szCs w:val="32"/>
        </w:rPr>
        <w:t>《南通市通州区国民经济和社会发展第十四个五年规划纲要和2035年远景目标》</w:t>
      </w:r>
    </w:p>
    <w:p w14:paraId="650E0119">
      <w:pPr>
        <w:spacing w:line="590" w:lineRule="exact"/>
        <w:ind w:firstLine="640" w:firstLineChars="200"/>
        <w:rPr>
          <w:szCs w:val="32"/>
        </w:rPr>
      </w:pPr>
      <w:r>
        <w:rPr>
          <w:rFonts w:hint="eastAsia"/>
          <w:szCs w:val="32"/>
        </w:rPr>
        <w:t>《南通市养殖水域滩涂规划（2019-2030年）》</w:t>
      </w:r>
    </w:p>
    <w:p w14:paraId="513ED8B0">
      <w:pPr>
        <w:spacing w:line="590" w:lineRule="exact"/>
        <w:ind w:firstLine="640" w:firstLineChars="200"/>
        <w:rPr>
          <w:szCs w:val="32"/>
        </w:rPr>
      </w:pPr>
      <w:r>
        <w:rPr>
          <w:rFonts w:hint="eastAsia"/>
          <w:szCs w:val="32"/>
        </w:rPr>
        <w:t>《南通市通州区养殖水域滩涂规划（2017-2030年）》</w:t>
      </w:r>
    </w:p>
    <w:p w14:paraId="008BEBF1">
      <w:pPr>
        <w:spacing w:line="590" w:lineRule="exact"/>
        <w:ind w:firstLine="640" w:firstLineChars="200"/>
        <w:rPr>
          <w:szCs w:val="32"/>
        </w:rPr>
      </w:pPr>
      <w:r>
        <w:rPr>
          <w:rFonts w:hint="eastAsia"/>
          <w:szCs w:val="32"/>
        </w:rPr>
        <w:t>《南通市“十四五”港口发展规划》</w:t>
      </w:r>
    </w:p>
    <w:p w14:paraId="57F37DA1">
      <w:pPr>
        <w:spacing w:line="590" w:lineRule="exact"/>
        <w:ind w:firstLine="640" w:firstLineChars="200"/>
        <w:rPr>
          <w:szCs w:val="32"/>
        </w:rPr>
      </w:pPr>
      <w:r>
        <w:rPr>
          <w:rFonts w:hint="eastAsia"/>
          <w:szCs w:val="32"/>
        </w:rPr>
        <w:t>《省政府办公厅关于加快推进渔业高质量发展的意见》</w:t>
      </w:r>
    </w:p>
    <w:p w14:paraId="26950F1E">
      <w:pPr>
        <w:spacing w:line="590" w:lineRule="exact"/>
        <w:ind w:firstLine="640" w:firstLineChars="200"/>
        <w:rPr>
          <w:szCs w:val="32"/>
        </w:rPr>
      </w:pPr>
      <w:r>
        <w:rPr>
          <w:rFonts w:hint="eastAsia"/>
          <w:szCs w:val="32"/>
        </w:rPr>
        <w:t>《南通市“十四五”现代渔业发展规划》</w:t>
      </w:r>
    </w:p>
    <w:p w14:paraId="057006D4">
      <w:pPr>
        <w:spacing w:line="590" w:lineRule="exact"/>
        <w:ind w:firstLine="640" w:firstLineChars="200"/>
        <w:rPr>
          <w:szCs w:val="32"/>
        </w:rPr>
      </w:pPr>
      <w:r>
        <w:rPr>
          <w:rFonts w:hint="eastAsia"/>
          <w:szCs w:val="32"/>
        </w:rPr>
        <w:t>江苏省农业农村厅、生态环境厅《关于开展全省养殖池塘生态化改造实施方案（</w:t>
      </w:r>
      <w:r>
        <w:rPr>
          <w:szCs w:val="32"/>
        </w:rPr>
        <w:t>2019</w:t>
      </w:r>
      <w:r>
        <w:rPr>
          <w:rFonts w:hint="eastAsia"/>
          <w:szCs w:val="32"/>
        </w:rPr>
        <w:t>-</w:t>
      </w:r>
      <w:r>
        <w:rPr>
          <w:szCs w:val="32"/>
        </w:rPr>
        <w:t>2022</w:t>
      </w:r>
      <w:r>
        <w:rPr>
          <w:rFonts w:hint="eastAsia"/>
          <w:szCs w:val="32"/>
        </w:rPr>
        <w:t>年）编制工作的通知》</w:t>
      </w:r>
    </w:p>
    <w:p w14:paraId="31FD0D43">
      <w:pPr>
        <w:spacing w:line="590" w:lineRule="exact"/>
        <w:ind w:firstLine="640" w:firstLineChars="200"/>
        <w:rPr>
          <w:szCs w:val="32"/>
        </w:rPr>
      </w:pPr>
      <w:r>
        <w:rPr>
          <w:rFonts w:hint="eastAsia"/>
          <w:szCs w:val="32"/>
        </w:rPr>
        <w:t>《江苏省水产养殖池塘标准化改造建设规范（试行）》</w:t>
      </w:r>
    </w:p>
    <w:p w14:paraId="106ED170">
      <w:pPr>
        <w:spacing w:line="590" w:lineRule="exact"/>
        <w:ind w:firstLine="640" w:firstLineChars="200"/>
        <w:rPr>
          <w:szCs w:val="32"/>
        </w:rPr>
      </w:pPr>
      <w:r>
        <w:rPr>
          <w:rFonts w:hint="eastAsia"/>
          <w:szCs w:val="32"/>
        </w:rPr>
        <w:t>《南通市政府关于促进现代渔业绿色发展的意见》</w:t>
      </w:r>
    </w:p>
    <w:p w14:paraId="60120D4D">
      <w:pPr>
        <w:spacing w:line="590" w:lineRule="exact"/>
        <w:ind w:firstLine="640" w:firstLineChars="200"/>
        <w:rPr>
          <w:szCs w:val="32"/>
        </w:rPr>
      </w:pPr>
      <w:r>
        <w:rPr>
          <w:rFonts w:hint="eastAsia"/>
          <w:szCs w:val="32"/>
        </w:rPr>
        <w:t>《市政府办公室关于印发南通市池塘养殖尾水污染治理实施方案的通知》</w:t>
      </w:r>
    </w:p>
    <w:p w14:paraId="494621CE">
      <w:pPr>
        <w:spacing w:line="590" w:lineRule="exact"/>
        <w:ind w:firstLine="640" w:firstLineChars="200"/>
        <w:rPr>
          <w:szCs w:val="32"/>
        </w:rPr>
      </w:pPr>
      <w:r>
        <w:rPr>
          <w:rFonts w:hint="eastAsia"/>
          <w:szCs w:val="32"/>
        </w:rPr>
        <w:t>《池塘养殖尾水排放标准》（</w:t>
      </w:r>
      <w:r>
        <w:rPr>
          <w:szCs w:val="32"/>
        </w:rPr>
        <w:t>DB32/ 4043-2021</w:t>
      </w:r>
      <w:r>
        <w:rPr>
          <w:rFonts w:hint="eastAsia"/>
          <w:szCs w:val="32"/>
        </w:rPr>
        <w:t>）</w:t>
      </w:r>
    </w:p>
    <w:p w14:paraId="087A016F">
      <w:pPr>
        <w:keepNext/>
        <w:keepLines/>
        <w:spacing w:line="590" w:lineRule="exact"/>
        <w:outlineLvl w:val="1"/>
        <w:rPr>
          <w:rFonts w:eastAsia="方正黑体_GBK"/>
          <w:szCs w:val="32"/>
        </w:rPr>
      </w:pPr>
      <w:bookmarkStart w:id="4" w:name="_Toc31187"/>
      <w:r>
        <w:rPr>
          <w:rFonts w:hint="eastAsia" w:ascii="方正黑体_GBK" w:eastAsia="方正黑体_GBK"/>
          <w:szCs w:val="32"/>
        </w:rPr>
        <w:t>第三节  目标任务</w:t>
      </w:r>
      <w:bookmarkEnd w:id="4"/>
    </w:p>
    <w:p w14:paraId="2BAF4D6E">
      <w:pPr>
        <w:spacing w:line="590" w:lineRule="exact"/>
        <w:ind w:firstLine="640" w:firstLineChars="200"/>
        <w:rPr>
          <w:szCs w:val="32"/>
        </w:rPr>
      </w:pPr>
      <w:r>
        <w:rPr>
          <w:rFonts w:hint="eastAsia"/>
          <w:szCs w:val="32"/>
        </w:rPr>
        <w:t>【</w:t>
      </w:r>
      <w:r>
        <w:rPr>
          <w:rFonts w:hint="eastAsia"/>
          <w:b/>
          <w:bCs/>
          <w:szCs w:val="32"/>
        </w:rPr>
        <w:t>规划期限</w:t>
      </w:r>
      <w:r>
        <w:rPr>
          <w:rFonts w:hint="eastAsia"/>
          <w:szCs w:val="32"/>
        </w:rPr>
        <w:t>】</w:t>
      </w:r>
    </w:p>
    <w:p w14:paraId="3AB9658D">
      <w:pPr>
        <w:spacing w:line="590" w:lineRule="exact"/>
        <w:ind w:firstLine="640" w:firstLineChars="200"/>
        <w:rPr>
          <w:szCs w:val="32"/>
        </w:rPr>
      </w:pPr>
      <w:r>
        <w:rPr>
          <w:rFonts w:hint="eastAsia"/>
          <w:szCs w:val="32"/>
        </w:rPr>
        <w:t>规划基础年为2024年，规划期限2025-2030年。</w:t>
      </w:r>
    </w:p>
    <w:p w14:paraId="7377990C">
      <w:pPr>
        <w:spacing w:line="590" w:lineRule="exact"/>
        <w:ind w:firstLine="640" w:firstLineChars="200"/>
        <w:rPr>
          <w:szCs w:val="32"/>
        </w:rPr>
      </w:pPr>
      <w:r>
        <w:rPr>
          <w:rFonts w:hint="eastAsia"/>
          <w:szCs w:val="32"/>
        </w:rPr>
        <w:t>【</w:t>
      </w:r>
      <w:r>
        <w:rPr>
          <w:rFonts w:hint="eastAsia"/>
          <w:b/>
          <w:bCs/>
          <w:szCs w:val="32"/>
        </w:rPr>
        <w:t>规划目标</w:t>
      </w:r>
      <w:r>
        <w:rPr>
          <w:rFonts w:hint="eastAsia"/>
          <w:szCs w:val="32"/>
        </w:rPr>
        <w:t>】</w:t>
      </w:r>
    </w:p>
    <w:p w14:paraId="3182207D">
      <w:pPr>
        <w:spacing w:line="590" w:lineRule="exact"/>
        <w:ind w:firstLine="640" w:firstLineChars="200"/>
        <w:rPr>
          <w:szCs w:val="32"/>
        </w:rPr>
      </w:pPr>
      <w:r>
        <w:rPr>
          <w:rFonts w:hint="eastAsia"/>
          <w:szCs w:val="32"/>
        </w:rPr>
        <w:t>通过科学规划、合理布局，进一步明确养殖水域功能区域范围，进一步健全养殖业管理制度，采用先进养殖技术，实施标准化健康养殖和高效、生态养殖，稳定水产养殖规模和产量，保障水产品安全和有效供给，提高养殖水产品质量安全保障水平。</w:t>
      </w:r>
    </w:p>
    <w:p w14:paraId="7CFB399E">
      <w:pPr>
        <w:spacing w:line="590" w:lineRule="exact"/>
        <w:ind w:firstLine="640" w:firstLineChars="200"/>
        <w:rPr>
          <w:szCs w:val="32"/>
        </w:rPr>
      </w:pPr>
      <w:r>
        <w:rPr>
          <w:rFonts w:hint="eastAsia"/>
          <w:szCs w:val="32"/>
        </w:rPr>
        <w:t>修编后，全区养殖水域滩涂规划面积80174.4亩，其中禁止养殖区63188.1亩，限制养殖区面积9564.6亩，养殖区面积7421.7亩。</w:t>
      </w:r>
    </w:p>
    <w:p w14:paraId="786C9D9A">
      <w:pPr>
        <w:spacing w:line="590" w:lineRule="exact"/>
        <w:ind w:firstLine="640" w:firstLineChars="200"/>
        <w:rPr>
          <w:szCs w:val="32"/>
        </w:rPr>
      </w:pPr>
      <w:r>
        <w:rPr>
          <w:rFonts w:hint="eastAsia"/>
          <w:szCs w:val="32"/>
        </w:rPr>
        <w:t>【</w:t>
      </w:r>
      <w:r>
        <w:rPr>
          <w:rFonts w:hint="eastAsia"/>
          <w:b/>
          <w:bCs/>
          <w:szCs w:val="32"/>
        </w:rPr>
        <w:t>重点任务</w:t>
      </w:r>
      <w:r>
        <w:rPr>
          <w:rFonts w:hint="eastAsia"/>
          <w:szCs w:val="32"/>
        </w:rPr>
        <w:t>】</w:t>
      </w:r>
    </w:p>
    <w:p w14:paraId="44413068">
      <w:pPr>
        <w:spacing w:line="590" w:lineRule="exact"/>
        <w:ind w:firstLine="640" w:firstLineChars="200"/>
        <w:rPr>
          <w:szCs w:val="32"/>
        </w:rPr>
      </w:pPr>
      <w:r>
        <w:rPr>
          <w:rFonts w:hint="eastAsia"/>
          <w:szCs w:val="32"/>
        </w:rPr>
        <w:t>1.科学确定全区养殖水域滩涂基本功能区划，依照相关规定和要求，依据水域滩涂不同性质和功能定位，根据农业部《养殖水域滩涂规划编制规范》关于禁止养殖区、限制养殖区和养殖区划分标准和要求，合理划分全区养殖水域滩涂功能区。</w:t>
      </w:r>
    </w:p>
    <w:p w14:paraId="22D05B68">
      <w:pPr>
        <w:spacing w:line="590" w:lineRule="exact"/>
        <w:ind w:firstLine="640" w:firstLineChars="200"/>
        <w:rPr>
          <w:szCs w:val="32"/>
        </w:rPr>
      </w:pPr>
      <w:r>
        <w:rPr>
          <w:rFonts w:hint="eastAsia"/>
          <w:szCs w:val="32"/>
        </w:rPr>
        <w:t>2.明确各类养殖规划区管理措施，对不同类型规划区域实行分类管理，保护水域滩涂资源和生态环境，提高水产养殖效益和农民收入，促进水产养殖高质量绿色发展。</w:t>
      </w:r>
    </w:p>
    <w:p w14:paraId="0B08DC22">
      <w:pPr>
        <w:spacing w:line="590" w:lineRule="exact"/>
        <w:ind w:firstLine="640" w:firstLineChars="200"/>
        <w:rPr>
          <w:szCs w:val="32"/>
        </w:rPr>
      </w:pPr>
      <w:r>
        <w:rPr>
          <w:rFonts w:hint="eastAsia"/>
          <w:szCs w:val="32"/>
        </w:rPr>
        <w:t>3.以规划为依据，依法保护养殖者合法权益，保障水产品质量安全，促进水产养殖与社会经济全面、协调发展。</w:t>
      </w:r>
    </w:p>
    <w:p w14:paraId="1B154862">
      <w:pPr>
        <w:keepNext/>
        <w:keepLines/>
        <w:spacing w:line="590" w:lineRule="exact"/>
        <w:outlineLvl w:val="1"/>
        <w:rPr>
          <w:rFonts w:ascii="黑体" w:hAnsi="黑体" w:eastAsia="黑体" w:cs="黑体"/>
          <w:bCs/>
          <w:color w:val="000000"/>
          <w:szCs w:val="32"/>
        </w:rPr>
      </w:pPr>
      <w:bookmarkStart w:id="5" w:name="_Toc15901"/>
      <w:r>
        <w:rPr>
          <w:rFonts w:hint="eastAsia" w:ascii="方正黑体_GBK" w:eastAsia="方正黑体_GBK"/>
          <w:szCs w:val="32"/>
        </w:rPr>
        <w:t>第四节  指导思想和基本原则</w:t>
      </w:r>
      <w:bookmarkEnd w:id="5"/>
    </w:p>
    <w:p w14:paraId="47CBF3A5">
      <w:pPr>
        <w:spacing w:line="590" w:lineRule="exact"/>
        <w:ind w:firstLine="640" w:firstLineChars="200"/>
        <w:rPr>
          <w:szCs w:val="32"/>
        </w:rPr>
      </w:pPr>
      <w:r>
        <w:rPr>
          <w:rFonts w:hint="eastAsia"/>
          <w:szCs w:val="32"/>
        </w:rPr>
        <w:t>【</w:t>
      </w:r>
      <w:r>
        <w:rPr>
          <w:rFonts w:hint="eastAsia"/>
          <w:b/>
          <w:bCs/>
          <w:szCs w:val="32"/>
        </w:rPr>
        <w:t>指导思想</w:t>
      </w:r>
      <w:r>
        <w:rPr>
          <w:rFonts w:hint="eastAsia"/>
          <w:szCs w:val="32"/>
        </w:rPr>
        <w:t>】</w:t>
      </w:r>
    </w:p>
    <w:p w14:paraId="30473B8F">
      <w:pPr>
        <w:spacing w:line="590" w:lineRule="exact"/>
        <w:ind w:firstLine="640" w:firstLineChars="200"/>
        <w:rPr>
          <w:szCs w:val="32"/>
        </w:rPr>
      </w:pPr>
      <w:r>
        <w:rPr>
          <w:rFonts w:hint="eastAsia"/>
          <w:szCs w:val="32"/>
        </w:rPr>
        <w:t>以习近平新时代中国特色社会主义思想和党的二十大精神为指导，以创新、协调、绿色、开放、共享的新发展理念为引领，立足新发展阶段，完整、准确、全面贯彻新发展理念，服务构建新发展格局，紧紧围绕乡村振兴战略实施，以加强对水产养殖业有效管理和保障养殖者合法权益为宗旨，综合协调陆海统筹发展各方面关系、渔业结构战略性调整和养殖水域滩涂可持续利用的需要，本着养殖环境友好、生态文明的发展思路，对养殖水域滩涂进行科学规划，合理开发利用养殖水域滩涂资源，提高养殖水域滩涂利用效率，保护养殖水域滩涂生态环境，促进水产养殖业全面、协调、可持续发展，提高养殖水产品稳产保供能力，促进农民增收致富。</w:t>
      </w:r>
    </w:p>
    <w:p w14:paraId="67EA003F">
      <w:pPr>
        <w:spacing w:line="590" w:lineRule="exact"/>
        <w:ind w:firstLine="640" w:firstLineChars="200"/>
        <w:rPr>
          <w:szCs w:val="32"/>
        </w:rPr>
      </w:pPr>
      <w:r>
        <w:rPr>
          <w:rFonts w:hint="eastAsia"/>
          <w:szCs w:val="32"/>
        </w:rPr>
        <w:t>【</w:t>
      </w:r>
      <w:r>
        <w:rPr>
          <w:rFonts w:hint="eastAsia"/>
          <w:b/>
          <w:bCs/>
          <w:szCs w:val="32"/>
        </w:rPr>
        <w:t>基本原则</w:t>
      </w:r>
      <w:r>
        <w:rPr>
          <w:rFonts w:hint="eastAsia"/>
          <w:szCs w:val="32"/>
        </w:rPr>
        <w:t>】</w:t>
      </w:r>
    </w:p>
    <w:p w14:paraId="2828BF57">
      <w:pPr>
        <w:spacing w:line="590" w:lineRule="exact"/>
        <w:ind w:firstLine="640" w:firstLineChars="200"/>
        <w:rPr>
          <w:szCs w:val="32"/>
        </w:rPr>
      </w:pPr>
      <w:r>
        <w:rPr>
          <w:rFonts w:hint="eastAsia"/>
          <w:szCs w:val="32"/>
        </w:rPr>
        <w:t>——坚持科学规划、因地制宜的原则。根据全区水域滩涂承载力评价结果和水产养殖产业发展需求，形成本区域养殖水域滩涂开发利用和保护的总体思路，合理布局水产养殖生产，完善本区域养殖水域滩涂使用管理的具体措施，科学编制规划。</w:t>
      </w:r>
    </w:p>
    <w:p w14:paraId="57CF10C2">
      <w:pPr>
        <w:spacing w:line="590" w:lineRule="exact"/>
        <w:ind w:firstLine="640" w:firstLineChars="200"/>
        <w:rPr>
          <w:szCs w:val="32"/>
        </w:rPr>
      </w:pPr>
      <w:r>
        <w:rPr>
          <w:rFonts w:hint="eastAsia"/>
          <w:szCs w:val="32"/>
        </w:rPr>
        <w:t>——坚持生态优先、底线约束的原则。坚持走生产发展、生活富裕、生态良好的文明发展道路，科学开展水域滩涂利用评价，保护水域滩涂生态环境，合理安排产业发展空间。将饮用水水源地、自然保护区等重要生态保护或公共安全“红线”和“黄线”区域作为禁止或限制养殖区，设定发展底线。</w:t>
      </w:r>
    </w:p>
    <w:p w14:paraId="5A481117">
      <w:pPr>
        <w:spacing w:line="590" w:lineRule="exact"/>
        <w:ind w:firstLine="640" w:firstLineChars="200"/>
        <w:rPr>
          <w:szCs w:val="32"/>
        </w:rPr>
      </w:pPr>
      <w:r>
        <w:rPr>
          <w:rFonts w:hint="eastAsia"/>
          <w:szCs w:val="32"/>
        </w:rPr>
        <w:t>——坚持合理布局、转调结合的原则。稳定淡水池塘养殖，发展生态养殖，支持设施养殖向工厂化循环水方向发展，实现养殖水域滩涂的整体规划、合理储备、有序利用、协调发展。</w:t>
      </w:r>
    </w:p>
    <w:p w14:paraId="30C6E8F6">
      <w:pPr>
        <w:spacing w:line="590" w:lineRule="exact"/>
        <w:ind w:firstLine="640" w:firstLineChars="200"/>
        <w:rPr>
          <w:szCs w:val="32"/>
        </w:rPr>
      </w:pPr>
      <w:r>
        <w:rPr>
          <w:rFonts w:hint="eastAsia"/>
          <w:szCs w:val="32"/>
        </w:rPr>
        <w:t>——坚持总体协调、横向衔接的原则。将《规划》放在全区区域整体空间布局的框架下考虑，将《规划》编制与《南通市通州区国土空间总体规划（2021-2035年）》等相协调，同时注重与城市、交通、港口、旅游、环保等其他相关专项规划相衔接，互相促进，避免交叉和矛盾，推动区域经济协调发展。</w:t>
      </w:r>
    </w:p>
    <w:p w14:paraId="2B9B9247">
      <w:pPr>
        <w:spacing w:line="590" w:lineRule="exact"/>
        <w:ind w:firstLine="640" w:firstLineChars="200"/>
        <w:rPr>
          <w:szCs w:val="32"/>
        </w:rPr>
      </w:pPr>
      <w:r>
        <w:rPr>
          <w:rFonts w:hint="eastAsia"/>
          <w:szCs w:val="32"/>
        </w:rPr>
        <w:t>——坚持尊重历史与照顾现实的原则。在充分调研的基础上，尊重养殖户的生产自主权和经营决策权。既正视渔民养殖的历史现实，又兼顾现代渔业发展要求，处理好水产养殖与其他产业的关系，积极引导，循序渐进，分步骤、分阶段实施。</w:t>
      </w:r>
      <w:bookmarkStart w:id="6" w:name="_Toc11403"/>
    </w:p>
    <w:p w14:paraId="5EEAD417">
      <w:pPr>
        <w:spacing w:line="590" w:lineRule="exact"/>
        <w:ind w:firstLine="640" w:firstLineChars="200"/>
        <w:rPr>
          <w:rFonts w:ascii="方正黑体_GBK" w:eastAsia="方正黑体_GBK"/>
          <w:szCs w:val="32"/>
        </w:rPr>
      </w:pPr>
      <w:r>
        <w:rPr>
          <w:rFonts w:hint="eastAsia" w:ascii="方正黑体_GBK" w:eastAsia="方正黑体_GBK"/>
          <w:szCs w:val="32"/>
        </w:rPr>
        <w:t>第五节  规划范围</w:t>
      </w:r>
      <w:bookmarkEnd w:id="6"/>
    </w:p>
    <w:p w14:paraId="6BF6F1AF">
      <w:pPr>
        <w:spacing w:line="590" w:lineRule="exact"/>
        <w:ind w:firstLine="640" w:firstLineChars="200"/>
        <w:rPr>
          <w:szCs w:val="32"/>
        </w:rPr>
      </w:pPr>
      <w:r>
        <w:rPr>
          <w:rFonts w:hint="eastAsia"/>
          <w:szCs w:val="32"/>
        </w:rPr>
        <w:t>规划范围包括全区全部水域中已经进行水产养殖开发利用的区域，以及目前尚未开发利用，但适宜于水产养殖发展、连片20亩以上的区域。</w:t>
      </w:r>
    </w:p>
    <w:p w14:paraId="2D983BB4">
      <w:pPr>
        <w:spacing w:line="590" w:lineRule="exact"/>
        <w:ind w:firstLine="640" w:firstLineChars="200"/>
        <w:rPr>
          <w:szCs w:val="32"/>
        </w:rPr>
      </w:pPr>
      <w:r>
        <w:rPr>
          <w:rFonts w:hint="eastAsia"/>
          <w:szCs w:val="32"/>
        </w:rPr>
        <w:t>规划范围不包括全区行政区域范围内由江苏通州湾江海联动开发示范区和苏锡通园区代管的区域。</w:t>
      </w:r>
    </w:p>
    <w:p w14:paraId="407F2724">
      <w:pPr>
        <w:tabs>
          <w:tab w:val="center" w:pos="4535"/>
          <w:tab w:val="left" w:pos="6930"/>
        </w:tabs>
        <w:autoSpaceDE/>
        <w:autoSpaceDN/>
        <w:spacing w:line="590" w:lineRule="exact"/>
        <w:ind w:firstLine="600" w:firstLineChars="200"/>
        <w:jc w:val="left"/>
        <w:rPr>
          <w:rFonts w:ascii="仿宋_GB2312" w:hAnsi="宋体" w:eastAsia="仿宋_GB2312"/>
          <w:snapToGrid/>
          <w:color w:val="000000"/>
          <w:kern w:val="2"/>
          <w:sz w:val="30"/>
          <w:szCs w:val="30"/>
        </w:rPr>
      </w:pPr>
    </w:p>
    <w:p w14:paraId="61CCDE51">
      <w:pPr>
        <w:pStyle w:val="3"/>
        <w:spacing w:line="590" w:lineRule="exact"/>
        <w:ind w:firstLine="0"/>
        <w:jc w:val="center"/>
        <w:rPr>
          <w:rFonts w:ascii="方正黑体_GBK" w:hAnsi="方正黑体_GBK" w:eastAsia="方正黑体_GBK" w:cs="方正黑体_GBK"/>
          <w:kern w:val="0"/>
          <w:szCs w:val="44"/>
        </w:rPr>
      </w:pPr>
      <w:bookmarkStart w:id="7" w:name="_Toc28430"/>
      <w:r>
        <w:rPr>
          <w:rFonts w:hint="eastAsia" w:ascii="方正黑体_GBK" w:hAnsi="方正黑体_GBK" w:eastAsia="方正黑体_GBK" w:cs="方正黑体_GBK"/>
          <w:kern w:val="0"/>
          <w:szCs w:val="44"/>
        </w:rPr>
        <w:t>第二章  养殖水域滩涂利用评价</w:t>
      </w:r>
      <w:bookmarkEnd w:id="7"/>
    </w:p>
    <w:p w14:paraId="353D9A69">
      <w:pPr>
        <w:keepNext/>
        <w:keepLines/>
        <w:spacing w:beforeLines="50" w:line="590" w:lineRule="exact"/>
        <w:ind w:firstLine="640" w:firstLineChars="200"/>
        <w:outlineLvl w:val="1"/>
        <w:rPr>
          <w:rFonts w:ascii="黑体" w:hAnsi="黑体" w:eastAsia="黑体" w:cs="黑体"/>
          <w:bCs/>
          <w:color w:val="000000"/>
          <w:szCs w:val="32"/>
        </w:rPr>
      </w:pPr>
      <w:bookmarkStart w:id="8" w:name="_Toc32531"/>
      <w:r>
        <w:rPr>
          <w:rFonts w:ascii="黑体" w:hAnsi="黑体" w:eastAsia="黑体" w:cs="黑体"/>
          <w:bCs/>
          <w:color w:val="000000"/>
          <w:szCs w:val="32"/>
        </w:rPr>
        <w:t>第六节水域滩涂承载力分析</w:t>
      </w:r>
      <w:bookmarkEnd w:id="8"/>
    </w:p>
    <w:p w14:paraId="43130FC1">
      <w:pPr>
        <w:widowControl/>
        <w:spacing w:line="590" w:lineRule="exact"/>
        <w:ind w:firstLineChars="200"/>
        <w:rPr>
          <w:rFonts w:ascii="楷体_GB2312" w:hAnsi="楷体_GB2312" w:eastAsia="楷体_GB2312" w:cs="楷体_GB2312"/>
          <w:color w:val="000000"/>
          <w:spacing w:val="-4"/>
          <w:kern w:val="2"/>
          <w:szCs w:val="32"/>
        </w:rPr>
      </w:pPr>
      <w:r>
        <w:rPr>
          <w:rFonts w:hint="eastAsia" w:ascii="楷体_GB2312" w:hAnsi="楷体_GB2312" w:eastAsia="楷体_GB2312" w:cs="楷体_GB2312"/>
          <w:color w:val="000000"/>
          <w:spacing w:val="-4"/>
          <w:kern w:val="2"/>
          <w:szCs w:val="32"/>
        </w:rPr>
        <w:t>第一条  水域滩涂资源状况</w:t>
      </w:r>
    </w:p>
    <w:p w14:paraId="75EDAAF8">
      <w:pPr>
        <w:spacing w:line="590" w:lineRule="exact"/>
        <w:ind w:firstLine="640" w:firstLineChars="200"/>
        <w:rPr>
          <w:szCs w:val="32"/>
        </w:rPr>
      </w:pPr>
      <w:r>
        <w:rPr>
          <w:rFonts w:hint="eastAsia"/>
          <w:szCs w:val="32"/>
        </w:rPr>
        <w:t>【</w:t>
      </w:r>
      <w:r>
        <w:rPr>
          <w:rFonts w:hint="eastAsia"/>
          <w:b/>
          <w:bCs/>
          <w:szCs w:val="32"/>
        </w:rPr>
        <w:t>地理位置</w:t>
      </w:r>
      <w:r>
        <w:rPr>
          <w:rFonts w:hint="eastAsia"/>
          <w:szCs w:val="32"/>
        </w:rPr>
        <w:t>】</w:t>
      </w:r>
    </w:p>
    <w:p w14:paraId="3850AA84">
      <w:pPr>
        <w:pStyle w:val="2"/>
      </w:pPr>
      <w:r>
        <w:rPr>
          <w:rFonts w:hint="eastAsia"/>
        </w:rPr>
        <w:t>通州区是江苏省南通市市辖区，地处长江三角洲北翼，东临黄海、西濒长江，西南接崇川区、东南邻海门区，北连如东县、西北靠如皋市。全区（不含三余镇）总面积约 1193.95 km</w:t>
      </w:r>
      <w:r>
        <w:rPr>
          <w:rFonts w:hint="eastAsia"/>
          <w:vertAlign w:val="superscript"/>
        </w:rPr>
        <w:t>2</w:t>
      </w:r>
      <w:r>
        <w:rPr>
          <w:rFonts w:hint="eastAsia"/>
        </w:rPr>
        <w:t>，2024 年末常住人口约 118 万人，城镇化率 67.06%。</w:t>
      </w:r>
    </w:p>
    <w:p w14:paraId="29275D7A">
      <w:pPr>
        <w:spacing w:line="590" w:lineRule="exact"/>
        <w:ind w:firstLine="640" w:firstLineChars="200"/>
        <w:rPr>
          <w:szCs w:val="32"/>
        </w:rPr>
      </w:pPr>
      <w:r>
        <w:rPr>
          <w:rFonts w:hint="eastAsia"/>
          <w:szCs w:val="32"/>
        </w:rPr>
        <w:t>南通市通州区境内地势平坦，沟河纵横。全区实际管辖范围内</w:t>
      </w:r>
      <w:r>
        <w:rPr>
          <w:szCs w:val="32"/>
        </w:rPr>
        <w:t>江岸线长10.77</w:t>
      </w:r>
      <w:r>
        <w:rPr>
          <w:rFonts w:hint="eastAsia"/>
          <w:szCs w:val="32"/>
        </w:rPr>
        <w:t>km，有市级河道6条，长度122km；县级河道22条，长度228km；镇级河道172条，长度679km；村级河道843条，长度1570km。区域</w:t>
      </w:r>
      <w:r>
        <w:rPr>
          <w:szCs w:val="32"/>
        </w:rPr>
        <w:t>总面积1193.95</w:t>
      </w:r>
      <w:r>
        <w:rPr>
          <w:rFonts w:hint="eastAsia"/>
          <w:spacing w:val="-11"/>
          <w:szCs w:val="32"/>
        </w:rPr>
        <w:t>km</w:t>
      </w:r>
      <w:r>
        <w:rPr>
          <w:rFonts w:hint="eastAsia"/>
          <w:szCs w:val="32"/>
        </w:rPr>
        <w:t>。通州区下辖12个镇、4个街道</w:t>
      </w:r>
      <w:r>
        <w:rPr>
          <w:szCs w:val="32"/>
        </w:rPr>
        <w:t>：金沙街道、兴东街道、先锋街道、金新街道、西亭镇、二甲镇、东社镇、十总镇、石港镇、刘桥镇、平潮镇、五接镇、兴仁镇、张芝山镇、川姜镇</w:t>
      </w:r>
      <w:r>
        <w:rPr>
          <w:rFonts w:hint="eastAsia"/>
          <w:szCs w:val="32"/>
        </w:rPr>
        <w:t>、</w:t>
      </w:r>
      <w:r>
        <w:rPr>
          <w:szCs w:val="32"/>
        </w:rPr>
        <w:t>三余镇</w:t>
      </w:r>
      <w:r>
        <w:rPr>
          <w:rFonts w:hint="eastAsia"/>
          <w:szCs w:val="32"/>
        </w:rPr>
        <w:t>。其中三余镇由通州湾示范区代管。</w:t>
      </w:r>
    </w:p>
    <w:p w14:paraId="2014ACF1">
      <w:pPr>
        <w:spacing w:line="590" w:lineRule="exact"/>
        <w:ind w:firstLine="640" w:firstLineChars="200"/>
        <w:rPr>
          <w:rFonts w:eastAsia="方正仿宋_GB2312"/>
          <w:szCs w:val="32"/>
        </w:rPr>
      </w:pPr>
      <w:r>
        <w:rPr>
          <w:rFonts w:hint="eastAsia" w:eastAsia="方正仿宋_GB2312"/>
          <w:szCs w:val="32"/>
        </w:rPr>
        <w:t>【</w:t>
      </w:r>
      <w:r>
        <w:rPr>
          <w:rFonts w:hint="eastAsia" w:eastAsia="方正仿宋_GB2312"/>
          <w:b/>
          <w:bCs/>
          <w:szCs w:val="32"/>
        </w:rPr>
        <w:t>地形地貌</w:t>
      </w:r>
      <w:r>
        <w:rPr>
          <w:rFonts w:hint="eastAsia" w:eastAsia="方正仿宋_GB2312"/>
          <w:szCs w:val="32"/>
        </w:rPr>
        <w:t xml:space="preserve">】 </w:t>
      </w:r>
    </w:p>
    <w:p w14:paraId="3C952E2F">
      <w:pPr>
        <w:spacing w:line="590" w:lineRule="exact"/>
        <w:ind w:firstLine="640" w:firstLineChars="200"/>
        <w:rPr>
          <w:szCs w:val="32"/>
        </w:rPr>
      </w:pPr>
      <w:bookmarkStart w:id="9" w:name="para3"/>
      <w:bookmarkEnd w:id="9"/>
      <w:r>
        <w:rPr>
          <w:szCs w:val="32"/>
        </w:rPr>
        <w:t>南通市通州区（不含三余镇）地处长江三角洲北翼，属典型的长江三角洲冲积平原，全境地势平坦开阔，整体地形适配农业生产与城市发展。地势呈现明显的西北高、东南低走势，由西北向东南微倾，高程差异平缓。北部区域高程约3.8</w:t>
      </w:r>
      <w:r>
        <w:rPr>
          <w:rFonts w:hint="eastAsia"/>
          <w:szCs w:val="32"/>
        </w:rPr>
        <w:t>-</w:t>
      </w:r>
      <w:r>
        <w:rPr>
          <w:szCs w:val="32"/>
        </w:rPr>
        <w:t>4.2</w:t>
      </w:r>
      <w:r>
        <w:rPr>
          <w:rFonts w:hint="eastAsia"/>
          <w:szCs w:val="32"/>
        </w:rPr>
        <w:t>m</w:t>
      </w:r>
      <w:r>
        <w:rPr>
          <w:szCs w:val="32"/>
        </w:rPr>
        <w:t>，南部沿江沙田地带高程约3.0</w:t>
      </w:r>
      <w:r>
        <w:rPr>
          <w:rFonts w:hint="eastAsia"/>
          <w:szCs w:val="32"/>
        </w:rPr>
        <w:t>-</w:t>
      </w:r>
      <w:r>
        <w:rPr>
          <w:szCs w:val="32"/>
        </w:rPr>
        <w:t>3.6</w:t>
      </w:r>
      <w:r>
        <w:rPr>
          <w:rFonts w:hint="eastAsia"/>
          <w:szCs w:val="32"/>
        </w:rPr>
        <w:t>m</w:t>
      </w:r>
      <w:r>
        <w:rPr>
          <w:szCs w:val="32"/>
        </w:rPr>
        <w:t>，沿江圩田区地势最低，高程仅2.2</w:t>
      </w:r>
      <w:r>
        <w:rPr>
          <w:rFonts w:hint="eastAsia"/>
          <w:szCs w:val="32"/>
        </w:rPr>
        <w:t>-</w:t>
      </w:r>
      <w:r>
        <w:rPr>
          <w:szCs w:val="32"/>
        </w:rPr>
        <w:t>2.8</w:t>
      </w:r>
      <w:r>
        <w:rPr>
          <w:rFonts w:hint="eastAsia"/>
          <w:szCs w:val="32"/>
        </w:rPr>
        <w:t>m</w:t>
      </w:r>
      <w:r>
        <w:rPr>
          <w:szCs w:val="32"/>
        </w:rPr>
        <w:t>。</w:t>
      </w:r>
    </w:p>
    <w:p w14:paraId="42BDAE40">
      <w:pPr>
        <w:spacing w:line="590" w:lineRule="exact"/>
        <w:ind w:firstLine="640" w:firstLineChars="200"/>
        <w:rPr>
          <w:szCs w:val="32"/>
        </w:rPr>
      </w:pPr>
      <w:r>
        <w:rPr>
          <w:szCs w:val="32"/>
        </w:rPr>
        <w:t>区域地质由长江与黄海泥沙长期沉积形成，第四纪土层深厚，约达300</w:t>
      </w:r>
      <w:r>
        <w:rPr>
          <w:rFonts w:hint="eastAsia"/>
          <w:szCs w:val="32"/>
        </w:rPr>
        <w:t>m</w:t>
      </w:r>
      <w:r>
        <w:rPr>
          <w:szCs w:val="32"/>
        </w:rPr>
        <w:t>，地质构造稳定，耕层深厚且土质肥沃。土壤以冲积土为主，受长江与黄海泥沙沉积影响，形成了以潮土、水稻土为主的土壤类型，土层疏松透气，保水保肥能力较强。其中潮土主要分布于北部地势稍高区域，土质疏松，适宜种植旱作作物；水稻土集中在南部沿江、圩田低洼区域，经长期耕作改良，土壤肥力充沛，适配水稻等水生作物生长。境内水网密布、河流交织，属江南水乡地貌，西部长江水域中还分布有开沙岛等江心沙洲，整体呈现出“平、沃、水密”的地貌特点。</w:t>
      </w:r>
    </w:p>
    <w:p w14:paraId="5FB2EA3F">
      <w:pPr>
        <w:spacing w:line="590" w:lineRule="exact"/>
        <w:ind w:firstLine="643" w:firstLineChars="200"/>
        <w:rPr>
          <w:szCs w:val="32"/>
        </w:rPr>
      </w:pPr>
      <w:r>
        <w:rPr>
          <w:rFonts w:hint="eastAsia"/>
          <w:b/>
          <w:bCs/>
          <w:szCs w:val="32"/>
        </w:rPr>
        <w:t>【水域滩涂类型】</w:t>
      </w:r>
    </w:p>
    <w:p w14:paraId="58656E26">
      <w:pPr>
        <w:spacing w:line="590" w:lineRule="exact"/>
        <w:ind w:firstLine="640" w:firstLineChars="200"/>
        <w:rPr>
          <w:szCs w:val="32"/>
        </w:rPr>
      </w:pPr>
      <w:r>
        <w:rPr>
          <w:rFonts w:hint="eastAsia"/>
          <w:szCs w:val="32"/>
        </w:rPr>
        <w:t>全区管辖的水域滩涂主要包括长江、内陆河道和池塘。适宜水产养殖的水域主要为内陆池塘。长江和河道因主体功能和其他原因不适宜进行商品化养殖。</w:t>
      </w:r>
    </w:p>
    <w:p w14:paraId="5FE6D596">
      <w:pPr>
        <w:widowControl/>
        <w:spacing w:line="590" w:lineRule="exact"/>
        <w:ind w:firstLineChars="200"/>
        <w:jc w:val="left"/>
        <w:rPr>
          <w:rFonts w:ascii="楷体_GB2312" w:hAnsi="楷体_GB2312" w:eastAsia="楷体_GB2312" w:cs="楷体_GB2312"/>
          <w:color w:val="000000"/>
          <w:spacing w:val="-4"/>
          <w:kern w:val="2"/>
          <w:szCs w:val="32"/>
        </w:rPr>
      </w:pPr>
      <w:r>
        <w:rPr>
          <w:rFonts w:ascii="楷体_GB2312" w:hAnsi="楷体_GB2312" w:eastAsia="楷体_GB2312" w:cs="楷体_GB2312"/>
          <w:color w:val="000000"/>
          <w:spacing w:val="-4"/>
          <w:kern w:val="2"/>
          <w:szCs w:val="32"/>
        </w:rPr>
        <w:t>第二条自然气候条件</w:t>
      </w:r>
    </w:p>
    <w:p w14:paraId="763C73BC">
      <w:pPr>
        <w:spacing w:line="590" w:lineRule="exact"/>
        <w:rPr>
          <w:szCs w:val="32"/>
        </w:rPr>
      </w:pPr>
      <w:r>
        <w:rPr>
          <w:rFonts w:hint="eastAsia"/>
          <w:szCs w:val="32"/>
        </w:rPr>
        <w:t>【</w:t>
      </w:r>
      <w:r>
        <w:rPr>
          <w:rFonts w:hint="eastAsia"/>
          <w:b/>
          <w:bCs/>
          <w:szCs w:val="32"/>
        </w:rPr>
        <w:t>水文</w:t>
      </w:r>
      <w:r>
        <w:rPr>
          <w:rFonts w:hint="eastAsia"/>
          <w:szCs w:val="32"/>
        </w:rPr>
        <w:t>】</w:t>
      </w:r>
    </w:p>
    <w:p w14:paraId="28AA8AA3">
      <w:pPr>
        <w:spacing w:line="590" w:lineRule="exact"/>
        <w:ind w:firstLine="640" w:firstLineChars="200"/>
        <w:rPr>
          <w:szCs w:val="32"/>
        </w:rPr>
      </w:pPr>
      <w:r>
        <w:rPr>
          <w:rFonts w:hint="eastAsia"/>
          <w:szCs w:val="32"/>
        </w:rPr>
        <w:t>通州区长江江面较开阔，水流方向基本与岸线平行，流速一般在1m/s左右，最大时可超过3m/s。一般浪高不足1m。</w:t>
      </w:r>
    </w:p>
    <w:p w14:paraId="7B53EBC9">
      <w:pPr>
        <w:spacing w:line="590" w:lineRule="exact"/>
        <w:ind w:firstLine="640" w:firstLineChars="200"/>
        <w:rPr>
          <w:szCs w:val="32"/>
        </w:rPr>
      </w:pPr>
      <w:r>
        <w:rPr>
          <w:rFonts w:hint="eastAsia"/>
          <w:szCs w:val="32"/>
        </w:rPr>
        <w:t>1.径流</w:t>
      </w:r>
    </w:p>
    <w:p w14:paraId="5F0F5464">
      <w:pPr>
        <w:spacing w:line="590" w:lineRule="exact"/>
        <w:ind w:firstLine="640" w:firstLineChars="200"/>
        <w:rPr>
          <w:szCs w:val="32"/>
        </w:rPr>
      </w:pPr>
      <w:r>
        <w:rPr>
          <w:rFonts w:hint="eastAsia"/>
          <w:szCs w:val="32"/>
        </w:rPr>
        <w:t>长江下游大通水文站距通州境内的长江河段约400km，其区间流域面积很小，故大通站的径流资料可代表本河段的径流。历年最大洪峰流量92600m/s（1954年8月1日），历年最小枯水流量4620m/s（1979年1月3日），多年平均流量28520m/s，多年平均径流量8940亿m</w:t>
      </w:r>
      <w:r>
        <w:rPr>
          <w:rFonts w:hint="eastAsia"/>
          <w:szCs w:val="32"/>
          <w:vertAlign w:val="superscript"/>
        </w:rPr>
        <w:t>3</w:t>
      </w:r>
      <w:r>
        <w:rPr>
          <w:rFonts w:hint="eastAsia"/>
          <w:szCs w:val="32"/>
        </w:rPr>
        <w:t>，多年平均输沙率14410kg/s，多年平均含沙量0.52kg/ m</w:t>
      </w:r>
      <w:r>
        <w:rPr>
          <w:rFonts w:hint="eastAsia"/>
          <w:szCs w:val="32"/>
          <w:vertAlign w:val="superscript"/>
        </w:rPr>
        <w:t>3</w:t>
      </w:r>
      <w:r>
        <w:rPr>
          <w:rFonts w:hint="eastAsia"/>
          <w:szCs w:val="32"/>
        </w:rPr>
        <w:t>，多年平均年输沙量4.3亿吨。</w:t>
      </w:r>
    </w:p>
    <w:p w14:paraId="74615799">
      <w:pPr>
        <w:spacing w:line="590" w:lineRule="exact"/>
        <w:ind w:firstLine="640" w:firstLineChars="200"/>
        <w:rPr>
          <w:szCs w:val="32"/>
        </w:rPr>
      </w:pPr>
      <w:r>
        <w:rPr>
          <w:rFonts w:hint="eastAsia"/>
          <w:szCs w:val="32"/>
        </w:rPr>
        <w:t>径流、潮流构成长江河口段的主要水动力因素，它们随不同地点、不同季节、不同潮流、不同径流而变化，而潮位是反映这些因素变化特征的重要标志之一。长江口的潮汐在口外属正规半日潮，在口内属非正规半日浅潮。最高潮位出现在农历八月，最小潮位出现在农历2月，潮差不等现象最大发生在朔望日后1-2日，最小发生在上弦和下弦日后1-2日。</w:t>
      </w:r>
    </w:p>
    <w:p w14:paraId="31F2C8EB">
      <w:pPr>
        <w:spacing w:line="590" w:lineRule="exact"/>
        <w:ind w:firstLine="640" w:firstLineChars="200"/>
        <w:rPr>
          <w:szCs w:val="32"/>
        </w:rPr>
      </w:pPr>
      <w:r>
        <w:rPr>
          <w:rFonts w:hint="eastAsia"/>
          <w:szCs w:val="32"/>
        </w:rPr>
        <w:t>从多年的实测资料分析来看，本地区最高潮位的出现是台风、天文潮和径流的汇合，其中台风和风浪作用较强烈，它使长江水位抬高约1.0m，加上朔望天文高潮并遇长江洪峰就会出现历史最高潮位。</w:t>
      </w:r>
    </w:p>
    <w:p w14:paraId="72E6FBB1">
      <w:pPr>
        <w:spacing w:line="590" w:lineRule="exact"/>
        <w:ind w:firstLine="640" w:firstLineChars="200"/>
        <w:rPr>
          <w:szCs w:val="32"/>
        </w:rPr>
      </w:pPr>
      <w:r>
        <w:rPr>
          <w:rFonts w:hint="eastAsia"/>
          <w:szCs w:val="32"/>
        </w:rPr>
        <w:t>2.地下水</w:t>
      </w:r>
    </w:p>
    <w:p w14:paraId="0913B253">
      <w:pPr>
        <w:spacing w:line="590" w:lineRule="exact"/>
        <w:ind w:firstLine="640" w:firstLineChars="200"/>
        <w:rPr>
          <w:szCs w:val="32"/>
        </w:rPr>
      </w:pPr>
      <w:r>
        <w:rPr>
          <w:rFonts w:hint="eastAsia"/>
          <w:szCs w:val="32"/>
        </w:rPr>
        <w:t>根据《南通市地下水资源评价报告》，南通市通州区地下水年可开采量合计为2257万m</w:t>
      </w:r>
      <w:r>
        <w:rPr>
          <w:rFonts w:hint="eastAsia"/>
          <w:szCs w:val="32"/>
          <w:vertAlign w:val="superscript"/>
        </w:rPr>
        <w:t>3</w:t>
      </w:r>
      <w:r>
        <w:rPr>
          <w:rFonts w:hint="eastAsia"/>
          <w:szCs w:val="32"/>
        </w:rPr>
        <w:t>，沿江圩田、九吕水系、通启河水系的可开采量分别为11.3万m</w:t>
      </w:r>
      <w:r>
        <w:rPr>
          <w:rFonts w:hint="eastAsia"/>
          <w:szCs w:val="32"/>
          <w:vertAlign w:val="superscript"/>
        </w:rPr>
        <w:t>3</w:t>
      </w:r>
      <w:r>
        <w:rPr>
          <w:rFonts w:hint="eastAsia"/>
          <w:szCs w:val="32"/>
        </w:rPr>
        <w:t>、1903万m</w:t>
      </w:r>
      <w:r>
        <w:rPr>
          <w:rFonts w:hint="eastAsia"/>
          <w:szCs w:val="32"/>
          <w:vertAlign w:val="superscript"/>
        </w:rPr>
        <w:t>3</w:t>
      </w:r>
      <w:r>
        <w:rPr>
          <w:rFonts w:hint="eastAsia"/>
          <w:szCs w:val="32"/>
        </w:rPr>
        <w:t>、131万m</w:t>
      </w:r>
      <w:r>
        <w:rPr>
          <w:rFonts w:hint="eastAsia"/>
          <w:szCs w:val="32"/>
          <w:vertAlign w:val="superscript"/>
        </w:rPr>
        <w:t>3</w:t>
      </w:r>
      <w:r>
        <w:rPr>
          <w:rFonts w:hint="eastAsia"/>
          <w:szCs w:val="32"/>
        </w:rPr>
        <w:t>。根据南通市通州区2024年用水总量控制指标，全区2024年地下水总量控制为50万m</w:t>
      </w:r>
      <w:r>
        <w:rPr>
          <w:rFonts w:hint="eastAsia"/>
          <w:szCs w:val="32"/>
          <w:vertAlign w:val="superscript"/>
        </w:rPr>
        <w:t>3</w:t>
      </w:r>
      <w:r>
        <w:rPr>
          <w:rFonts w:hint="eastAsia"/>
          <w:szCs w:val="32"/>
        </w:rPr>
        <w:t>。因此，在水资源配置时，仅考虑地表水的供给。</w:t>
      </w:r>
    </w:p>
    <w:p w14:paraId="126D8B72">
      <w:pPr>
        <w:spacing w:line="590" w:lineRule="exact"/>
        <w:ind w:firstLine="640" w:firstLineChars="200"/>
        <w:rPr>
          <w:szCs w:val="32"/>
        </w:rPr>
      </w:pPr>
      <w:bookmarkStart w:id="10" w:name="_Toc18320"/>
      <w:bookmarkStart w:id="11" w:name="_Toc20341"/>
      <w:r>
        <w:rPr>
          <w:rFonts w:hint="eastAsia"/>
          <w:szCs w:val="32"/>
        </w:rPr>
        <w:t>【</w:t>
      </w:r>
      <w:r>
        <w:fldChar w:fldCharType="begin"/>
      </w:r>
      <w:r>
        <w:instrText xml:space="preserve"> HYPERLINK \l "_Toc20534" </w:instrText>
      </w:r>
      <w:r>
        <w:fldChar w:fldCharType="separate"/>
      </w:r>
      <w:r>
        <w:rPr>
          <w:rFonts w:hint="eastAsia"/>
          <w:b/>
          <w:bCs/>
          <w:szCs w:val="32"/>
        </w:rPr>
        <w:t>气候</w:t>
      </w:r>
      <w:r>
        <w:rPr>
          <w:rFonts w:hint="eastAsia"/>
          <w:b/>
          <w:bCs/>
          <w:szCs w:val="32"/>
        </w:rPr>
        <w:fldChar w:fldCharType="end"/>
      </w:r>
      <w:bookmarkEnd w:id="10"/>
      <w:bookmarkEnd w:id="11"/>
      <w:r>
        <w:rPr>
          <w:rFonts w:hint="eastAsia"/>
          <w:szCs w:val="32"/>
        </w:rPr>
        <w:t>】</w:t>
      </w:r>
    </w:p>
    <w:p w14:paraId="11211D33">
      <w:pPr>
        <w:spacing w:line="590" w:lineRule="exact"/>
        <w:ind w:firstLine="640" w:firstLineChars="200"/>
        <w:rPr>
          <w:szCs w:val="32"/>
        </w:rPr>
      </w:pPr>
      <w:bookmarkStart w:id="12" w:name="2522945-2665661-4"/>
      <w:bookmarkEnd w:id="12"/>
      <w:r>
        <w:rPr>
          <w:rFonts w:hint="eastAsia"/>
          <w:szCs w:val="32"/>
        </w:rPr>
        <w:t>1.气温</w:t>
      </w:r>
    </w:p>
    <w:p w14:paraId="0F8AC4D1">
      <w:pPr>
        <w:spacing w:line="590" w:lineRule="exact"/>
        <w:ind w:firstLine="640" w:firstLineChars="200"/>
        <w:rPr>
          <w:szCs w:val="32"/>
        </w:rPr>
      </w:pPr>
      <w:r>
        <w:rPr>
          <w:rFonts w:hint="eastAsia"/>
          <w:szCs w:val="32"/>
        </w:rPr>
        <w:t>南通市通州区处在中纬度地带，属亚热带湿润季风气候区，受海洋调节及季风环流的影响明显，四季分明，气候温和，雨水充沛。据有关统计分析资料，全区近10年平均气温14.9</w:t>
      </w:r>
      <w:r>
        <w:rPr>
          <w:b/>
          <w:bCs/>
          <w:color w:val="000000"/>
          <w:szCs w:val="32"/>
          <w:shd w:val="clear" w:color="auto" w:fill="FFFFFF"/>
        </w:rPr>
        <w:t>℃</w:t>
      </w:r>
      <w:r>
        <w:rPr>
          <w:rFonts w:hint="eastAsia"/>
          <w:szCs w:val="32"/>
        </w:rPr>
        <w:t>，无霜期228天，多年平均雾日天数为30.9天，年平均日照数为2166.3小时，日照百分率为49%。</w:t>
      </w:r>
    </w:p>
    <w:p w14:paraId="194E0660">
      <w:pPr>
        <w:spacing w:line="590" w:lineRule="exact"/>
        <w:ind w:firstLine="640" w:firstLineChars="200"/>
        <w:rPr>
          <w:szCs w:val="32"/>
        </w:rPr>
      </w:pPr>
      <w:r>
        <w:rPr>
          <w:rFonts w:hint="eastAsia"/>
          <w:szCs w:val="32"/>
        </w:rPr>
        <w:t>2016年南通市通州区平均气温偏高，高温天数（日最高气温≥35.0</w:t>
      </w:r>
      <w:r>
        <w:rPr>
          <w:b/>
          <w:bCs/>
          <w:color w:val="000000"/>
          <w:szCs w:val="32"/>
          <w:shd w:val="clear" w:color="auto" w:fill="FFFFFF"/>
        </w:rPr>
        <w:t>℃</w:t>
      </w:r>
      <w:r>
        <w:rPr>
          <w:rFonts w:hint="eastAsia"/>
          <w:szCs w:val="32"/>
        </w:rPr>
        <w:t>）比上年多6天，降水总量异常偏多，日照正常。年平均气温16.6</w:t>
      </w:r>
      <w:r>
        <w:rPr>
          <w:b/>
          <w:bCs/>
          <w:color w:val="000000"/>
          <w:szCs w:val="32"/>
          <w:shd w:val="clear" w:color="auto" w:fill="FFFFFF"/>
        </w:rPr>
        <w:t>℃</w:t>
      </w:r>
      <w:r>
        <w:rPr>
          <w:rFonts w:hint="eastAsia"/>
          <w:szCs w:val="32"/>
        </w:rPr>
        <w:t>，比常年高1.0</w:t>
      </w:r>
      <w:r>
        <w:rPr>
          <w:b/>
          <w:bCs/>
          <w:color w:val="000000"/>
          <w:szCs w:val="32"/>
          <w:shd w:val="clear" w:color="auto" w:fill="FFFFFF"/>
        </w:rPr>
        <w:t>℃</w:t>
      </w:r>
      <w:r>
        <w:rPr>
          <w:rFonts w:hint="eastAsia"/>
          <w:szCs w:val="32"/>
        </w:rPr>
        <w:t>，比上年高0.6</w:t>
      </w:r>
      <w:r>
        <w:rPr>
          <w:b/>
          <w:bCs/>
          <w:color w:val="000000"/>
          <w:szCs w:val="32"/>
          <w:shd w:val="clear" w:color="auto" w:fill="FFFFFF"/>
        </w:rPr>
        <w:t>℃</w:t>
      </w:r>
      <w:r>
        <w:rPr>
          <w:rFonts w:hint="eastAsia"/>
          <w:szCs w:val="32"/>
        </w:rPr>
        <w:t>。年极端最高气温38.8</w:t>
      </w:r>
      <w:r>
        <w:rPr>
          <w:b/>
          <w:bCs/>
          <w:color w:val="000000"/>
          <w:szCs w:val="32"/>
          <w:shd w:val="clear" w:color="auto" w:fill="FFFFFF"/>
        </w:rPr>
        <w:t>℃</w:t>
      </w:r>
      <w:r>
        <w:rPr>
          <w:rFonts w:hint="eastAsia"/>
          <w:szCs w:val="32"/>
        </w:rPr>
        <w:t>（7月26日），比上年高1.2</w:t>
      </w:r>
      <w:r>
        <w:rPr>
          <w:b/>
          <w:bCs/>
          <w:color w:val="000000"/>
          <w:szCs w:val="32"/>
          <w:shd w:val="clear" w:color="auto" w:fill="FFFFFF"/>
        </w:rPr>
        <w:t>℃</w:t>
      </w:r>
      <w:r>
        <w:rPr>
          <w:rFonts w:hint="eastAsia"/>
          <w:szCs w:val="32"/>
        </w:rPr>
        <w:t>；年极端最低气温-9.7</w:t>
      </w:r>
      <w:r>
        <w:rPr>
          <w:b/>
          <w:bCs/>
          <w:color w:val="000000"/>
          <w:szCs w:val="32"/>
          <w:shd w:val="clear" w:color="auto" w:fill="FFFFFF"/>
        </w:rPr>
        <w:t>℃</w:t>
      </w:r>
      <w:r>
        <w:rPr>
          <w:rFonts w:hint="eastAsia"/>
          <w:szCs w:val="32"/>
        </w:rPr>
        <w:t>（1月24日），比上年低5.3</w:t>
      </w:r>
      <w:r>
        <w:rPr>
          <w:b/>
          <w:bCs/>
          <w:color w:val="000000"/>
          <w:szCs w:val="32"/>
          <w:shd w:val="clear" w:color="auto" w:fill="FFFFFF"/>
        </w:rPr>
        <w:t>℃</w:t>
      </w:r>
      <w:r>
        <w:rPr>
          <w:rFonts w:hint="eastAsia"/>
          <w:szCs w:val="32"/>
        </w:rPr>
        <w:t>。年日照时数1767.8小时，比常年少148.3小时。</w:t>
      </w:r>
    </w:p>
    <w:p w14:paraId="11E60FC9">
      <w:pPr>
        <w:spacing w:line="590" w:lineRule="exact"/>
        <w:ind w:firstLine="640" w:firstLineChars="200"/>
        <w:rPr>
          <w:szCs w:val="32"/>
        </w:rPr>
      </w:pPr>
      <w:r>
        <w:rPr>
          <w:rFonts w:hint="eastAsia"/>
          <w:szCs w:val="32"/>
        </w:rPr>
        <w:t>2.降水</w:t>
      </w:r>
    </w:p>
    <w:p w14:paraId="0019D6DB">
      <w:pPr>
        <w:spacing w:line="590" w:lineRule="exact"/>
        <w:ind w:firstLine="640" w:firstLineChars="200"/>
        <w:rPr>
          <w:szCs w:val="32"/>
        </w:rPr>
      </w:pPr>
      <w:r>
        <w:rPr>
          <w:rFonts w:hint="eastAsia"/>
          <w:szCs w:val="32"/>
        </w:rPr>
        <w:t>南通市通州区平均年降水量为1083.1mm，最大年降水量为1743.2mm（1960年金沙站），最小年降水量为568.2mm（1978年遥望港站）；水面蒸发量855.5mm；干旱指数0.79。年平均地表径流量3.53m3，折合径流深213.4mm。内河（金沙站）年平均水位2.11m，最高4.47m（1960年8月4日），最低1.12m（1976年1月3日）。长江（天生港站）最高潮水位5.5m。全区的降水资源虽然丰沛，但由于气候受季风环流的支配和海洋水体以及台风的影响较大，时空分布不均，年际变幅大，年内集中在汛期。据统计，金沙站最大年降水量达1743.3mm（1960年），最小年降水量仅有700.9mm（1978年），相差1.5倍。多年平均情况下，金沙站5-9月份的降水量为681mm，占全年降雨量的63.4%，而且集中降雨、连绵阴雨、连续干旱、旱涝急转等灾害性天气也多发生在这一期间内。</w:t>
      </w:r>
    </w:p>
    <w:p w14:paraId="4F91761C">
      <w:pPr>
        <w:spacing w:line="590" w:lineRule="exact"/>
        <w:ind w:firstLine="640" w:firstLineChars="200"/>
        <w:rPr>
          <w:szCs w:val="32"/>
        </w:rPr>
      </w:pPr>
      <w:r>
        <w:rPr>
          <w:rFonts w:hint="eastAsia"/>
          <w:szCs w:val="32"/>
        </w:rPr>
        <w:t>3.蒸发量</w:t>
      </w:r>
    </w:p>
    <w:p w14:paraId="7C79105F">
      <w:pPr>
        <w:spacing w:line="590" w:lineRule="exact"/>
        <w:ind w:firstLine="640" w:firstLineChars="200"/>
        <w:rPr>
          <w:szCs w:val="32"/>
        </w:rPr>
      </w:pPr>
      <w:r>
        <w:rPr>
          <w:rFonts w:hint="eastAsia"/>
          <w:szCs w:val="32"/>
        </w:rPr>
        <w:t>受资料限制，采用南通闸和遥望港两个站的蒸发资料进行分析。两站都采用E601型蒸发皿观测，资料系列为1965-2010年。两站多年平均月蒸发量变化趋势基本一致，蒸发量在年内分布不均，其中5-9月份蒸发量较大，为多年平均蒸发量的58.5%，月最大蒸发量发生在8月份，多年平均月蒸发量在115mm以上，占年蒸发量的13.6%；1月、2月和12月份的蒸发量最小，仅为年蒸发量的11.0%-12.0%，月最小蒸发量发生在1月份，占年蒸发量的3.5%。</w:t>
      </w:r>
    </w:p>
    <w:p w14:paraId="47B67575">
      <w:pPr>
        <w:spacing w:line="590" w:lineRule="exact"/>
        <w:ind w:firstLine="640" w:firstLineChars="200"/>
        <w:rPr>
          <w:szCs w:val="32"/>
        </w:rPr>
      </w:pPr>
      <w:r>
        <w:rPr>
          <w:rFonts w:hint="eastAsia"/>
          <w:szCs w:val="32"/>
        </w:rPr>
        <w:t>遥望港和南通闸多年平均蒸发量分别为865.4mm和880.5mm，蒸发量在年际之间变化较大，其中2009年蒸发量最大，年蒸发量（南通闸）为1393mm，1970年年蒸发量最小，年蒸发量（南通闸）为636mm。遥望港蒸发量在年代之间有随时间而减少的趋势，遥望港1965-1979年间年平均蒸发量最大，年平均蒸发量为922mm，2000-2010年间年平均蒸发量最小，年平均蒸发量为806mm。南通闸蒸发量变化规律与遥望港相反，1965-1979年间为最小，多年平均蒸发量为812mm，2000-2010年间最大，多年平均蒸发量为936mm，有随时间而增加的趋势。</w:t>
      </w:r>
    </w:p>
    <w:p w14:paraId="17FCF873">
      <w:pPr>
        <w:spacing w:line="590" w:lineRule="exact"/>
        <w:ind w:firstLine="640" w:firstLineChars="200"/>
        <w:rPr>
          <w:szCs w:val="32"/>
        </w:rPr>
      </w:pPr>
      <w:r>
        <w:rPr>
          <w:rFonts w:hint="eastAsia"/>
          <w:szCs w:val="32"/>
        </w:rPr>
        <w:t>【</w:t>
      </w:r>
      <w:r>
        <w:rPr>
          <w:rFonts w:hint="eastAsia"/>
          <w:b/>
          <w:bCs/>
          <w:szCs w:val="32"/>
        </w:rPr>
        <w:t>自然灾害</w:t>
      </w:r>
      <w:r>
        <w:rPr>
          <w:rFonts w:hint="eastAsia"/>
          <w:szCs w:val="32"/>
        </w:rPr>
        <w:t>】</w:t>
      </w:r>
    </w:p>
    <w:p w14:paraId="3CEC7C3D">
      <w:pPr>
        <w:spacing w:line="590" w:lineRule="exact"/>
        <w:ind w:firstLine="640" w:firstLineChars="200"/>
        <w:rPr>
          <w:szCs w:val="32"/>
        </w:rPr>
      </w:pPr>
      <w:r>
        <w:rPr>
          <w:rFonts w:hint="eastAsia"/>
          <w:szCs w:val="32"/>
        </w:rPr>
        <w:t>影响通州区的主要气象灾害有以下几个方面：一是台风。每年影响通州区的台风2-4个，多为外围影响。二是寒潮。每年都要经过数次寒潮过程，带来大风和快速大幅度降温，可能导致养殖对象受冻损失和设施损毁。三是冰雹和暴雪。偶有发生，造成养殖设施，特别是温室大棚损坏。四是龙卷风。偶有发生，对局部地区的影响较大。五是暴雨。可导致养殖池塘决堤、漫坝，或拦鱼设施损坏，造成养殖对象逃逸。</w:t>
      </w:r>
    </w:p>
    <w:p w14:paraId="354C53FA">
      <w:pPr>
        <w:widowControl/>
        <w:spacing w:line="590" w:lineRule="exact"/>
        <w:ind w:firstLine="720" w:firstLineChars="231"/>
        <w:jc w:val="left"/>
        <w:rPr>
          <w:rFonts w:ascii="楷体_GB2312" w:hAnsi="楷体_GB2312" w:eastAsia="楷体_GB2312" w:cs="楷体_GB2312"/>
          <w:color w:val="000000"/>
          <w:spacing w:val="-4"/>
          <w:kern w:val="2"/>
          <w:szCs w:val="32"/>
        </w:rPr>
      </w:pPr>
      <w:r>
        <w:rPr>
          <w:rFonts w:ascii="楷体_GB2312" w:hAnsi="楷体_GB2312" w:eastAsia="楷体_GB2312" w:cs="楷体_GB2312"/>
          <w:color w:val="000000"/>
          <w:spacing w:val="-4"/>
          <w:kern w:val="2"/>
          <w:szCs w:val="32"/>
        </w:rPr>
        <w:t>第三条水生生物资源状况</w:t>
      </w:r>
    </w:p>
    <w:p w14:paraId="00E9648C">
      <w:pPr>
        <w:spacing w:line="590" w:lineRule="exact"/>
        <w:ind w:firstLine="640" w:firstLineChars="200"/>
        <w:rPr>
          <w:szCs w:val="32"/>
        </w:rPr>
      </w:pPr>
      <w:r>
        <w:rPr>
          <w:rFonts w:hint="eastAsia"/>
          <w:szCs w:val="32"/>
        </w:rPr>
        <w:t>【</w:t>
      </w:r>
      <w:r>
        <w:rPr>
          <w:rFonts w:hint="eastAsia"/>
          <w:b/>
          <w:bCs/>
          <w:szCs w:val="32"/>
        </w:rPr>
        <w:t>浮游生物</w:t>
      </w:r>
      <w:r>
        <w:rPr>
          <w:rFonts w:hint="eastAsia"/>
          <w:szCs w:val="32"/>
        </w:rPr>
        <w:t>】</w:t>
      </w:r>
    </w:p>
    <w:p w14:paraId="5F901919">
      <w:pPr>
        <w:spacing w:line="590" w:lineRule="exact"/>
        <w:ind w:firstLine="640" w:firstLineChars="200"/>
        <w:rPr>
          <w:szCs w:val="32"/>
        </w:rPr>
      </w:pPr>
      <w:r>
        <w:rPr>
          <w:rFonts w:hint="eastAsia"/>
          <w:szCs w:val="32"/>
        </w:rPr>
        <w:t>全区水域浮游植物80多种，浮游动物70多种。</w:t>
      </w:r>
    </w:p>
    <w:p w14:paraId="49600A33">
      <w:pPr>
        <w:spacing w:line="590" w:lineRule="exact"/>
        <w:ind w:firstLine="640" w:firstLineChars="200"/>
        <w:rPr>
          <w:szCs w:val="32"/>
        </w:rPr>
      </w:pPr>
      <w:r>
        <w:rPr>
          <w:rFonts w:hint="eastAsia"/>
          <w:szCs w:val="32"/>
        </w:rPr>
        <w:t>浮游植物以蓝藻、硅藻类为多，绿藻、甲藻类次之；其他还有金藻、黄藻、裸藻类。</w:t>
      </w:r>
    </w:p>
    <w:p w14:paraId="108BA70A">
      <w:pPr>
        <w:spacing w:line="590" w:lineRule="exact"/>
        <w:ind w:firstLine="640" w:firstLineChars="200"/>
        <w:rPr>
          <w:szCs w:val="32"/>
        </w:rPr>
      </w:pPr>
      <w:r>
        <w:rPr>
          <w:rFonts w:hint="eastAsia"/>
          <w:szCs w:val="32"/>
        </w:rPr>
        <w:t>浮游动物中原生动物有砂壳虫、钟形虫等；轮虫有臂尾轮虫、晶囊轮虫、多肢轮虫、龟甲轮虫等；枝角类有水蚤、秀体蚤、象鼻蚤等；桡足类有剑蚤、镖蚤等。</w:t>
      </w:r>
    </w:p>
    <w:p w14:paraId="7AA814FA">
      <w:pPr>
        <w:spacing w:line="590" w:lineRule="exact"/>
        <w:ind w:firstLine="640" w:firstLineChars="200"/>
        <w:rPr>
          <w:szCs w:val="32"/>
        </w:rPr>
      </w:pPr>
      <w:r>
        <w:rPr>
          <w:rFonts w:hint="eastAsia"/>
          <w:szCs w:val="32"/>
        </w:rPr>
        <w:t>【</w:t>
      </w:r>
      <w:r>
        <w:rPr>
          <w:rFonts w:hint="eastAsia"/>
          <w:b/>
          <w:bCs/>
          <w:szCs w:val="32"/>
        </w:rPr>
        <w:t>鱼类</w:t>
      </w:r>
      <w:r>
        <w:rPr>
          <w:rFonts w:hint="eastAsia"/>
          <w:szCs w:val="32"/>
        </w:rPr>
        <w:t>】</w:t>
      </w:r>
    </w:p>
    <w:p w14:paraId="66F6D64C">
      <w:pPr>
        <w:spacing w:line="590" w:lineRule="exact"/>
        <w:ind w:firstLine="640" w:firstLineChars="200"/>
        <w:rPr>
          <w:szCs w:val="32"/>
        </w:rPr>
      </w:pPr>
      <w:r>
        <w:rPr>
          <w:rFonts w:hint="eastAsia"/>
          <w:szCs w:val="32"/>
        </w:rPr>
        <w:t>通州区淡水鱼资源丰富，种类繁多。主要鱼类品种有50多种。分属于鲤形目、鲱形目等13个目。主要经济鱼类有鲟鱼、鲥鱼、刀鱼、凤尾鱼、银鱼、青鱼、草鱼、鳙鱼、鲢鱼、团头鲂、长春鳊、鲤鱼、鲫鱼、翘嘴红鲌、蒙古红鲌、鳡鱼、细鳞斜颌鲴、鲹条鱼、鳑鲏鱼、麦穗鱼、花䱻、泥鳅、黄颡鱼、长吻鮠、鲶鱼、鳗鲡、乌鳢、鲻鱼、梭鱼、赤眼鳟、黄鳝、鳜鱼、鲈鱼、沙塘鳢、松江鲈鱼、窄体舌鳎、暗纹东方鲀等。</w:t>
      </w:r>
    </w:p>
    <w:p w14:paraId="41C6B849">
      <w:pPr>
        <w:spacing w:line="590" w:lineRule="exact"/>
        <w:ind w:firstLine="640" w:firstLineChars="200"/>
        <w:rPr>
          <w:szCs w:val="32"/>
        </w:rPr>
      </w:pPr>
      <w:r>
        <w:rPr>
          <w:rFonts w:hint="eastAsia"/>
          <w:szCs w:val="32"/>
        </w:rPr>
        <w:t>【</w:t>
      </w:r>
      <w:r>
        <w:rPr>
          <w:rFonts w:hint="eastAsia"/>
          <w:b/>
          <w:bCs/>
          <w:szCs w:val="32"/>
        </w:rPr>
        <w:t>甲壳类</w:t>
      </w:r>
      <w:r>
        <w:rPr>
          <w:rFonts w:hint="eastAsia"/>
          <w:szCs w:val="32"/>
        </w:rPr>
        <w:t>】</w:t>
      </w:r>
    </w:p>
    <w:p w14:paraId="2C7ECA3C">
      <w:pPr>
        <w:spacing w:line="590" w:lineRule="exact"/>
        <w:ind w:firstLine="640" w:firstLineChars="200"/>
        <w:rPr>
          <w:szCs w:val="32"/>
        </w:rPr>
      </w:pPr>
      <w:r>
        <w:rPr>
          <w:rFonts w:hint="eastAsia"/>
          <w:szCs w:val="32"/>
        </w:rPr>
        <w:t>甲壳类主要有中华绒螯蟹、相手蟹（蟛蜞）、青虾、秀丽白虾等。</w:t>
      </w:r>
    </w:p>
    <w:p w14:paraId="1EE4D5EC">
      <w:pPr>
        <w:spacing w:line="590" w:lineRule="exact"/>
        <w:ind w:firstLine="640" w:firstLineChars="200"/>
        <w:rPr>
          <w:szCs w:val="32"/>
        </w:rPr>
      </w:pPr>
      <w:r>
        <w:rPr>
          <w:rFonts w:hint="eastAsia"/>
          <w:szCs w:val="32"/>
        </w:rPr>
        <w:t>【</w:t>
      </w:r>
      <w:r>
        <w:rPr>
          <w:rFonts w:hint="eastAsia"/>
          <w:b/>
          <w:bCs/>
          <w:szCs w:val="32"/>
        </w:rPr>
        <w:t>爬行类</w:t>
      </w:r>
      <w:r>
        <w:rPr>
          <w:rFonts w:hint="eastAsia"/>
          <w:szCs w:val="32"/>
        </w:rPr>
        <w:t>】</w:t>
      </w:r>
    </w:p>
    <w:p w14:paraId="2098A3CA">
      <w:pPr>
        <w:spacing w:line="590" w:lineRule="exact"/>
        <w:ind w:firstLine="640" w:firstLineChars="200"/>
        <w:rPr>
          <w:szCs w:val="32"/>
        </w:rPr>
      </w:pPr>
      <w:r>
        <w:rPr>
          <w:rFonts w:hint="eastAsia"/>
          <w:szCs w:val="32"/>
        </w:rPr>
        <w:t>爬行类主要包括中华鳖、草龟等。</w:t>
      </w:r>
    </w:p>
    <w:p w14:paraId="42B317EB">
      <w:pPr>
        <w:spacing w:line="590" w:lineRule="exact"/>
        <w:ind w:firstLine="640" w:firstLineChars="200"/>
        <w:rPr>
          <w:szCs w:val="32"/>
        </w:rPr>
      </w:pPr>
      <w:r>
        <w:rPr>
          <w:rFonts w:hint="eastAsia"/>
          <w:szCs w:val="32"/>
        </w:rPr>
        <w:t>【</w:t>
      </w:r>
      <w:r>
        <w:rPr>
          <w:rFonts w:hint="eastAsia"/>
          <w:b/>
          <w:bCs/>
          <w:szCs w:val="32"/>
        </w:rPr>
        <w:t>贝类</w:t>
      </w:r>
      <w:r>
        <w:rPr>
          <w:rFonts w:hint="eastAsia"/>
          <w:szCs w:val="32"/>
        </w:rPr>
        <w:t>】</w:t>
      </w:r>
    </w:p>
    <w:p w14:paraId="6FABE70D">
      <w:pPr>
        <w:spacing w:line="590" w:lineRule="exact"/>
        <w:ind w:firstLine="640" w:firstLineChars="200"/>
        <w:rPr>
          <w:szCs w:val="32"/>
        </w:rPr>
      </w:pPr>
      <w:r>
        <w:rPr>
          <w:rFonts w:hint="eastAsia"/>
          <w:szCs w:val="32"/>
        </w:rPr>
        <w:t>贝类主要有三角帆蚌、褶纹冠蚌、背角无齿蚌、黄蚬、环棱螺、湖螺、田螺等。</w:t>
      </w:r>
    </w:p>
    <w:p w14:paraId="03A45955">
      <w:pPr>
        <w:spacing w:line="590" w:lineRule="exact"/>
        <w:ind w:firstLine="640" w:firstLineChars="200"/>
        <w:rPr>
          <w:szCs w:val="32"/>
        </w:rPr>
      </w:pPr>
      <w:r>
        <w:rPr>
          <w:rFonts w:hint="eastAsia"/>
          <w:szCs w:val="32"/>
        </w:rPr>
        <w:t>【</w:t>
      </w:r>
      <w:r>
        <w:rPr>
          <w:rFonts w:hint="eastAsia"/>
          <w:b/>
          <w:bCs/>
          <w:szCs w:val="32"/>
        </w:rPr>
        <w:t>水生植物</w:t>
      </w:r>
      <w:r>
        <w:rPr>
          <w:rFonts w:hint="eastAsia"/>
          <w:szCs w:val="32"/>
        </w:rPr>
        <w:t>】</w:t>
      </w:r>
    </w:p>
    <w:p w14:paraId="0C5AD3BA">
      <w:pPr>
        <w:spacing w:line="590" w:lineRule="exact"/>
        <w:ind w:firstLine="640" w:firstLineChars="200"/>
        <w:rPr>
          <w:szCs w:val="32"/>
        </w:rPr>
      </w:pPr>
      <w:r>
        <w:rPr>
          <w:rFonts w:hint="eastAsia"/>
          <w:szCs w:val="32"/>
        </w:rPr>
        <w:t>主要有挺水植物如芦、菰、茭白、莲藕、水芹等；浮叶植物菱角；沉水植物如苦草、轮叶黑藻、眼子菜、苤菜等；漂浮植物如绿萍、紫背浮萍、满江红、槐叶萍、凤眼莲等。</w:t>
      </w:r>
    </w:p>
    <w:p w14:paraId="0D7AD0AB">
      <w:pPr>
        <w:spacing w:line="590" w:lineRule="exact"/>
        <w:ind w:firstLine="640" w:firstLineChars="200"/>
        <w:rPr>
          <w:szCs w:val="32"/>
        </w:rPr>
      </w:pPr>
      <w:r>
        <w:rPr>
          <w:rFonts w:hint="eastAsia"/>
          <w:szCs w:val="32"/>
        </w:rPr>
        <w:t>【</w:t>
      </w:r>
      <w:r>
        <w:rPr>
          <w:rFonts w:hint="eastAsia"/>
          <w:b/>
          <w:bCs/>
          <w:szCs w:val="32"/>
        </w:rPr>
        <w:t>引进品种</w:t>
      </w:r>
      <w:r>
        <w:rPr>
          <w:rFonts w:hint="eastAsia"/>
          <w:szCs w:val="32"/>
        </w:rPr>
        <w:t>】</w:t>
      </w:r>
    </w:p>
    <w:p w14:paraId="76E7A1AD">
      <w:pPr>
        <w:spacing w:line="590" w:lineRule="exact"/>
        <w:ind w:firstLine="640" w:firstLineChars="200"/>
        <w:rPr>
          <w:szCs w:val="32"/>
        </w:rPr>
      </w:pPr>
      <w:r>
        <w:rPr>
          <w:rFonts w:hint="eastAsia"/>
          <w:szCs w:val="32"/>
        </w:rPr>
        <w:t>引进的鱼类品种主要有异育银鲫、湘云鲫、兴国红鲤、革胡子鲶、莫桑比克罗非鱼、尼罗罗非鱼、澳尼罗非鱼、淡水白鲳等。其他品种有克氏原螯虾、罗氏沼虾等。</w:t>
      </w:r>
    </w:p>
    <w:p w14:paraId="3BF3BD4B">
      <w:pPr>
        <w:spacing w:line="590" w:lineRule="exact"/>
        <w:ind w:firstLine="640" w:firstLineChars="200"/>
        <w:rPr>
          <w:szCs w:val="32"/>
        </w:rPr>
      </w:pPr>
      <w:r>
        <w:rPr>
          <w:rFonts w:hint="eastAsia"/>
          <w:szCs w:val="32"/>
        </w:rPr>
        <w:t>【</w:t>
      </w:r>
      <w:r>
        <w:rPr>
          <w:rFonts w:hint="eastAsia"/>
          <w:b/>
          <w:bCs/>
          <w:szCs w:val="32"/>
        </w:rPr>
        <w:t>主要可养殖品种</w:t>
      </w:r>
      <w:r>
        <w:rPr>
          <w:rFonts w:hint="eastAsia"/>
          <w:szCs w:val="32"/>
        </w:rPr>
        <w:t>】</w:t>
      </w:r>
    </w:p>
    <w:p w14:paraId="479A2C0E">
      <w:pPr>
        <w:spacing w:line="590" w:lineRule="exact"/>
        <w:ind w:firstLine="640" w:firstLineChars="200"/>
        <w:rPr>
          <w:szCs w:val="32"/>
        </w:rPr>
      </w:pPr>
      <w:r>
        <w:rPr>
          <w:rFonts w:hint="eastAsia"/>
          <w:szCs w:val="32"/>
        </w:rPr>
        <w:t>通州区水域滩涂资源较为丰富，气候适宜，具有发展水产养殖良好的自然条件，具有悠久的养殖历史和丰富的养殖经验。全区淡水可养殖的品种众多，淡水品种主要有青鱼、草鱼、鲢鱼、鳙鱼、鲤鱼、鳜鱼、黄颡鱼、异育银鲫、团头鲂、乌鳢、泥鳅、中华绒螯蟹、沙塘鳢、青虾、中华鳖、罗非鱼等。</w:t>
      </w:r>
    </w:p>
    <w:p w14:paraId="40959D65">
      <w:pPr>
        <w:spacing w:line="590" w:lineRule="exact"/>
        <w:ind w:firstLine="640" w:firstLineChars="200"/>
        <w:rPr>
          <w:szCs w:val="32"/>
        </w:rPr>
      </w:pPr>
      <w:r>
        <w:rPr>
          <w:rFonts w:hint="eastAsia"/>
          <w:szCs w:val="32"/>
        </w:rPr>
        <w:t>【</w:t>
      </w:r>
      <w:r>
        <w:rPr>
          <w:rFonts w:hint="eastAsia"/>
          <w:b/>
          <w:bCs/>
          <w:szCs w:val="32"/>
        </w:rPr>
        <w:t>养殖品种的原、良苗种场</w:t>
      </w:r>
      <w:r>
        <w:rPr>
          <w:rFonts w:hint="eastAsia"/>
          <w:szCs w:val="32"/>
        </w:rPr>
        <w:t>】</w:t>
      </w:r>
    </w:p>
    <w:p w14:paraId="1D3A7D83">
      <w:pPr>
        <w:spacing w:line="590" w:lineRule="exact"/>
        <w:ind w:firstLine="640" w:firstLineChars="200"/>
        <w:rPr>
          <w:szCs w:val="32"/>
        </w:rPr>
      </w:pPr>
      <w:r>
        <w:rPr>
          <w:rFonts w:hint="eastAsia"/>
          <w:szCs w:val="32"/>
        </w:rPr>
        <w:t>通州区有淡水鱼苗种繁育场1家——通州区水产养殖场。主要繁育青鱼、草鱼、鲢鱼、鳙鱼等淡水鱼苗种，年生产能力10亿尾左右。其他还有扣蟹培育池塘等。全区水产苗种繁育能力基本能够满足本地养殖发展需要并部分外销。</w:t>
      </w:r>
    </w:p>
    <w:p w14:paraId="48937757">
      <w:pPr>
        <w:spacing w:line="590" w:lineRule="exact"/>
        <w:ind w:firstLineChars="200"/>
        <w:rPr>
          <w:rFonts w:ascii="楷体_GB2312" w:hAnsi="楷体_GB2312" w:eastAsia="楷体_GB2312" w:cs="楷体_GB2312"/>
          <w:color w:val="000000"/>
          <w:spacing w:val="-4"/>
          <w:kern w:val="2"/>
          <w:szCs w:val="32"/>
        </w:rPr>
      </w:pPr>
      <w:r>
        <w:rPr>
          <w:rFonts w:ascii="楷体_GB2312" w:hAnsi="楷体_GB2312" w:eastAsia="楷体_GB2312" w:cs="楷体_GB2312"/>
          <w:color w:val="000000"/>
          <w:spacing w:val="-4"/>
          <w:kern w:val="2"/>
          <w:szCs w:val="32"/>
        </w:rPr>
        <w:t>第四条水域环境状况</w:t>
      </w:r>
    </w:p>
    <w:p w14:paraId="448FBE17">
      <w:pPr>
        <w:spacing w:line="590" w:lineRule="exact"/>
        <w:ind w:firstLine="640" w:firstLineChars="200"/>
        <w:rPr>
          <w:szCs w:val="32"/>
        </w:rPr>
      </w:pPr>
      <w:r>
        <w:rPr>
          <w:rFonts w:hint="eastAsia"/>
          <w:szCs w:val="32"/>
        </w:rPr>
        <w:t>【</w:t>
      </w:r>
      <w:r>
        <w:rPr>
          <w:rFonts w:hint="eastAsia"/>
          <w:b/>
          <w:bCs/>
          <w:szCs w:val="32"/>
        </w:rPr>
        <w:t>饮用水源</w:t>
      </w:r>
      <w:r>
        <w:rPr>
          <w:rFonts w:hint="eastAsia"/>
          <w:szCs w:val="32"/>
        </w:rPr>
        <w:t>】</w:t>
      </w:r>
    </w:p>
    <w:p w14:paraId="6B8F9568">
      <w:pPr>
        <w:spacing w:line="590" w:lineRule="exact"/>
        <w:ind w:firstLine="640" w:firstLineChars="200"/>
        <w:rPr>
          <w:szCs w:val="32"/>
        </w:rPr>
      </w:pPr>
      <w:r>
        <w:rPr>
          <w:rFonts w:hint="eastAsia"/>
          <w:szCs w:val="32"/>
        </w:rPr>
        <w:t>通州区饮用水源为长江统一水源集中供水。为通州区供水的主要是长江狼山水源地、长江洪港水源地等。根据《2024年南通市环境状况公报》，长江狼山水源地（对应狼山水厂、崇海水厂）、长江洪港水源地（洪港水厂）等符合地表水Ⅲ类及以上标准，水质优良。长江（南通段）水质为Ⅱ类，水质优良，小李港（左岸）断面水质保持Ⅱ类。</w:t>
      </w:r>
    </w:p>
    <w:p w14:paraId="62A8E02A">
      <w:pPr>
        <w:spacing w:line="590" w:lineRule="exact"/>
        <w:ind w:firstLine="640" w:firstLineChars="200"/>
        <w:rPr>
          <w:szCs w:val="32"/>
        </w:rPr>
      </w:pPr>
      <w:r>
        <w:rPr>
          <w:rFonts w:hint="eastAsia"/>
          <w:szCs w:val="32"/>
        </w:rPr>
        <w:t>【</w:t>
      </w:r>
      <w:r>
        <w:rPr>
          <w:rFonts w:hint="eastAsia"/>
          <w:b/>
          <w:bCs/>
          <w:szCs w:val="32"/>
        </w:rPr>
        <w:t>内河水质</w:t>
      </w:r>
      <w:r>
        <w:rPr>
          <w:rFonts w:hint="eastAsia"/>
          <w:szCs w:val="32"/>
        </w:rPr>
        <w:t>】</w:t>
      </w:r>
    </w:p>
    <w:p w14:paraId="0AA007FC">
      <w:pPr>
        <w:spacing w:line="590" w:lineRule="exact"/>
        <w:ind w:firstLine="640" w:firstLineChars="200"/>
        <w:rPr>
          <w:szCs w:val="32"/>
        </w:rPr>
      </w:pPr>
      <w:r>
        <w:rPr>
          <w:rFonts w:hint="eastAsia"/>
          <w:szCs w:val="32"/>
        </w:rPr>
        <w:t>通州区境内的主要内河中，通吕运河、九圩港河、通启运河、通扬运河、遥望港等主要河道水质基本达到Ⅲ类标准。</w:t>
      </w:r>
    </w:p>
    <w:p w14:paraId="6E55A47F">
      <w:pPr>
        <w:widowControl/>
        <w:spacing w:line="590" w:lineRule="exact"/>
        <w:jc w:val="left"/>
        <w:rPr>
          <w:rFonts w:ascii="楷体_GB2312" w:hAnsi="楷体_GB2312" w:eastAsia="楷体_GB2312" w:cs="楷体_GB2312"/>
          <w:color w:val="000000"/>
          <w:spacing w:val="-4"/>
          <w:kern w:val="2"/>
          <w:szCs w:val="32"/>
        </w:rPr>
      </w:pPr>
      <w:r>
        <w:rPr>
          <w:rFonts w:hint="eastAsia" w:ascii="楷体_GB2312" w:hAnsi="楷体_GB2312" w:eastAsia="楷体_GB2312" w:cs="楷体_GB2312"/>
          <w:color w:val="000000"/>
          <w:spacing w:val="-4"/>
          <w:kern w:val="2"/>
          <w:szCs w:val="32"/>
        </w:rPr>
        <w:t>第五条  水域滩涂承载力评价</w:t>
      </w:r>
    </w:p>
    <w:p w14:paraId="371A0235">
      <w:pPr>
        <w:spacing w:line="590" w:lineRule="exact"/>
        <w:ind w:firstLine="640" w:firstLineChars="200"/>
        <w:rPr>
          <w:szCs w:val="32"/>
        </w:rPr>
      </w:pPr>
      <w:r>
        <w:rPr>
          <w:rFonts w:hint="eastAsia"/>
          <w:szCs w:val="32"/>
        </w:rPr>
        <w:t>通州区水域滩涂初级生产力较高，水生生物种类繁多，资源较丰富，且水文、气候等条件较好，生态环境处于良好状态，具有发展渔业，特别是水产养殖的良好条件，水域滩涂对水产养殖具有一定承载能力。全区大部分水域开发利用适度，水产养殖发展具有一定空间，为建设现代渔业特色县（市）提供了较好条件和可靠保证。</w:t>
      </w:r>
      <w:bookmarkStart w:id="13" w:name="_Toc1417"/>
    </w:p>
    <w:p w14:paraId="3B035C1C">
      <w:pPr>
        <w:spacing w:line="590" w:lineRule="exact"/>
        <w:ind w:firstLine="640" w:firstLineChars="200"/>
        <w:rPr>
          <w:rFonts w:ascii="黑体" w:hAnsi="黑体" w:eastAsia="黑体" w:cs="黑体"/>
          <w:bCs/>
          <w:color w:val="000000"/>
          <w:szCs w:val="32"/>
        </w:rPr>
      </w:pPr>
      <w:r>
        <w:rPr>
          <w:rFonts w:ascii="黑体" w:hAnsi="黑体" w:eastAsia="黑体" w:cs="黑体"/>
          <w:bCs/>
          <w:color w:val="000000"/>
          <w:szCs w:val="32"/>
        </w:rPr>
        <w:t>第七节水产养殖产业发展分析</w:t>
      </w:r>
      <w:bookmarkEnd w:id="13"/>
    </w:p>
    <w:p w14:paraId="7D6C3080">
      <w:pPr>
        <w:widowControl/>
        <w:spacing w:line="590" w:lineRule="exact"/>
        <w:jc w:val="left"/>
        <w:rPr>
          <w:rFonts w:ascii="楷体_GB2312" w:hAnsi="楷体_GB2312" w:eastAsia="楷体_GB2312" w:cs="楷体_GB2312"/>
          <w:color w:val="000000"/>
          <w:spacing w:val="-4"/>
          <w:kern w:val="2"/>
          <w:szCs w:val="32"/>
        </w:rPr>
      </w:pPr>
      <w:r>
        <w:rPr>
          <w:rFonts w:ascii="楷体_GB2312" w:hAnsi="楷体_GB2312" w:eastAsia="楷体_GB2312" w:cs="楷体_GB2312"/>
          <w:color w:val="000000"/>
          <w:spacing w:val="-4"/>
          <w:kern w:val="2"/>
          <w:szCs w:val="32"/>
        </w:rPr>
        <w:t>第一条水产养殖发展现状</w:t>
      </w:r>
    </w:p>
    <w:p w14:paraId="17EC30F3">
      <w:pPr>
        <w:spacing w:line="590" w:lineRule="exact"/>
        <w:ind w:firstLine="640" w:firstLineChars="200"/>
        <w:rPr>
          <w:szCs w:val="32"/>
        </w:rPr>
      </w:pPr>
      <w:r>
        <w:rPr>
          <w:rFonts w:hint="eastAsia"/>
          <w:szCs w:val="32"/>
        </w:rPr>
        <w:t>长期以来，通州区委、区政府高度重视现代渔业，特别是水产养殖业的发展，加大了政策扶持力度，采取了积极有效措施进行推进。全区水产养殖业快速发展，养殖结构不断优化，养殖水产品市场需求旺盛，企业和产品的市场竞争能力不断增强，养殖效益稳步提升，收入显著增加。全区水产养殖产量基本保持稳定，渔业结构不断优化，水产品质量安全保障能力不断提高。水产养殖已成为全区农业和农村经济发展的新热点、农民增收致富的新亮点。</w:t>
      </w:r>
    </w:p>
    <w:p w14:paraId="20575EE1">
      <w:pPr>
        <w:spacing w:line="590" w:lineRule="exact"/>
        <w:ind w:firstLine="640" w:firstLineChars="200"/>
        <w:rPr>
          <w:szCs w:val="32"/>
        </w:rPr>
      </w:pPr>
      <w:r>
        <w:rPr>
          <w:rFonts w:hint="eastAsia"/>
          <w:szCs w:val="32"/>
        </w:rPr>
        <w:t>【</w:t>
      </w:r>
      <w:r>
        <w:rPr>
          <w:rFonts w:hint="eastAsia"/>
          <w:b/>
          <w:bCs/>
          <w:szCs w:val="32"/>
        </w:rPr>
        <w:t>养殖区域</w:t>
      </w:r>
      <w:r>
        <w:rPr>
          <w:rFonts w:hint="eastAsia"/>
          <w:szCs w:val="32"/>
        </w:rPr>
        <w:t>】</w:t>
      </w:r>
    </w:p>
    <w:p w14:paraId="20BB5BAD">
      <w:pPr>
        <w:spacing w:line="590" w:lineRule="exact"/>
        <w:ind w:firstLine="640" w:firstLineChars="200"/>
        <w:rPr>
          <w:szCs w:val="32"/>
        </w:rPr>
      </w:pPr>
      <w:r>
        <w:rPr>
          <w:rFonts w:hint="eastAsia"/>
          <w:szCs w:val="32"/>
        </w:rPr>
        <w:t>历史上通州区水域滩涂养殖区域包括海洋和内陆两个部分。由于沿海三余镇现由通州湾示范区代管，因此全区规划区域内全部为内陆淡水养殖。养殖区域包括池塘养殖和河道养殖。根据农业农村部渔业统计年报，2024年，全区水产养殖总面积为23490亩，全部为淡水池塘养殖（含连片20亩以下）。随着生态建设的需要，特别是河长制实施，目前河道养殖功能已经基本取消。</w:t>
      </w:r>
    </w:p>
    <w:p w14:paraId="019498EA">
      <w:pPr>
        <w:spacing w:line="590" w:lineRule="exact"/>
        <w:ind w:firstLine="640" w:firstLineChars="200"/>
        <w:rPr>
          <w:szCs w:val="32"/>
        </w:rPr>
      </w:pPr>
      <w:r>
        <w:rPr>
          <w:rFonts w:hint="eastAsia"/>
          <w:szCs w:val="32"/>
        </w:rPr>
        <w:t>【</w:t>
      </w:r>
      <w:r>
        <w:rPr>
          <w:rFonts w:hint="eastAsia"/>
          <w:b/>
          <w:bCs/>
          <w:szCs w:val="32"/>
        </w:rPr>
        <w:t>养殖品种、方式和效益</w:t>
      </w:r>
      <w:r>
        <w:rPr>
          <w:rFonts w:hint="eastAsia"/>
          <w:szCs w:val="32"/>
        </w:rPr>
        <w:t>】</w:t>
      </w:r>
    </w:p>
    <w:p w14:paraId="1C99729B">
      <w:pPr>
        <w:spacing w:line="590" w:lineRule="exact"/>
        <w:ind w:firstLine="640" w:firstLineChars="200"/>
        <w:rPr>
          <w:szCs w:val="32"/>
        </w:rPr>
      </w:pPr>
      <w:r>
        <w:rPr>
          <w:rFonts w:hint="eastAsia"/>
          <w:szCs w:val="32"/>
        </w:rPr>
        <w:t>2024年，通州区水产养殖产量为8884t。全区主要养殖品种为淡水常规鱼类、河蟹苗种、河蟹成蟹及少量观赏鱼等。养殖方式全部为池塘养殖，亩效益在2500-3500元。</w:t>
      </w:r>
    </w:p>
    <w:p w14:paraId="04EF91D5">
      <w:pPr>
        <w:spacing w:line="590" w:lineRule="exact"/>
        <w:ind w:firstLine="640" w:firstLineChars="200"/>
        <w:rPr>
          <w:szCs w:val="32"/>
        </w:rPr>
      </w:pPr>
      <w:r>
        <w:rPr>
          <w:rFonts w:hint="eastAsia"/>
          <w:szCs w:val="32"/>
        </w:rPr>
        <w:t>【</w:t>
      </w:r>
      <w:r>
        <w:rPr>
          <w:rFonts w:hint="eastAsia"/>
          <w:b/>
          <w:bCs/>
          <w:szCs w:val="32"/>
        </w:rPr>
        <w:t>水域滩涂利用</w:t>
      </w:r>
      <w:r>
        <w:rPr>
          <w:rFonts w:hint="eastAsia"/>
          <w:szCs w:val="32"/>
        </w:rPr>
        <w:t>】</w:t>
      </w:r>
    </w:p>
    <w:p w14:paraId="43FE9B9A">
      <w:pPr>
        <w:spacing w:line="590" w:lineRule="exact"/>
        <w:ind w:firstLine="640" w:firstLineChars="200"/>
        <w:rPr>
          <w:szCs w:val="32"/>
        </w:rPr>
      </w:pPr>
      <w:r>
        <w:rPr>
          <w:rFonts w:hint="eastAsia"/>
          <w:szCs w:val="32"/>
        </w:rPr>
        <w:t>通州区水域滩涂相对规模较小，且比较分散，集约化和规模化程度不高。除了少数几个规模较大区域外，绝大部分连片规模在50亩以下。经营模式主要为农户个体经营。虽然水产养殖发展受到了水域滩涂规模限制，但是通州区根据自身特点，大力发展特色养殖，鳜鱼、河蟹苗种等特色养殖水平较高，在南通市乃至全省都有一定地位。另一方面，由于受空间资源限制，尽管发展水产养殖积极性较高，但是水域滩涂资源不能满足发展需求。</w:t>
      </w:r>
    </w:p>
    <w:p w14:paraId="202789D6">
      <w:pPr>
        <w:spacing w:line="590" w:lineRule="exact"/>
        <w:ind w:firstLine="640" w:firstLineChars="200"/>
        <w:rPr>
          <w:szCs w:val="32"/>
        </w:rPr>
      </w:pPr>
      <w:r>
        <w:rPr>
          <w:rFonts w:hint="eastAsia"/>
          <w:szCs w:val="32"/>
        </w:rPr>
        <w:t>【</w:t>
      </w:r>
      <w:r>
        <w:rPr>
          <w:rFonts w:hint="eastAsia"/>
          <w:b/>
          <w:bCs/>
          <w:szCs w:val="32"/>
        </w:rPr>
        <w:t>存在问题</w:t>
      </w:r>
      <w:r>
        <w:rPr>
          <w:rFonts w:hint="eastAsia"/>
          <w:szCs w:val="32"/>
        </w:rPr>
        <w:t>】</w:t>
      </w:r>
    </w:p>
    <w:p w14:paraId="1C5ED301">
      <w:pPr>
        <w:spacing w:line="590" w:lineRule="exact"/>
        <w:ind w:firstLine="640" w:firstLineChars="200"/>
        <w:rPr>
          <w:szCs w:val="32"/>
        </w:rPr>
      </w:pPr>
      <w:r>
        <w:rPr>
          <w:rFonts w:hint="eastAsia"/>
          <w:szCs w:val="32"/>
        </w:rPr>
        <w:t>虽然通州区水产养殖取得了长足发展，但也面临一些问题和困难：</w:t>
      </w:r>
    </w:p>
    <w:p w14:paraId="03F03484">
      <w:pPr>
        <w:spacing w:line="590" w:lineRule="exact"/>
        <w:ind w:firstLine="640" w:firstLineChars="200"/>
        <w:rPr>
          <w:szCs w:val="32"/>
        </w:rPr>
      </w:pPr>
      <w:r>
        <w:rPr>
          <w:rFonts w:hint="eastAsia"/>
          <w:szCs w:val="32"/>
        </w:rPr>
        <w:t>1.土地和水域资源日趋紧张，水产养殖与其他产业在空间布局上矛盾凸显，部分养殖区域空间被压缩。</w:t>
      </w:r>
    </w:p>
    <w:p w14:paraId="3B02526F">
      <w:pPr>
        <w:spacing w:line="590" w:lineRule="exact"/>
        <w:ind w:firstLine="640" w:firstLineChars="200"/>
        <w:rPr>
          <w:szCs w:val="32"/>
        </w:rPr>
      </w:pPr>
      <w:r>
        <w:rPr>
          <w:rFonts w:hint="eastAsia"/>
          <w:szCs w:val="32"/>
        </w:rPr>
        <w:t>2.水产养殖基础设施尚不完善，部分池塘建设标准不高，物联网等现代科技的应用层次较低，普及程度不高。</w:t>
      </w:r>
    </w:p>
    <w:p w14:paraId="0929B6D3">
      <w:pPr>
        <w:spacing w:line="590" w:lineRule="exact"/>
        <w:ind w:firstLine="640" w:firstLineChars="200"/>
        <w:rPr>
          <w:szCs w:val="32"/>
        </w:rPr>
      </w:pPr>
      <w:r>
        <w:rPr>
          <w:rFonts w:hint="eastAsia"/>
          <w:szCs w:val="32"/>
        </w:rPr>
        <w:t>3.水产养殖受到环境越来越多制约，养殖尾水处理后达标排放已经成为强制性要求。</w:t>
      </w:r>
    </w:p>
    <w:p w14:paraId="198345F5">
      <w:pPr>
        <w:spacing w:line="590" w:lineRule="exact"/>
        <w:ind w:firstLine="640" w:firstLineChars="200"/>
        <w:rPr>
          <w:szCs w:val="32"/>
        </w:rPr>
      </w:pPr>
      <w:r>
        <w:rPr>
          <w:rFonts w:hint="eastAsia"/>
          <w:szCs w:val="32"/>
        </w:rPr>
        <w:t>4.养殖病害发生较为频繁，突发性、不明原因病害较多。</w:t>
      </w:r>
    </w:p>
    <w:p w14:paraId="75BDD0C4">
      <w:pPr>
        <w:spacing w:line="590" w:lineRule="exact"/>
        <w:ind w:firstLine="640" w:firstLineChars="200"/>
        <w:rPr>
          <w:szCs w:val="32"/>
        </w:rPr>
      </w:pPr>
      <w:r>
        <w:rPr>
          <w:rFonts w:hint="eastAsia"/>
          <w:szCs w:val="32"/>
        </w:rPr>
        <w:t>5.水产养殖产业化、组织化程度仍然不高。</w:t>
      </w:r>
    </w:p>
    <w:p w14:paraId="50702CFA">
      <w:pPr>
        <w:spacing w:line="590" w:lineRule="exact"/>
        <w:ind w:firstLine="640" w:firstLineChars="200"/>
        <w:rPr>
          <w:szCs w:val="32"/>
        </w:rPr>
      </w:pPr>
      <w:r>
        <w:rPr>
          <w:rFonts w:hint="eastAsia"/>
          <w:szCs w:val="32"/>
        </w:rPr>
        <w:t>6.新型渔业经营主体力量薄弱，自主科技创新能力有待进一步提高，渔业的组织化程度有待进一步提升。</w:t>
      </w:r>
    </w:p>
    <w:p w14:paraId="12D1E249">
      <w:pPr>
        <w:widowControl/>
        <w:numPr>
          <w:ilvl w:val="0"/>
          <w:numId w:val="1"/>
        </w:numPr>
        <w:spacing w:line="590" w:lineRule="exact"/>
        <w:jc w:val="left"/>
        <w:rPr>
          <w:rFonts w:ascii="楷体_GB2312" w:hAnsi="楷体_GB2312" w:eastAsia="楷体_GB2312" w:cs="楷体_GB2312"/>
          <w:color w:val="000000"/>
          <w:spacing w:val="-4"/>
          <w:kern w:val="2"/>
          <w:szCs w:val="32"/>
        </w:rPr>
      </w:pPr>
      <w:r>
        <w:rPr>
          <w:rFonts w:ascii="楷体_GB2312" w:hAnsi="楷体_GB2312" w:eastAsia="楷体_GB2312" w:cs="楷体_GB2312"/>
          <w:color w:val="000000"/>
          <w:spacing w:val="-4"/>
          <w:kern w:val="2"/>
          <w:szCs w:val="32"/>
        </w:rPr>
        <w:t>区域经济发展方向</w:t>
      </w:r>
    </w:p>
    <w:p w14:paraId="5F52AA49">
      <w:pPr>
        <w:spacing w:line="590" w:lineRule="exact"/>
        <w:ind w:firstLine="640" w:firstLineChars="200"/>
        <w:rPr>
          <w:szCs w:val="32"/>
        </w:rPr>
      </w:pPr>
      <w:r>
        <w:rPr>
          <w:rFonts w:hint="eastAsia"/>
          <w:szCs w:val="32"/>
        </w:rPr>
        <w:t>通州区经济社会发展的战略定位是长三角北翼高质量发展标杆与产业创新策源地。作为南通“一主三副”城市空间结构的核心板块，战略定位聚焦“长三角一体化发展重要节点”“南通跨江融合门户”“新质生产力培育试验区”三大方向。依托南通新机场、通苏嘉甬铁路、通州湾新出海口等重大工程，构建“空铁水公”立体交通网络，打造“上海北翼门户”和“长三角40分钟产业协同圈”，形成区域协同发展枢纽。以“人工智能+制造”为核心，布局半导体、低空经济等未来产业，推动传统产业数字化转型与新兴产业规模化发展，建设新质生产力先行区。大力建设宜居宜业和美乡村，形成“城市更新+乡村振兴”双轮驱动的城乡统筹格局，城乡融合示范窗口。联动通州湾新出海口，打造“港产城”融合示范区，引领南通建设长江口产业创新绿色发展协同区。通过“链式升级+创新驱动+环境赋能”，从传统工业强区向现代化产业新城跨越，成为长三角北翼最具增长潜力的经济板块之一。</w:t>
      </w:r>
    </w:p>
    <w:p w14:paraId="1A969EE3">
      <w:pPr>
        <w:spacing w:line="590" w:lineRule="exact"/>
        <w:ind w:firstLine="640" w:firstLineChars="200"/>
        <w:rPr>
          <w:szCs w:val="32"/>
        </w:rPr>
      </w:pPr>
      <w:r>
        <w:rPr>
          <w:rFonts w:hint="eastAsia"/>
          <w:szCs w:val="32"/>
        </w:rPr>
        <w:t>2024年，通州区实现地区生产总值1787.9亿元，按可比价计算，比上年增长6.5%。其中，第一产业增加值73.1亿元，增长1.9%；第二产业增加值901.5亿元，增长8.0%；第三产业增加值813.3亿元，增长5.2%。三次产业结构占比为4.1:50.4:45.5。结构不断优化，走上了良性发展的道路，也为水产养殖健康发展提供了有力的支撑。</w:t>
      </w:r>
    </w:p>
    <w:p w14:paraId="0E61017F">
      <w:pPr>
        <w:widowControl/>
        <w:spacing w:line="590" w:lineRule="exact"/>
        <w:ind w:firstLineChars="200"/>
        <w:jc w:val="left"/>
        <w:rPr>
          <w:rFonts w:ascii="楷体_GB2312" w:hAnsi="楷体_GB2312" w:eastAsia="楷体_GB2312" w:cs="楷体_GB2312"/>
          <w:color w:val="000000"/>
          <w:spacing w:val="-4"/>
          <w:kern w:val="2"/>
          <w:szCs w:val="32"/>
        </w:rPr>
      </w:pPr>
      <w:r>
        <w:rPr>
          <w:rFonts w:ascii="楷体_GB2312" w:hAnsi="楷体_GB2312" w:eastAsia="楷体_GB2312" w:cs="楷体_GB2312"/>
          <w:color w:val="000000"/>
          <w:spacing w:val="-4"/>
          <w:kern w:val="2"/>
          <w:szCs w:val="32"/>
        </w:rPr>
        <w:t>第三条水产养殖前景预测</w:t>
      </w:r>
    </w:p>
    <w:p w14:paraId="7B310A67">
      <w:pPr>
        <w:spacing w:line="590" w:lineRule="exact"/>
        <w:ind w:firstLine="640" w:firstLineChars="200"/>
        <w:rPr>
          <w:szCs w:val="32"/>
        </w:rPr>
      </w:pPr>
      <w:r>
        <w:rPr>
          <w:rFonts w:hint="eastAsia"/>
          <w:szCs w:val="32"/>
        </w:rPr>
        <w:t>【</w:t>
      </w:r>
      <w:r>
        <w:fldChar w:fldCharType="begin"/>
      </w:r>
      <w:r>
        <w:instrText xml:space="preserve"> HYPERLINK \l "_Toc30464" </w:instrText>
      </w:r>
      <w:r>
        <w:fldChar w:fldCharType="separate"/>
      </w:r>
      <w:r>
        <w:rPr>
          <w:rFonts w:hint="eastAsia"/>
          <w:b/>
          <w:bCs/>
          <w:szCs w:val="32"/>
        </w:rPr>
        <w:t>发展潜力</w:t>
      </w:r>
      <w:r>
        <w:rPr>
          <w:rFonts w:hint="eastAsia"/>
          <w:b/>
          <w:bCs/>
          <w:szCs w:val="32"/>
        </w:rPr>
        <w:fldChar w:fldCharType="end"/>
      </w:r>
      <w:r>
        <w:rPr>
          <w:rFonts w:hint="eastAsia"/>
          <w:szCs w:val="32"/>
        </w:rPr>
        <w:t>】</w:t>
      </w:r>
    </w:p>
    <w:p w14:paraId="0E0FB269">
      <w:pPr>
        <w:spacing w:line="590" w:lineRule="exact"/>
        <w:ind w:firstLine="640" w:firstLineChars="200"/>
        <w:rPr>
          <w:szCs w:val="32"/>
        </w:rPr>
      </w:pPr>
      <w:r>
        <w:rPr>
          <w:rFonts w:hint="eastAsia"/>
          <w:szCs w:val="32"/>
        </w:rPr>
        <w:t>虽然通州区养殖水域滩涂资源规模有限，但是由于多年来一直把特色主导产品发展作为水产养殖发展的重要方向，取得了很好的效果。规划期内全区水产养殖将继续走特色发展的道路，借助有利区位条件和政策优势，水产养殖将得到健康、稳定发展，在全区农业中的地位和作用将得到巩固：</w:t>
      </w:r>
    </w:p>
    <w:p w14:paraId="57292C28">
      <w:pPr>
        <w:spacing w:line="590" w:lineRule="exact"/>
        <w:ind w:firstLine="640" w:firstLineChars="200"/>
        <w:rPr>
          <w:szCs w:val="32"/>
        </w:rPr>
      </w:pPr>
      <w:r>
        <w:rPr>
          <w:rFonts w:hint="eastAsia"/>
          <w:szCs w:val="32"/>
        </w:rPr>
        <w:t>一是优越的自然资源禀赋为水产养殖发展提供了良好条件。通州区濒临长江，特色淡水水产品是沿江地区深受欢迎的特色餐饮。沿江地区直接引入长江水进行生态养殖，产品的品质得到广泛认可。在长江十年禁渔措施越来越严格的情况下，优质养殖水产品将具有较好的市场竞争能力和效益。</w:t>
      </w:r>
    </w:p>
    <w:p w14:paraId="0CAEAFBE">
      <w:pPr>
        <w:spacing w:line="590" w:lineRule="exact"/>
        <w:ind w:firstLine="640" w:firstLineChars="200"/>
        <w:rPr>
          <w:szCs w:val="32"/>
        </w:rPr>
      </w:pPr>
      <w:r>
        <w:rPr>
          <w:rFonts w:hint="eastAsia"/>
          <w:szCs w:val="32"/>
        </w:rPr>
        <w:t>二是政策导向为水产养殖发展创造了良好的外部环境。通州区委、区政府高度重视特色水产养殖发展，出台了一系列优惠政策，把特色、特种水产养殖作为调整农业产业结构、增加农民收入的重要途径和举措，为水产养殖发展创造了良好的政策环境。</w:t>
      </w:r>
    </w:p>
    <w:p w14:paraId="2FC5CEEE">
      <w:pPr>
        <w:spacing w:line="590" w:lineRule="exact"/>
        <w:ind w:firstLine="640" w:firstLineChars="200"/>
        <w:rPr>
          <w:szCs w:val="32"/>
        </w:rPr>
      </w:pPr>
      <w:r>
        <w:rPr>
          <w:rFonts w:hint="eastAsia"/>
          <w:szCs w:val="32"/>
        </w:rPr>
        <w:t>三是巨大的消费市场是水产养殖发展的根本动力。水产品是优质蛋白质的重要来源，也是国家粮食安全体系的重要组成部分。随着人们生活水平的提高，市场对优质水产品需要越来越旺盛。同时，通州区位于长三角经济发达地区，随着交通等基础设施的改善，市场对休闲、体验渔业需求增加，为水产特色餐饮、休闲渔业发展创造了前所未有的机遇。</w:t>
      </w:r>
    </w:p>
    <w:p w14:paraId="3E76470A">
      <w:pPr>
        <w:spacing w:line="590" w:lineRule="exact"/>
        <w:ind w:firstLine="640" w:firstLineChars="200"/>
        <w:rPr>
          <w:szCs w:val="32"/>
        </w:rPr>
      </w:pPr>
      <w:r>
        <w:rPr>
          <w:rFonts w:hint="eastAsia"/>
          <w:szCs w:val="32"/>
        </w:rPr>
        <w:t>四是新技术运用为水产养殖展示了美好前景。以信息技术、生物技术和现代管理技术为主要内容的科技革命迅猛发展，为提高水产养殖效率和产品质量安全水平提供了技术支撑。科技进步对水产养殖发展的贡献率将不断提高，互联网+现代渔业将使水产养殖实现一次新的飞跃。</w:t>
      </w:r>
    </w:p>
    <w:p w14:paraId="5420775D">
      <w:pPr>
        <w:spacing w:line="590" w:lineRule="exact"/>
        <w:ind w:firstLine="640" w:firstLineChars="200"/>
        <w:rPr>
          <w:szCs w:val="32"/>
        </w:rPr>
      </w:pPr>
      <w:r>
        <w:rPr>
          <w:rFonts w:hint="eastAsia"/>
          <w:szCs w:val="32"/>
        </w:rPr>
        <w:t>五是坚实的发展基础。经过长期探索和发展，通州区水产养殖已经具有一定的规模和较高发展质量，为高起点发展和转型升级打下了坚实基础。</w:t>
      </w:r>
    </w:p>
    <w:p w14:paraId="6CF23AE1">
      <w:pPr>
        <w:spacing w:line="590" w:lineRule="exact"/>
        <w:ind w:firstLine="640" w:firstLineChars="200"/>
        <w:rPr>
          <w:szCs w:val="32"/>
        </w:rPr>
      </w:pPr>
      <w:bookmarkStart w:id="14" w:name="_Toc14526"/>
      <w:bookmarkStart w:id="15" w:name="_Toc11674"/>
      <w:bookmarkStart w:id="16" w:name="_Toc8562"/>
      <w:r>
        <w:rPr>
          <w:rFonts w:hint="eastAsia"/>
          <w:szCs w:val="32"/>
        </w:rPr>
        <w:t>【</w:t>
      </w:r>
      <w:r>
        <w:rPr>
          <w:rFonts w:hint="eastAsia"/>
          <w:b/>
          <w:bCs/>
          <w:szCs w:val="32"/>
        </w:rPr>
        <w:t>发展</w:t>
      </w:r>
      <w:bookmarkEnd w:id="14"/>
      <w:bookmarkEnd w:id="15"/>
      <w:bookmarkEnd w:id="16"/>
      <w:r>
        <w:rPr>
          <w:rFonts w:hint="eastAsia"/>
          <w:b/>
          <w:bCs/>
          <w:szCs w:val="32"/>
        </w:rPr>
        <w:t>趋势</w:t>
      </w:r>
      <w:r>
        <w:rPr>
          <w:rFonts w:hint="eastAsia"/>
          <w:szCs w:val="32"/>
        </w:rPr>
        <w:t>】</w:t>
      </w:r>
    </w:p>
    <w:p w14:paraId="192F191A">
      <w:pPr>
        <w:spacing w:line="590" w:lineRule="exact"/>
        <w:ind w:firstLine="640" w:firstLineChars="200"/>
        <w:rPr>
          <w:szCs w:val="32"/>
        </w:rPr>
      </w:pPr>
      <w:r>
        <w:rPr>
          <w:rFonts w:hint="eastAsia"/>
          <w:szCs w:val="32"/>
        </w:rPr>
        <w:t>一是通州区水域滩涂资源有限，利用已经接近饱和，水产养殖发展不可能依靠扩大水产养殖规模实现，必须调优养殖结构、提高养殖产品质量和附加值。渔业资源增殖放流、渔业生态环境补偿与修复的力度将不断加强。</w:t>
      </w:r>
    </w:p>
    <w:p w14:paraId="4FAE4CCE">
      <w:pPr>
        <w:spacing w:line="590" w:lineRule="exact"/>
        <w:ind w:firstLine="640" w:firstLineChars="200"/>
        <w:rPr>
          <w:szCs w:val="32"/>
        </w:rPr>
      </w:pPr>
      <w:r>
        <w:rPr>
          <w:rFonts w:hint="eastAsia"/>
          <w:szCs w:val="32"/>
        </w:rPr>
        <w:t>二是在空间资源受限的情况下，将致力于发展高效集约式养殖和多元生态养殖，健康养殖将成为主流和必然。</w:t>
      </w:r>
    </w:p>
    <w:p w14:paraId="4B91FFE1">
      <w:pPr>
        <w:spacing w:line="590" w:lineRule="exact"/>
        <w:ind w:firstLine="640" w:firstLineChars="200"/>
        <w:rPr>
          <w:szCs w:val="32"/>
        </w:rPr>
      </w:pPr>
      <w:r>
        <w:rPr>
          <w:rFonts w:hint="eastAsia"/>
          <w:szCs w:val="32"/>
        </w:rPr>
        <w:t>三是环境保护要求越来越高，规模连片养殖池塘必须进行生态化和标准化改造，养殖尾水必须处理后实行达标排放。水产养殖产品质量安全要求越来越高，产品质量追溯体系成为渔业管理重要内容。</w:t>
      </w:r>
    </w:p>
    <w:p w14:paraId="10B115A0">
      <w:pPr>
        <w:spacing w:line="590" w:lineRule="exact"/>
        <w:ind w:firstLine="640" w:firstLineChars="200"/>
        <w:rPr>
          <w:szCs w:val="32"/>
        </w:rPr>
      </w:pPr>
      <w:r>
        <w:rPr>
          <w:rFonts w:hint="eastAsia"/>
          <w:szCs w:val="32"/>
        </w:rPr>
        <w:t>四是智慧渔业发展前景广阔，人工智能在水产养殖中的应用将会快速发展，数字渔场建设将对养殖效益、水产品质量安全水平的提升，以及生态环境保护发挥重要作用，促进全区水产养殖高质量发展。</w:t>
      </w:r>
    </w:p>
    <w:p w14:paraId="33C66334">
      <w:pPr>
        <w:spacing w:line="590" w:lineRule="exact"/>
        <w:ind w:firstLine="640" w:firstLineChars="200"/>
        <w:rPr>
          <w:szCs w:val="32"/>
        </w:rPr>
      </w:pPr>
      <w:r>
        <w:rPr>
          <w:rFonts w:hint="eastAsia"/>
          <w:szCs w:val="32"/>
        </w:rPr>
        <w:t>五是将水产养殖与休闲体验渔业相结合将成为发展趋势，对促进渔业增效将起到重要作用，一二三产业融合发展成为必然。通州区独特的区位和周边地区经济发展优势将发挥重要作用，大桥、高铁、机场等交通设施进一步完善，优势进一步显现。</w:t>
      </w:r>
    </w:p>
    <w:p w14:paraId="420ADBE0">
      <w:pPr>
        <w:spacing w:line="590" w:lineRule="exact"/>
        <w:ind w:firstLine="640" w:firstLineChars="200"/>
        <w:rPr>
          <w:szCs w:val="32"/>
        </w:rPr>
      </w:pPr>
      <w:r>
        <w:rPr>
          <w:rFonts w:hint="eastAsia"/>
          <w:szCs w:val="32"/>
        </w:rPr>
        <w:t>【</w:t>
      </w:r>
      <w:r>
        <w:rPr>
          <w:rFonts w:hint="eastAsia"/>
          <w:b/>
          <w:bCs/>
          <w:szCs w:val="32"/>
        </w:rPr>
        <w:t>养殖水域滩涂需求</w:t>
      </w:r>
      <w:r>
        <w:rPr>
          <w:rFonts w:hint="eastAsia"/>
          <w:szCs w:val="32"/>
        </w:rPr>
        <w:t>】</w:t>
      </w:r>
    </w:p>
    <w:p w14:paraId="37AB0958">
      <w:pPr>
        <w:spacing w:line="590" w:lineRule="exact"/>
        <w:ind w:firstLine="640" w:firstLineChars="200"/>
        <w:rPr>
          <w:szCs w:val="32"/>
        </w:rPr>
      </w:pPr>
      <w:r>
        <w:rPr>
          <w:rFonts w:hint="eastAsia"/>
          <w:szCs w:val="32"/>
        </w:rPr>
        <w:t>随着人们生活水平的提高，市场对优质水产品的需求将不断增加。水产养殖，特别是名特优水产品养殖具有良好的比较效益，吸引更多农民和各种资本投入水产养殖，推动水产养殖发展。同时，城镇化、工业化推进对土地和水域滩涂等空间资源需求也不断增长。这就造成一方面农民发展水产养殖积极性较高，对水域滩涂需求旺盛，另一方面受制于资源不足，水域滩涂有效供给不能满足发展需要。部分现有养殖水域由于各种原因可能将退出养殖功能。</w:t>
      </w:r>
    </w:p>
    <w:p w14:paraId="4997AB34">
      <w:pPr>
        <w:spacing w:line="590" w:lineRule="exact"/>
        <w:ind w:firstLine="640" w:firstLineChars="200"/>
        <w:rPr>
          <w:szCs w:val="32"/>
        </w:rPr>
      </w:pPr>
      <w:r>
        <w:rPr>
          <w:rFonts w:hint="eastAsia"/>
          <w:szCs w:val="32"/>
        </w:rPr>
        <w:t>【</w:t>
      </w:r>
      <w:r>
        <w:rPr>
          <w:rFonts w:hint="eastAsia"/>
          <w:b/>
          <w:bCs/>
          <w:szCs w:val="32"/>
        </w:rPr>
        <w:t>水产养殖发展展望</w:t>
      </w:r>
      <w:r>
        <w:rPr>
          <w:rFonts w:hint="eastAsia"/>
          <w:szCs w:val="32"/>
        </w:rPr>
        <w:t>】</w:t>
      </w:r>
    </w:p>
    <w:p w14:paraId="450C6CD1">
      <w:pPr>
        <w:spacing w:line="590" w:lineRule="exact"/>
        <w:ind w:firstLine="640" w:firstLineChars="200"/>
        <w:rPr>
          <w:szCs w:val="32"/>
        </w:rPr>
      </w:pPr>
      <w:r>
        <w:rPr>
          <w:rFonts w:hint="eastAsia"/>
          <w:szCs w:val="32"/>
        </w:rPr>
        <w:t>今后一段时期，通州区水产养殖将保持稳定、健康发展的态势。水产养殖面积和产量将趋于稳定或略有减少，水产品质量安全保障水平进一步提高。随着水产养殖转型升级和供给侧结构性改革的推进，发展质量将得到提高，优质品牌产品和精品所占比例增加，水产养殖抵御市场和自然灾害、病害等风险的能力提升。水产养殖与城镇化、工业化和生态文明建设的关系趋于协调，可持续发展能力逐步增强，现代特色渔业强县（市）建设将取得明显进展。</w:t>
      </w:r>
    </w:p>
    <w:p w14:paraId="20E90A52">
      <w:pPr>
        <w:keepNext/>
        <w:keepLines/>
        <w:spacing w:line="590" w:lineRule="exact"/>
        <w:outlineLvl w:val="1"/>
        <w:rPr>
          <w:rFonts w:ascii="黑体" w:hAnsi="黑体" w:eastAsia="黑体" w:cs="黑体"/>
          <w:bCs/>
          <w:color w:val="000000"/>
          <w:szCs w:val="32"/>
        </w:rPr>
      </w:pPr>
      <w:bookmarkStart w:id="17" w:name="_Toc22274"/>
      <w:bookmarkStart w:id="18" w:name="_Toc6937"/>
      <w:r>
        <w:rPr>
          <w:rFonts w:ascii="黑体" w:hAnsi="黑体" w:eastAsia="黑体" w:cs="黑体"/>
          <w:bCs/>
          <w:color w:val="000000"/>
          <w:szCs w:val="32"/>
        </w:rPr>
        <w:t>第八节养殖水域滩涂开发总体思路</w:t>
      </w:r>
      <w:bookmarkEnd w:id="17"/>
      <w:bookmarkEnd w:id="18"/>
    </w:p>
    <w:p w14:paraId="39A5D871">
      <w:pPr>
        <w:autoSpaceDE/>
        <w:autoSpaceDN/>
        <w:spacing w:line="590" w:lineRule="exact"/>
        <w:ind w:firstLine="640" w:firstLineChars="200"/>
        <w:rPr>
          <w:szCs w:val="32"/>
        </w:rPr>
      </w:pPr>
      <w:r>
        <w:rPr>
          <w:rFonts w:hint="eastAsia"/>
          <w:szCs w:val="32"/>
        </w:rPr>
        <w:t>养殖水域滩涂开发的总体思路是：科学规划、合理使用养殖水域滩涂，提高养殖水域滩涂利用效率和效益，节约使用水域滩涂。以“信息化、机械化、智能化”为主抓手，以发展高效、生态、绿色渔业和实现高质量发展为目标，在加强渔业资源保护、增殖、开发和合理利用的基础上，加大生态渔业和设施渔业，特别是集约化程度更高的工厂化养殖的发展力度，探索发展智慧渔业、数字渔场，提升水产养殖基础设施建设和现代化水平。强化水产品质量安全管理，大力实施农业农村部水产绿色健康养殖五大行动，提高渔业社会化服务水平和组织化程度，实施科教兴渔战略，促进渔业增效、渔民增收，使水产养殖成为全区优化渔业产业结构，促进农民增收的重要途径，为乡村振兴战略实施和美丽乡村建设做出新的贡献。</w:t>
      </w:r>
    </w:p>
    <w:p w14:paraId="14203202">
      <w:pPr>
        <w:pStyle w:val="2"/>
      </w:pPr>
    </w:p>
    <w:p w14:paraId="44B6882F">
      <w:pPr>
        <w:pStyle w:val="3"/>
        <w:spacing w:line="590" w:lineRule="exact"/>
        <w:ind w:firstLine="0"/>
        <w:jc w:val="center"/>
        <w:rPr>
          <w:rFonts w:ascii="方正黑体_GBK" w:hAnsi="方正黑体_GBK" w:eastAsia="方正黑体_GBK" w:cs="方正黑体_GBK"/>
          <w:kern w:val="0"/>
          <w:szCs w:val="44"/>
        </w:rPr>
      </w:pPr>
      <w:bookmarkStart w:id="19" w:name="_Toc23226"/>
      <w:r>
        <w:rPr>
          <w:rFonts w:hint="eastAsia" w:ascii="方正黑体_GBK" w:hAnsi="方正黑体_GBK" w:eastAsia="方正黑体_GBK" w:cs="方正黑体_GBK"/>
          <w:kern w:val="0"/>
          <w:szCs w:val="44"/>
        </w:rPr>
        <w:t>第三章  养殖水域滩涂功能区划</w:t>
      </w:r>
      <w:bookmarkEnd w:id="19"/>
    </w:p>
    <w:p w14:paraId="142ACE62">
      <w:pPr>
        <w:keepNext/>
        <w:keepLines/>
        <w:spacing w:line="590" w:lineRule="exact"/>
        <w:outlineLvl w:val="1"/>
        <w:rPr>
          <w:rFonts w:ascii="黑体" w:hAnsi="黑体" w:eastAsia="黑体" w:cs="黑体"/>
          <w:bCs/>
          <w:color w:val="000000"/>
          <w:sz w:val="30"/>
          <w:szCs w:val="30"/>
        </w:rPr>
      </w:pPr>
      <w:bookmarkStart w:id="20" w:name="_Toc13084"/>
      <w:r>
        <w:rPr>
          <w:rFonts w:ascii="黑体" w:hAnsi="黑体" w:eastAsia="黑体" w:cs="黑体"/>
          <w:bCs/>
          <w:color w:val="000000"/>
          <w:szCs w:val="32"/>
        </w:rPr>
        <w:t>第九节功能区划概述</w:t>
      </w:r>
      <w:bookmarkEnd w:id="20"/>
    </w:p>
    <w:p w14:paraId="49DE3B9D">
      <w:pPr>
        <w:spacing w:line="590" w:lineRule="exact"/>
        <w:ind w:firstLine="640" w:firstLineChars="200"/>
        <w:rPr>
          <w:szCs w:val="32"/>
        </w:rPr>
      </w:pPr>
      <w:r>
        <w:rPr>
          <w:rFonts w:hint="eastAsia"/>
          <w:szCs w:val="32"/>
        </w:rPr>
        <w:t>农业部《养殖水域滩涂规划编制工作规范》将养殖水域功能区划分为禁止养殖区、限制养殖区和养殖区三种类型。划分方法和依据如下：</w:t>
      </w:r>
    </w:p>
    <w:p w14:paraId="744D2743">
      <w:pPr>
        <w:spacing w:line="590" w:lineRule="exact"/>
        <w:ind w:firstLine="640" w:firstLineChars="200"/>
        <w:rPr>
          <w:szCs w:val="32"/>
        </w:rPr>
      </w:pPr>
      <w:r>
        <w:rPr>
          <w:rFonts w:hint="eastAsia"/>
          <w:szCs w:val="32"/>
        </w:rPr>
        <w:t>【</w:t>
      </w:r>
      <w:r>
        <w:rPr>
          <w:rFonts w:hint="eastAsia"/>
          <w:b/>
          <w:bCs/>
          <w:szCs w:val="32"/>
        </w:rPr>
        <w:t>禁止养殖区</w:t>
      </w:r>
      <w:r>
        <w:rPr>
          <w:rFonts w:hint="eastAsia"/>
          <w:szCs w:val="32"/>
        </w:rPr>
        <w:t>】</w:t>
      </w:r>
    </w:p>
    <w:p w14:paraId="6485751B">
      <w:pPr>
        <w:spacing w:line="590" w:lineRule="exact"/>
        <w:ind w:firstLine="640" w:firstLineChars="200"/>
        <w:rPr>
          <w:szCs w:val="32"/>
        </w:rPr>
      </w:pPr>
      <w:r>
        <w:rPr>
          <w:rFonts w:hint="eastAsia"/>
          <w:szCs w:val="32"/>
        </w:rPr>
        <w:t>（一）禁止在饮用水水源地一级保护区、自然保护区核心区和缓冲区、国家级水产种质资源保护区核心区和未批准利用的无居民海岛等重点生态功能区开展水产养殖。</w:t>
      </w:r>
    </w:p>
    <w:p w14:paraId="3BE1AFD4">
      <w:pPr>
        <w:spacing w:line="590" w:lineRule="exact"/>
        <w:ind w:firstLine="640" w:firstLineChars="200"/>
        <w:rPr>
          <w:szCs w:val="32"/>
        </w:rPr>
      </w:pPr>
      <w:r>
        <w:rPr>
          <w:rFonts w:hint="eastAsia"/>
          <w:szCs w:val="32"/>
        </w:rPr>
        <w:t>（二）禁止在港口、航道、行洪区、河道堤防安全保护区等公共设施安全水域开展水产养殖。</w:t>
      </w:r>
    </w:p>
    <w:p w14:paraId="4491C07F">
      <w:pPr>
        <w:spacing w:line="590" w:lineRule="exact"/>
        <w:ind w:firstLine="640" w:firstLineChars="200"/>
        <w:rPr>
          <w:szCs w:val="32"/>
        </w:rPr>
      </w:pPr>
      <w:r>
        <w:rPr>
          <w:rFonts w:hint="eastAsia"/>
          <w:szCs w:val="32"/>
        </w:rPr>
        <w:t>（三）禁止在有毒有害物质超过规定标准的水体开展水产养殖。</w:t>
      </w:r>
    </w:p>
    <w:p w14:paraId="3ED28B3D">
      <w:pPr>
        <w:spacing w:line="590" w:lineRule="exact"/>
        <w:ind w:firstLine="640" w:firstLineChars="200"/>
        <w:rPr>
          <w:szCs w:val="32"/>
        </w:rPr>
      </w:pPr>
      <w:r>
        <w:rPr>
          <w:rFonts w:hint="eastAsia"/>
          <w:szCs w:val="32"/>
        </w:rPr>
        <w:t>（四）法律法规规定的其他禁止从事水产养殖的区域。</w:t>
      </w:r>
    </w:p>
    <w:p w14:paraId="38926424">
      <w:pPr>
        <w:spacing w:line="590" w:lineRule="exact"/>
        <w:ind w:firstLine="640" w:firstLineChars="200"/>
        <w:rPr>
          <w:szCs w:val="32"/>
        </w:rPr>
      </w:pPr>
      <w:r>
        <w:rPr>
          <w:rFonts w:hint="eastAsia"/>
          <w:szCs w:val="32"/>
        </w:rPr>
        <w:t>通州区需要规划为禁止养殖区的主要区域为长江和河道堤防区域。</w:t>
      </w:r>
    </w:p>
    <w:p w14:paraId="2DE37D1B">
      <w:pPr>
        <w:spacing w:line="590" w:lineRule="exact"/>
        <w:ind w:firstLine="640" w:firstLineChars="200"/>
        <w:rPr>
          <w:szCs w:val="32"/>
        </w:rPr>
      </w:pPr>
      <w:r>
        <w:rPr>
          <w:rFonts w:hint="eastAsia"/>
          <w:szCs w:val="32"/>
        </w:rPr>
        <w:t>【</w:t>
      </w:r>
      <w:r>
        <w:rPr>
          <w:rFonts w:hint="eastAsia"/>
          <w:b/>
          <w:bCs/>
          <w:szCs w:val="32"/>
        </w:rPr>
        <w:t>限制养殖区</w:t>
      </w:r>
      <w:r>
        <w:rPr>
          <w:rFonts w:hint="eastAsia"/>
          <w:szCs w:val="32"/>
        </w:rPr>
        <w:t>】</w:t>
      </w:r>
    </w:p>
    <w:p w14:paraId="651C7764">
      <w:pPr>
        <w:spacing w:line="590" w:lineRule="exact"/>
        <w:ind w:firstLine="640" w:firstLineChars="200"/>
        <w:rPr>
          <w:szCs w:val="32"/>
        </w:rPr>
      </w:pPr>
      <w:r>
        <w:rPr>
          <w:rFonts w:hint="eastAsia"/>
          <w:szCs w:val="32"/>
        </w:rPr>
        <w:t>（一）限制在饮用水水源二级保护区、自然保护区实验区和外围保护地带、国家级水产种质资源保护区实验区、风景名胜区、依法确定为开展旅游活动的可利用无居民海岛及其周边海域等生态功能区开展水产养殖。在以上区域内进行水产养殖的应采取污染防治措施，污染物排放不得超过国家和地方规定的污染物排放标准。</w:t>
      </w:r>
    </w:p>
    <w:p w14:paraId="4544F155">
      <w:pPr>
        <w:spacing w:line="590" w:lineRule="exact"/>
        <w:ind w:firstLine="640" w:firstLineChars="200"/>
        <w:rPr>
          <w:szCs w:val="32"/>
        </w:rPr>
      </w:pPr>
      <w:r>
        <w:rPr>
          <w:rFonts w:hint="eastAsia"/>
          <w:szCs w:val="32"/>
        </w:rPr>
        <w:t>（二）限制在重点湖泊水库及近岸海域等公共自然水域开展网箱围栏养殖。重点湖泊水库饲养滤食性鱼类的网箱围栏总面积不超过水域面积的1%，饲养吃食性鱼类的网箱围栏总面积不超过水域面积的0.25%；重点近岸海域浮动式网箱面积不超过海区宜养面积10%。</w:t>
      </w:r>
    </w:p>
    <w:p w14:paraId="2FA60FD5">
      <w:pPr>
        <w:spacing w:line="590" w:lineRule="exact"/>
        <w:ind w:firstLine="640" w:firstLineChars="200"/>
        <w:rPr>
          <w:szCs w:val="32"/>
        </w:rPr>
      </w:pPr>
      <w:r>
        <w:rPr>
          <w:rFonts w:hint="eastAsia"/>
          <w:szCs w:val="32"/>
        </w:rPr>
        <w:t>（三）法律法规规定的其他限制养殖区。</w:t>
      </w:r>
    </w:p>
    <w:p w14:paraId="7D2475D9">
      <w:pPr>
        <w:spacing w:line="590" w:lineRule="exact"/>
        <w:ind w:firstLine="640" w:firstLineChars="200"/>
        <w:rPr>
          <w:szCs w:val="32"/>
        </w:rPr>
      </w:pPr>
      <w:r>
        <w:rPr>
          <w:rFonts w:hint="eastAsia"/>
          <w:szCs w:val="32"/>
        </w:rPr>
        <w:t>通州区规划为限制养殖区的区域主要为位于永久基本农田的已经存在的养殖池塘。</w:t>
      </w:r>
    </w:p>
    <w:p w14:paraId="61D1E103">
      <w:pPr>
        <w:spacing w:line="590" w:lineRule="exact"/>
        <w:ind w:firstLine="640" w:firstLineChars="200"/>
        <w:rPr>
          <w:szCs w:val="32"/>
        </w:rPr>
      </w:pPr>
      <w:r>
        <w:rPr>
          <w:rFonts w:hint="eastAsia"/>
          <w:szCs w:val="32"/>
        </w:rPr>
        <w:t>【</w:t>
      </w:r>
      <w:r>
        <w:rPr>
          <w:rFonts w:hint="eastAsia"/>
          <w:b/>
          <w:bCs/>
          <w:szCs w:val="32"/>
        </w:rPr>
        <w:t>养殖区</w:t>
      </w:r>
      <w:r>
        <w:rPr>
          <w:rFonts w:hint="eastAsia"/>
          <w:szCs w:val="32"/>
        </w:rPr>
        <w:t>】</w:t>
      </w:r>
    </w:p>
    <w:p w14:paraId="1094560D">
      <w:pPr>
        <w:spacing w:line="590" w:lineRule="exact"/>
        <w:ind w:firstLine="640" w:firstLineChars="200"/>
        <w:rPr>
          <w:szCs w:val="32"/>
        </w:rPr>
      </w:pPr>
      <w:r>
        <w:rPr>
          <w:rFonts w:hint="eastAsia"/>
          <w:szCs w:val="32"/>
        </w:rPr>
        <w:t>（一）海水养殖区，包括海上养殖区和滩涂及陆地养殖区。</w:t>
      </w:r>
    </w:p>
    <w:p w14:paraId="599FEB13">
      <w:pPr>
        <w:spacing w:line="590" w:lineRule="exact"/>
        <w:ind w:firstLine="640" w:firstLineChars="200"/>
        <w:rPr>
          <w:szCs w:val="32"/>
        </w:rPr>
      </w:pPr>
      <w:r>
        <w:rPr>
          <w:rFonts w:hint="eastAsia"/>
          <w:szCs w:val="32"/>
        </w:rPr>
        <w:t>（二）淡水养殖区，包括池塘养殖区、水库养殖区、湖泊养殖区和其他养殖区。</w:t>
      </w:r>
    </w:p>
    <w:p w14:paraId="6F1E804B">
      <w:pPr>
        <w:spacing w:line="590" w:lineRule="exact"/>
        <w:ind w:firstLine="640" w:firstLineChars="200"/>
        <w:rPr>
          <w:szCs w:val="32"/>
        </w:rPr>
      </w:pPr>
      <w:r>
        <w:rPr>
          <w:rFonts w:hint="eastAsia"/>
          <w:szCs w:val="32"/>
        </w:rPr>
        <w:t>通州区规划的养殖区为淡水养殖区中的池塘养殖区。</w:t>
      </w:r>
    </w:p>
    <w:p w14:paraId="15A13754">
      <w:pPr>
        <w:widowControl/>
        <w:wordWrap w:val="0"/>
        <w:autoSpaceDE/>
        <w:autoSpaceDN/>
        <w:spacing w:afterLines="50" w:line="590" w:lineRule="exact"/>
        <w:ind w:firstLine="0"/>
        <w:jc w:val="center"/>
        <w:rPr>
          <w:rFonts w:ascii="楷体_GB2312" w:hAnsi="楷体_GB2312" w:eastAsia="楷体_GB2312" w:cs="楷体_GB2312"/>
          <w:snapToGrid/>
          <w:color w:val="000000"/>
          <w:kern w:val="2"/>
          <w:sz w:val="36"/>
          <w:szCs w:val="36"/>
        </w:rPr>
      </w:pPr>
      <w:r>
        <w:rPr>
          <w:rFonts w:hint="eastAsia" w:ascii="仿宋_GB2312" w:hAnsi="仿宋_GB2312" w:eastAsia="仿宋_GB2312" w:cs="仿宋_GB2312"/>
          <w:snapToGrid/>
          <w:color w:val="000000"/>
          <w:sz w:val="30"/>
          <w:szCs w:val="30"/>
        </w:rPr>
        <w:br w:type="page"/>
      </w:r>
      <w:r>
        <w:rPr>
          <w:rFonts w:hint="eastAsia" w:ascii="楷体_GB2312" w:hAnsi="楷体_GB2312" w:eastAsia="楷体_GB2312" w:cs="楷体_GB2312"/>
          <w:snapToGrid/>
          <w:color w:val="000000"/>
          <w:kern w:val="2"/>
          <w:sz w:val="36"/>
          <w:szCs w:val="36"/>
        </w:rPr>
        <w:t>养殖水域滩涂功能区划表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088"/>
        <w:gridCol w:w="834"/>
        <w:gridCol w:w="1903"/>
        <w:gridCol w:w="1080"/>
        <w:gridCol w:w="3585"/>
      </w:tblGrid>
      <w:tr w14:paraId="2BEE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986" w:type="dxa"/>
            <w:gridSpan w:val="2"/>
            <w:noWrap/>
            <w:vAlign w:val="center"/>
          </w:tcPr>
          <w:p w14:paraId="6C7220E6">
            <w:pPr>
              <w:widowControl/>
              <w:spacing w:line="590" w:lineRule="exact"/>
              <w:ind w:firstLine="0"/>
              <w:jc w:val="center"/>
              <w:rPr>
                <w:rFonts w:ascii="方正黑体_GBK" w:hAnsi="方正黑体_GBK" w:eastAsia="方正黑体_GBK" w:cs="方正黑体_GBK"/>
                <w:color w:val="000000"/>
                <w:kern w:val="2"/>
                <w:sz w:val="28"/>
                <w:szCs w:val="28"/>
              </w:rPr>
            </w:pPr>
            <w:r>
              <w:rPr>
                <w:rFonts w:hint="eastAsia" w:ascii="方正黑体_GBK" w:hAnsi="方正黑体_GBK" w:eastAsia="方正黑体_GBK" w:cs="方正黑体_GBK"/>
                <w:color w:val="000000"/>
                <w:kern w:val="2"/>
                <w:sz w:val="28"/>
                <w:szCs w:val="28"/>
              </w:rPr>
              <w:t>一级</w:t>
            </w:r>
          </w:p>
        </w:tc>
        <w:tc>
          <w:tcPr>
            <w:tcW w:w="2737" w:type="dxa"/>
            <w:gridSpan w:val="2"/>
            <w:noWrap/>
            <w:vAlign w:val="center"/>
          </w:tcPr>
          <w:p w14:paraId="4E6362F1">
            <w:pPr>
              <w:widowControl/>
              <w:spacing w:line="590" w:lineRule="exact"/>
              <w:ind w:firstLine="0"/>
              <w:jc w:val="center"/>
              <w:rPr>
                <w:rFonts w:ascii="方正黑体_GBK" w:hAnsi="方正黑体_GBK" w:eastAsia="方正黑体_GBK" w:cs="方正黑体_GBK"/>
                <w:color w:val="000000"/>
                <w:kern w:val="2"/>
                <w:sz w:val="28"/>
                <w:szCs w:val="28"/>
              </w:rPr>
            </w:pPr>
            <w:r>
              <w:rPr>
                <w:rFonts w:hint="eastAsia" w:ascii="方正黑体_GBK" w:hAnsi="方正黑体_GBK" w:eastAsia="方正黑体_GBK" w:cs="方正黑体_GBK"/>
                <w:color w:val="000000"/>
                <w:kern w:val="2"/>
                <w:sz w:val="28"/>
                <w:szCs w:val="28"/>
              </w:rPr>
              <w:t>二级</w:t>
            </w:r>
          </w:p>
        </w:tc>
        <w:tc>
          <w:tcPr>
            <w:tcW w:w="4665" w:type="dxa"/>
            <w:gridSpan w:val="2"/>
            <w:noWrap/>
            <w:vAlign w:val="center"/>
          </w:tcPr>
          <w:p w14:paraId="2DEBF7BF">
            <w:pPr>
              <w:widowControl/>
              <w:spacing w:line="590" w:lineRule="exact"/>
              <w:ind w:firstLine="0"/>
              <w:jc w:val="center"/>
              <w:rPr>
                <w:rFonts w:ascii="方正黑体_GBK" w:hAnsi="方正黑体_GBK" w:eastAsia="方正黑体_GBK" w:cs="方正黑体_GBK"/>
                <w:color w:val="000000"/>
                <w:kern w:val="2"/>
                <w:sz w:val="28"/>
                <w:szCs w:val="28"/>
              </w:rPr>
            </w:pPr>
            <w:r>
              <w:rPr>
                <w:rFonts w:hint="eastAsia" w:ascii="方正黑体_GBK" w:hAnsi="方正黑体_GBK" w:eastAsia="方正黑体_GBK" w:cs="方正黑体_GBK"/>
                <w:color w:val="000000"/>
                <w:kern w:val="2"/>
                <w:sz w:val="28"/>
                <w:szCs w:val="28"/>
              </w:rPr>
              <w:t>三级</w:t>
            </w:r>
          </w:p>
        </w:tc>
      </w:tr>
      <w:tr w14:paraId="3616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98" w:type="dxa"/>
            <w:noWrap/>
            <w:vAlign w:val="center"/>
          </w:tcPr>
          <w:p w14:paraId="1170C85D">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代码</w:t>
            </w:r>
          </w:p>
        </w:tc>
        <w:tc>
          <w:tcPr>
            <w:tcW w:w="1088" w:type="dxa"/>
            <w:noWrap/>
            <w:vAlign w:val="center"/>
          </w:tcPr>
          <w:p w14:paraId="68596DC9">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名称</w:t>
            </w:r>
          </w:p>
        </w:tc>
        <w:tc>
          <w:tcPr>
            <w:tcW w:w="834" w:type="dxa"/>
            <w:noWrap/>
            <w:vAlign w:val="center"/>
          </w:tcPr>
          <w:p w14:paraId="6A1D2D6A">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代码</w:t>
            </w:r>
          </w:p>
        </w:tc>
        <w:tc>
          <w:tcPr>
            <w:tcW w:w="1903" w:type="dxa"/>
            <w:noWrap/>
            <w:vAlign w:val="center"/>
          </w:tcPr>
          <w:p w14:paraId="2D3017E0">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名称</w:t>
            </w:r>
          </w:p>
        </w:tc>
        <w:tc>
          <w:tcPr>
            <w:tcW w:w="1080" w:type="dxa"/>
            <w:noWrap/>
            <w:vAlign w:val="center"/>
          </w:tcPr>
          <w:p w14:paraId="3A3374F1">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代码</w:t>
            </w:r>
          </w:p>
        </w:tc>
        <w:tc>
          <w:tcPr>
            <w:tcW w:w="3585" w:type="dxa"/>
            <w:noWrap/>
            <w:vAlign w:val="center"/>
          </w:tcPr>
          <w:p w14:paraId="0D885190">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名称</w:t>
            </w:r>
          </w:p>
        </w:tc>
      </w:tr>
      <w:tr w14:paraId="27D4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vMerge w:val="restart"/>
            <w:noWrap/>
            <w:vAlign w:val="center"/>
          </w:tcPr>
          <w:p w14:paraId="1579A07C">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1</w:t>
            </w:r>
          </w:p>
        </w:tc>
        <w:tc>
          <w:tcPr>
            <w:tcW w:w="1088" w:type="dxa"/>
            <w:vMerge w:val="restart"/>
            <w:noWrap/>
            <w:vAlign w:val="center"/>
          </w:tcPr>
          <w:p w14:paraId="457C11DA">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禁</w:t>
            </w:r>
          </w:p>
          <w:p w14:paraId="6DEC2140">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养</w:t>
            </w:r>
          </w:p>
          <w:p w14:paraId="6A4EBE06">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区</w:t>
            </w:r>
          </w:p>
        </w:tc>
        <w:tc>
          <w:tcPr>
            <w:tcW w:w="834" w:type="dxa"/>
            <w:noWrap/>
            <w:vAlign w:val="center"/>
          </w:tcPr>
          <w:p w14:paraId="66A26877">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1-1</w:t>
            </w:r>
          </w:p>
        </w:tc>
        <w:tc>
          <w:tcPr>
            <w:tcW w:w="6568" w:type="dxa"/>
            <w:gridSpan w:val="3"/>
            <w:noWrap/>
          </w:tcPr>
          <w:p w14:paraId="590CC1B2">
            <w:pPr>
              <w:widowControl/>
              <w:spacing w:line="440" w:lineRule="exact"/>
              <w:rPr>
                <w:sz w:val="28"/>
                <w:szCs w:val="28"/>
              </w:rPr>
            </w:pPr>
            <w:r>
              <w:rPr>
                <w:rFonts w:hint="eastAsia"/>
                <w:sz w:val="28"/>
                <w:szCs w:val="28"/>
              </w:rPr>
              <w:t>饮用水源一级保护区、自然保护区核心区和缓冲区、国家级水产种质资源保护区核心区和未批准利用的无居民海岛等重点生态功能区</w:t>
            </w:r>
          </w:p>
        </w:tc>
      </w:tr>
      <w:tr w14:paraId="5AE6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98" w:type="dxa"/>
            <w:vMerge w:val="continue"/>
            <w:noWrap/>
            <w:vAlign w:val="center"/>
          </w:tcPr>
          <w:p w14:paraId="4A1FCE05">
            <w:pPr>
              <w:widowControl/>
              <w:spacing w:line="440" w:lineRule="exact"/>
              <w:rPr>
                <w:rFonts w:cs="方正仿宋_GBK"/>
                <w:color w:val="000000"/>
                <w:kern w:val="2"/>
                <w:sz w:val="28"/>
                <w:szCs w:val="28"/>
              </w:rPr>
            </w:pPr>
          </w:p>
        </w:tc>
        <w:tc>
          <w:tcPr>
            <w:tcW w:w="1088" w:type="dxa"/>
            <w:vMerge w:val="continue"/>
            <w:noWrap/>
            <w:vAlign w:val="center"/>
          </w:tcPr>
          <w:p w14:paraId="16E59253">
            <w:pPr>
              <w:widowControl/>
              <w:spacing w:line="440" w:lineRule="exact"/>
              <w:jc w:val="center"/>
              <w:rPr>
                <w:rFonts w:cs="方正仿宋_GBK"/>
                <w:color w:val="000000"/>
                <w:kern w:val="2"/>
                <w:sz w:val="28"/>
                <w:szCs w:val="28"/>
              </w:rPr>
            </w:pPr>
          </w:p>
        </w:tc>
        <w:tc>
          <w:tcPr>
            <w:tcW w:w="834" w:type="dxa"/>
            <w:noWrap/>
            <w:vAlign w:val="center"/>
          </w:tcPr>
          <w:p w14:paraId="161075AC">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1-2</w:t>
            </w:r>
          </w:p>
        </w:tc>
        <w:tc>
          <w:tcPr>
            <w:tcW w:w="6568" w:type="dxa"/>
            <w:gridSpan w:val="3"/>
            <w:noWrap/>
            <w:vAlign w:val="center"/>
          </w:tcPr>
          <w:p w14:paraId="33DA3701">
            <w:pPr>
              <w:widowControl/>
              <w:spacing w:line="440" w:lineRule="exact"/>
              <w:rPr>
                <w:sz w:val="28"/>
                <w:szCs w:val="28"/>
              </w:rPr>
            </w:pPr>
            <w:r>
              <w:rPr>
                <w:rFonts w:hint="eastAsia"/>
                <w:sz w:val="28"/>
                <w:szCs w:val="28"/>
              </w:rPr>
              <w:t>港口、航道、行洪区、河道堤防安全保护区等公共设施安全水域</w:t>
            </w:r>
          </w:p>
        </w:tc>
      </w:tr>
      <w:tr w14:paraId="5E44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8" w:type="dxa"/>
            <w:vMerge w:val="continue"/>
            <w:noWrap/>
            <w:vAlign w:val="center"/>
          </w:tcPr>
          <w:p w14:paraId="35F3E797">
            <w:pPr>
              <w:widowControl/>
              <w:spacing w:line="440" w:lineRule="exact"/>
              <w:rPr>
                <w:rFonts w:cs="方正仿宋_GBK"/>
                <w:color w:val="000000"/>
                <w:kern w:val="2"/>
                <w:sz w:val="28"/>
                <w:szCs w:val="28"/>
              </w:rPr>
            </w:pPr>
          </w:p>
        </w:tc>
        <w:tc>
          <w:tcPr>
            <w:tcW w:w="1088" w:type="dxa"/>
            <w:vMerge w:val="continue"/>
            <w:noWrap/>
            <w:vAlign w:val="center"/>
          </w:tcPr>
          <w:p w14:paraId="320BD25C">
            <w:pPr>
              <w:widowControl/>
              <w:spacing w:line="440" w:lineRule="exact"/>
              <w:jc w:val="center"/>
              <w:rPr>
                <w:rFonts w:cs="方正仿宋_GBK"/>
                <w:color w:val="000000"/>
                <w:kern w:val="2"/>
                <w:sz w:val="28"/>
                <w:szCs w:val="28"/>
              </w:rPr>
            </w:pPr>
          </w:p>
        </w:tc>
        <w:tc>
          <w:tcPr>
            <w:tcW w:w="834" w:type="dxa"/>
            <w:noWrap/>
            <w:vAlign w:val="center"/>
          </w:tcPr>
          <w:p w14:paraId="69EFA2F4">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1-3</w:t>
            </w:r>
          </w:p>
        </w:tc>
        <w:tc>
          <w:tcPr>
            <w:tcW w:w="6568" w:type="dxa"/>
            <w:gridSpan w:val="3"/>
            <w:noWrap/>
            <w:vAlign w:val="center"/>
          </w:tcPr>
          <w:p w14:paraId="278F4B10">
            <w:pPr>
              <w:widowControl/>
              <w:spacing w:line="440" w:lineRule="exact"/>
              <w:rPr>
                <w:sz w:val="28"/>
                <w:szCs w:val="28"/>
              </w:rPr>
            </w:pPr>
            <w:r>
              <w:rPr>
                <w:rFonts w:hint="eastAsia"/>
                <w:sz w:val="28"/>
                <w:szCs w:val="28"/>
              </w:rPr>
              <w:t>有毒有害物质超过标准的水体</w:t>
            </w:r>
          </w:p>
        </w:tc>
      </w:tr>
      <w:tr w14:paraId="0D01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8" w:type="dxa"/>
            <w:vMerge w:val="continue"/>
            <w:noWrap/>
            <w:vAlign w:val="center"/>
          </w:tcPr>
          <w:p w14:paraId="47ACE489">
            <w:pPr>
              <w:widowControl/>
              <w:spacing w:line="440" w:lineRule="exact"/>
              <w:rPr>
                <w:rFonts w:cs="方正仿宋_GBK"/>
                <w:color w:val="000000"/>
                <w:kern w:val="2"/>
                <w:sz w:val="28"/>
                <w:szCs w:val="28"/>
              </w:rPr>
            </w:pPr>
          </w:p>
        </w:tc>
        <w:tc>
          <w:tcPr>
            <w:tcW w:w="1088" w:type="dxa"/>
            <w:vMerge w:val="continue"/>
            <w:noWrap/>
            <w:vAlign w:val="center"/>
          </w:tcPr>
          <w:p w14:paraId="043CD1E1">
            <w:pPr>
              <w:widowControl/>
              <w:spacing w:line="440" w:lineRule="exact"/>
              <w:jc w:val="center"/>
              <w:rPr>
                <w:rFonts w:cs="方正仿宋_GBK"/>
                <w:color w:val="000000"/>
                <w:kern w:val="2"/>
                <w:sz w:val="28"/>
                <w:szCs w:val="28"/>
              </w:rPr>
            </w:pPr>
          </w:p>
        </w:tc>
        <w:tc>
          <w:tcPr>
            <w:tcW w:w="834" w:type="dxa"/>
            <w:noWrap/>
            <w:vAlign w:val="center"/>
          </w:tcPr>
          <w:p w14:paraId="4668ABAE">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1-4</w:t>
            </w:r>
          </w:p>
        </w:tc>
        <w:tc>
          <w:tcPr>
            <w:tcW w:w="6568" w:type="dxa"/>
            <w:gridSpan w:val="3"/>
            <w:noWrap/>
            <w:vAlign w:val="center"/>
          </w:tcPr>
          <w:p w14:paraId="52D5A8BC">
            <w:pPr>
              <w:widowControl/>
              <w:spacing w:line="440" w:lineRule="exact"/>
              <w:rPr>
                <w:sz w:val="28"/>
                <w:szCs w:val="28"/>
              </w:rPr>
            </w:pPr>
            <w:r>
              <w:rPr>
                <w:rFonts w:hint="eastAsia"/>
                <w:sz w:val="28"/>
                <w:szCs w:val="28"/>
              </w:rPr>
              <w:t>法律法规规定的其他禁止养殖区</w:t>
            </w:r>
          </w:p>
        </w:tc>
      </w:tr>
      <w:tr w14:paraId="58DE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jc w:val="center"/>
        </w:trPr>
        <w:tc>
          <w:tcPr>
            <w:tcW w:w="898" w:type="dxa"/>
            <w:vMerge w:val="restart"/>
            <w:noWrap/>
            <w:vAlign w:val="center"/>
          </w:tcPr>
          <w:p w14:paraId="334E6286">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2</w:t>
            </w:r>
          </w:p>
        </w:tc>
        <w:tc>
          <w:tcPr>
            <w:tcW w:w="1088" w:type="dxa"/>
            <w:vMerge w:val="restart"/>
            <w:noWrap/>
            <w:vAlign w:val="center"/>
          </w:tcPr>
          <w:p w14:paraId="5C5FB217">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限</w:t>
            </w:r>
          </w:p>
          <w:p w14:paraId="581B896F">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养</w:t>
            </w:r>
          </w:p>
          <w:p w14:paraId="40746576">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区</w:t>
            </w:r>
          </w:p>
        </w:tc>
        <w:tc>
          <w:tcPr>
            <w:tcW w:w="834" w:type="dxa"/>
            <w:noWrap/>
            <w:vAlign w:val="center"/>
          </w:tcPr>
          <w:p w14:paraId="28F685C3">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2-1</w:t>
            </w:r>
          </w:p>
        </w:tc>
        <w:tc>
          <w:tcPr>
            <w:tcW w:w="6568" w:type="dxa"/>
            <w:gridSpan w:val="3"/>
            <w:noWrap/>
            <w:vAlign w:val="center"/>
          </w:tcPr>
          <w:p w14:paraId="47379438">
            <w:pPr>
              <w:widowControl/>
              <w:spacing w:line="440" w:lineRule="exact"/>
              <w:rPr>
                <w:rFonts w:cs="方正仿宋_GBK"/>
                <w:color w:val="000000"/>
                <w:kern w:val="2"/>
                <w:sz w:val="28"/>
                <w:szCs w:val="28"/>
              </w:rPr>
            </w:pPr>
            <w:r>
              <w:rPr>
                <w:rFonts w:hint="eastAsia"/>
                <w:sz w:val="28"/>
                <w:szCs w:val="28"/>
              </w:rPr>
              <w:t>饮用水源二级保护区、自然保护区试验区和外围保护地带、国家级水产种质资源保护区试验区、风景名胜区、依法确定为开展旅游活动的可利用无居民海岛集群周边海域等生态功能区</w:t>
            </w:r>
          </w:p>
        </w:tc>
      </w:tr>
      <w:tr w14:paraId="68EF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8" w:type="dxa"/>
            <w:vMerge w:val="continue"/>
            <w:noWrap/>
            <w:vAlign w:val="center"/>
          </w:tcPr>
          <w:p w14:paraId="633CCA93">
            <w:pPr>
              <w:widowControl/>
              <w:spacing w:line="440" w:lineRule="exact"/>
              <w:jc w:val="center"/>
              <w:rPr>
                <w:rFonts w:cs="方正仿宋_GBK"/>
                <w:color w:val="000000"/>
                <w:kern w:val="2"/>
                <w:sz w:val="28"/>
                <w:szCs w:val="28"/>
              </w:rPr>
            </w:pPr>
          </w:p>
        </w:tc>
        <w:tc>
          <w:tcPr>
            <w:tcW w:w="1088" w:type="dxa"/>
            <w:vMerge w:val="continue"/>
            <w:noWrap/>
            <w:vAlign w:val="center"/>
          </w:tcPr>
          <w:p w14:paraId="0383A683">
            <w:pPr>
              <w:widowControl/>
              <w:spacing w:line="440" w:lineRule="exact"/>
              <w:jc w:val="center"/>
              <w:rPr>
                <w:rFonts w:cs="方正仿宋_GBK"/>
                <w:color w:val="000000"/>
                <w:kern w:val="2"/>
                <w:sz w:val="28"/>
                <w:szCs w:val="28"/>
              </w:rPr>
            </w:pPr>
          </w:p>
        </w:tc>
        <w:tc>
          <w:tcPr>
            <w:tcW w:w="834" w:type="dxa"/>
            <w:vMerge w:val="restart"/>
            <w:noWrap/>
            <w:vAlign w:val="center"/>
          </w:tcPr>
          <w:p w14:paraId="72882E75">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2-2</w:t>
            </w:r>
          </w:p>
        </w:tc>
        <w:tc>
          <w:tcPr>
            <w:tcW w:w="1903" w:type="dxa"/>
            <w:vMerge w:val="restart"/>
            <w:noWrap/>
            <w:vAlign w:val="center"/>
          </w:tcPr>
          <w:p w14:paraId="391D8A04">
            <w:pPr>
              <w:widowControl/>
              <w:spacing w:line="440" w:lineRule="exact"/>
              <w:ind w:firstLine="0"/>
              <w:rPr>
                <w:rFonts w:cs="方正仿宋_GBK"/>
                <w:color w:val="000000"/>
                <w:kern w:val="2"/>
                <w:sz w:val="28"/>
                <w:szCs w:val="28"/>
              </w:rPr>
            </w:pPr>
            <w:r>
              <w:rPr>
                <w:rFonts w:hint="eastAsia"/>
                <w:sz w:val="28"/>
                <w:szCs w:val="28"/>
              </w:rPr>
              <w:t>重点湖泊水库及近岸海域公共自然水域</w:t>
            </w:r>
          </w:p>
        </w:tc>
        <w:tc>
          <w:tcPr>
            <w:tcW w:w="1080" w:type="dxa"/>
            <w:noWrap/>
            <w:vAlign w:val="center"/>
          </w:tcPr>
          <w:p w14:paraId="26E9237D">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2-2-1</w:t>
            </w:r>
          </w:p>
        </w:tc>
        <w:tc>
          <w:tcPr>
            <w:tcW w:w="3585" w:type="dxa"/>
            <w:noWrap/>
            <w:vAlign w:val="center"/>
          </w:tcPr>
          <w:p w14:paraId="56082879">
            <w:pPr>
              <w:widowControl/>
              <w:spacing w:line="440" w:lineRule="exact"/>
              <w:ind w:firstLine="0"/>
              <w:rPr>
                <w:rFonts w:cs="方正仿宋_GBK"/>
                <w:color w:val="000000"/>
                <w:kern w:val="2"/>
                <w:sz w:val="28"/>
                <w:szCs w:val="28"/>
              </w:rPr>
            </w:pPr>
            <w:r>
              <w:rPr>
                <w:rFonts w:hint="eastAsia" w:cs="方正仿宋_GBK"/>
                <w:color w:val="000000"/>
                <w:kern w:val="2"/>
                <w:sz w:val="28"/>
                <w:szCs w:val="28"/>
              </w:rPr>
              <w:t>重点湖泊水库网箱养殖区</w:t>
            </w:r>
          </w:p>
        </w:tc>
      </w:tr>
      <w:tr w14:paraId="4C7F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 w:type="dxa"/>
            <w:vMerge w:val="continue"/>
            <w:noWrap/>
            <w:vAlign w:val="center"/>
          </w:tcPr>
          <w:p w14:paraId="0B6BBF8B">
            <w:pPr>
              <w:widowControl/>
              <w:spacing w:line="440" w:lineRule="exact"/>
              <w:jc w:val="center"/>
              <w:rPr>
                <w:rFonts w:cs="方正仿宋_GBK"/>
                <w:color w:val="000000"/>
                <w:kern w:val="2"/>
                <w:sz w:val="28"/>
                <w:szCs w:val="28"/>
              </w:rPr>
            </w:pPr>
          </w:p>
        </w:tc>
        <w:tc>
          <w:tcPr>
            <w:tcW w:w="1088" w:type="dxa"/>
            <w:vMerge w:val="continue"/>
            <w:noWrap/>
            <w:vAlign w:val="center"/>
          </w:tcPr>
          <w:p w14:paraId="4A478788">
            <w:pPr>
              <w:widowControl/>
              <w:spacing w:line="440" w:lineRule="exact"/>
              <w:jc w:val="center"/>
              <w:rPr>
                <w:rFonts w:cs="方正仿宋_GBK"/>
                <w:color w:val="000000"/>
                <w:kern w:val="2"/>
                <w:sz w:val="28"/>
                <w:szCs w:val="28"/>
              </w:rPr>
            </w:pPr>
          </w:p>
        </w:tc>
        <w:tc>
          <w:tcPr>
            <w:tcW w:w="834" w:type="dxa"/>
            <w:vMerge w:val="continue"/>
            <w:noWrap/>
            <w:vAlign w:val="center"/>
          </w:tcPr>
          <w:p w14:paraId="2DA03C32">
            <w:pPr>
              <w:widowControl/>
              <w:spacing w:line="440" w:lineRule="exact"/>
              <w:jc w:val="center"/>
              <w:rPr>
                <w:rFonts w:cs="方正仿宋_GBK"/>
                <w:color w:val="000000"/>
                <w:kern w:val="2"/>
                <w:sz w:val="28"/>
                <w:szCs w:val="28"/>
              </w:rPr>
            </w:pPr>
          </w:p>
        </w:tc>
        <w:tc>
          <w:tcPr>
            <w:tcW w:w="1903" w:type="dxa"/>
            <w:vMerge w:val="continue"/>
            <w:noWrap/>
            <w:vAlign w:val="center"/>
          </w:tcPr>
          <w:p w14:paraId="5D7FACD9">
            <w:pPr>
              <w:widowControl/>
              <w:spacing w:line="440" w:lineRule="exact"/>
              <w:rPr>
                <w:rFonts w:cs="方正仿宋_GBK"/>
                <w:color w:val="000000"/>
                <w:kern w:val="2"/>
                <w:sz w:val="28"/>
                <w:szCs w:val="28"/>
              </w:rPr>
            </w:pPr>
          </w:p>
        </w:tc>
        <w:tc>
          <w:tcPr>
            <w:tcW w:w="1080" w:type="dxa"/>
            <w:noWrap/>
            <w:vAlign w:val="center"/>
          </w:tcPr>
          <w:p w14:paraId="50B09BA2">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2-2-2</w:t>
            </w:r>
          </w:p>
        </w:tc>
        <w:tc>
          <w:tcPr>
            <w:tcW w:w="3585" w:type="dxa"/>
            <w:noWrap/>
            <w:vAlign w:val="center"/>
          </w:tcPr>
          <w:p w14:paraId="324B2057">
            <w:pPr>
              <w:widowControl/>
              <w:spacing w:line="440" w:lineRule="exact"/>
              <w:ind w:firstLine="0"/>
              <w:rPr>
                <w:rFonts w:cs="方正仿宋_GBK"/>
                <w:color w:val="000000"/>
                <w:kern w:val="2"/>
                <w:sz w:val="28"/>
                <w:szCs w:val="28"/>
              </w:rPr>
            </w:pPr>
            <w:r>
              <w:rPr>
                <w:rFonts w:hint="eastAsia" w:cs="方正仿宋_GBK"/>
                <w:color w:val="000000"/>
                <w:kern w:val="2"/>
                <w:sz w:val="28"/>
                <w:szCs w:val="28"/>
              </w:rPr>
              <w:t>重点近岸海域网箱养殖区</w:t>
            </w:r>
          </w:p>
        </w:tc>
      </w:tr>
      <w:tr w14:paraId="284E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98" w:type="dxa"/>
            <w:vMerge w:val="restart"/>
            <w:noWrap/>
            <w:vAlign w:val="center"/>
          </w:tcPr>
          <w:p w14:paraId="402595BD">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3</w:t>
            </w:r>
          </w:p>
        </w:tc>
        <w:tc>
          <w:tcPr>
            <w:tcW w:w="1088" w:type="dxa"/>
            <w:vMerge w:val="restart"/>
            <w:noWrap/>
            <w:vAlign w:val="center"/>
          </w:tcPr>
          <w:p w14:paraId="00454FD1">
            <w:pPr>
              <w:widowControl/>
              <w:spacing w:line="440" w:lineRule="exact"/>
              <w:ind w:firstLine="0"/>
              <w:rPr>
                <w:rFonts w:cs="方正仿宋_GBK"/>
                <w:color w:val="000000"/>
                <w:kern w:val="2"/>
                <w:sz w:val="28"/>
                <w:szCs w:val="28"/>
              </w:rPr>
            </w:pPr>
            <w:r>
              <w:rPr>
                <w:rFonts w:hint="eastAsia" w:cs="方正仿宋_GBK"/>
                <w:color w:val="000000"/>
                <w:kern w:val="2"/>
                <w:sz w:val="28"/>
                <w:szCs w:val="28"/>
              </w:rPr>
              <w:t>养殖区</w:t>
            </w:r>
          </w:p>
        </w:tc>
        <w:tc>
          <w:tcPr>
            <w:tcW w:w="834" w:type="dxa"/>
            <w:vMerge w:val="restart"/>
            <w:noWrap/>
            <w:vAlign w:val="center"/>
          </w:tcPr>
          <w:p w14:paraId="37CAB2FC">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3-1</w:t>
            </w:r>
          </w:p>
        </w:tc>
        <w:tc>
          <w:tcPr>
            <w:tcW w:w="1903" w:type="dxa"/>
            <w:vMerge w:val="restart"/>
            <w:noWrap/>
            <w:vAlign w:val="center"/>
          </w:tcPr>
          <w:p w14:paraId="67D7FB7F">
            <w:pPr>
              <w:widowControl/>
              <w:spacing w:line="440" w:lineRule="exact"/>
              <w:ind w:firstLine="0"/>
              <w:rPr>
                <w:rFonts w:cs="方正仿宋_GBK"/>
                <w:color w:val="000000"/>
                <w:kern w:val="2"/>
                <w:sz w:val="28"/>
                <w:szCs w:val="28"/>
              </w:rPr>
            </w:pPr>
            <w:r>
              <w:rPr>
                <w:rFonts w:hint="eastAsia" w:cs="方正仿宋_GBK"/>
                <w:color w:val="000000"/>
                <w:kern w:val="2"/>
                <w:sz w:val="28"/>
                <w:szCs w:val="28"/>
              </w:rPr>
              <w:t>海水养殖区</w:t>
            </w:r>
          </w:p>
        </w:tc>
        <w:tc>
          <w:tcPr>
            <w:tcW w:w="1080" w:type="dxa"/>
            <w:noWrap/>
            <w:vAlign w:val="center"/>
          </w:tcPr>
          <w:p w14:paraId="632CD9AD">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3-1-1</w:t>
            </w:r>
          </w:p>
        </w:tc>
        <w:tc>
          <w:tcPr>
            <w:tcW w:w="3585" w:type="dxa"/>
            <w:noWrap/>
            <w:vAlign w:val="center"/>
          </w:tcPr>
          <w:p w14:paraId="649C8F48">
            <w:pPr>
              <w:widowControl/>
              <w:spacing w:line="440" w:lineRule="exact"/>
              <w:ind w:firstLine="0"/>
              <w:rPr>
                <w:rFonts w:cs="方正仿宋_GBK"/>
                <w:color w:val="000000"/>
                <w:kern w:val="2"/>
                <w:sz w:val="28"/>
                <w:szCs w:val="28"/>
              </w:rPr>
            </w:pPr>
            <w:r>
              <w:rPr>
                <w:rFonts w:hint="eastAsia" w:cs="方正仿宋_GBK"/>
                <w:color w:val="000000"/>
                <w:kern w:val="2"/>
                <w:sz w:val="28"/>
                <w:szCs w:val="28"/>
              </w:rPr>
              <w:t>海上养殖区</w:t>
            </w:r>
          </w:p>
        </w:tc>
      </w:tr>
      <w:tr w14:paraId="0D2D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98" w:type="dxa"/>
            <w:vMerge w:val="continue"/>
            <w:noWrap/>
            <w:vAlign w:val="center"/>
          </w:tcPr>
          <w:p w14:paraId="306116DF">
            <w:pPr>
              <w:widowControl/>
              <w:spacing w:line="440" w:lineRule="exact"/>
              <w:rPr>
                <w:rFonts w:cs="方正仿宋_GBK"/>
                <w:color w:val="000000"/>
                <w:kern w:val="2"/>
                <w:sz w:val="28"/>
                <w:szCs w:val="28"/>
              </w:rPr>
            </w:pPr>
          </w:p>
        </w:tc>
        <w:tc>
          <w:tcPr>
            <w:tcW w:w="1088" w:type="dxa"/>
            <w:vMerge w:val="continue"/>
            <w:noWrap/>
            <w:vAlign w:val="center"/>
          </w:tcPr>
          <w:p w14:paraId="588A92A2">
            <w:pPr>
              <w:widowControl/>
              <w:spacing w:line="440" w:lineRule="exact"/>
              <w:rPr>
                <w:rFonts w:cs="方正仿宋_GBK"/>
                <w:color w:val="000000"/>
                <w:kern w:val="2"/>
                <w:sz w:val="28"/>
                <w:szCs w:val="28"/>
              </w:rPr>
            </w:pPr>
          </w:p>
        </w:tc>
        <w:tc>
          <w:tcPr>
            <w:tcW w:w="834" w:type="dxa"/>
            <w:vMerge w:val="continue"/>
            <w:noWrap/>
            <w:vAlign w:val="center"/>
          </w:tcPr>
          <w:p w14:paraId="0C751027">
            <w:pPr>
              <w:widowControl/>
              <w:spacing w:line="440" w:lineRule="exact"/>
              <w:jc w:val="center"/>
              <w:rPr>
                <w:rFonts w:cs="方正仿宋_GBK"/>
                <w:color w:val="000000"/>
                <w:kern w:val="2"/>
                <w:sz w:val="28"/>
                <w:szCs w:val="28"/>
              </w:rPr>
            </w:pPr>
          </w:p>
        </w:tc>
        <w:tc>
          <w:tcPr>
            <w:tcW w:w="1903" w:type="dxa"/>
            <w:vMerge w:val="continue"/>
            <w:noWrap/>
            <w:vAlign w:val="center"/>
          </w:tcPr>
          <w:p w14:paraId="4214C9F4">
            <w:pPr>
              <w:widowControl/>
              <w:spacing w:line="440" w:lineRule="exact"/>
              <w:rPr>
                <w:rFonts w:cs="方正仿宋_GBK"/>
                <w:color w:val="000000"/>
                <w:kern w:val="2"/>
                <w:sz w:val="28"/>
                <w:szCs w:val="28"/>
              </w:rPr>
            </w:pPr>
          </w:p>
        </w:tc>
        <w:tc>
          <w:tcPr>
            <w:tcW w:w="1080" w:type="dxa"/>
            <w:noWrap/>
            <w:vAlign w:val="center"/>
          </w:tcPr>
          <w:p w14:paraId="5C3DB622">
            <w:pPr>
              <w:widowControl/>
              <w:spacing w:line="440" w:lineRule="exact"/>
              <w:ind w:firstLine="0"/>
              <w:jc w:val="center"/>
              <w:rPr>
                <w:rFonts w:cs="方正仿宋_GBK"/>
                <w:color w:val="000000"/>
                <w:kern w:val="2"/>
                <w:sz w:val="28"/>
                <w:szCs w:val="28"/>
              </w:rPr>
            </w:pPr>
            <w:r>
              <w:rPr>
                <w:rFonts w:hint="eastAsia" w:cs="方正仿宋_GBK"/>
                <w:color w:val="000000"/>
                <w:kern w:val="2"/>
                <w:sz w:val="28"/>
                <w:szCs w:val="28"/>
              </w:rPr>
              <w:t>3-1-2</w:t>
            </w:r>
          </w:p>
        </w:tc>
        <w:tc>
          <w:tcPr>
            <w:tcW w:w="3585" w:type="dxa"/>
            <w:noWrap/>
            <w:vAlign w:val="center"/>
          </w:tcPr>
          <w:p w14:paraId="3C49705C">
            <w:pPr>
              <w:widowControl/>
              <w:spacing w:line="440" w:lineRule="exact"/>
              <w:ind w:firstLine="0"/>
              <w:rPr>
                <w:rFonts w:cs="方正仿宋_GBK"/>
                <w:color w:val="000000"/>
                <w:kern w:val="2"/>
                <w:sz w:val="28"/>
                <w:szCs w:val="28"/>
              </w:rPr>
            </w:pPr>
            <w:r>
              <w:rPr>
                <w:rFonts w:hint="eastAsia" w:cs="方正仿宋_GBK"/>
                <w:color w:val="000000"/>
                <w:kern w:val="2"/>
                <w:sz w:val="28"/>
                <w:szCs w:val="28"/>
              </w:rPr>
              <w:t>滩涂及陆地养殖区</w:t>
            </w:r>
          </w:p>
        </w:tc>
      </w:tr>
      <w:tr w14:paraId="7FE0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98" w:type="dxa"/>
            <w:vMerge w:val="continue"/>
            <w:noWrap/>
            <w:vAlign w:val="center"/>
          </w:tcPr>
          <w:p w14:paraId="0604865F">
            <w:pPr>
              <w:widowControl/>
              <w:spacing w:line="440" w:lineRule="exact"/>
              <w:rPr>
                <w:rFonts w:cs="方正仿宋_GBK"/>
                <w:color w:val="000000"/>
                <w:kern w:val="2"/>
                <w:sz w:val="28"/>
                <w:szCs w:val="28"/>
              </w:rPr>
            </w:pPr>
          </w:p>
        </w:tc>
        <w:tc>
          <w:tcPr>
            <w:tcW w:w="1088" w:type="dxa"/>
            <w:vMerge w:val="continue"/>
            <w:noWrap/>
            <w:vAlign w:val="center"/>
          </w:tcPr>
          <w:p w14:paraId="726DFAFD">
            <w:pPr>
              <w:widowControl/>
              <w:spacing w:line="440" w:lineRule="exact"/>
              <w:rPr>
                <w:rFonts w:cs="方正仿宋_GBK"/>
                <w:color w:val="000000"/>
                <w:kern w:val="2"/>
                <w:sz w:val="28"/>
                <w:szCs w:val="28"/>
              </w:rPr>
            </w:pPr>
          </w:p>
        </w:tc>
        <w:tc>
          <w:tcPr>
            <w:tcW w:w="834" w:type="dxa"/>
            <w:vMerge w:val="restart"/>
            <w:noWrap/>
            <w:vAlign w:val="center"/>
          </w:tcPr>
          <w:p w14:paraId="76D6C96B">
            <w:pPr>
              <w:widowControl/>
              <w:spacing w:line="440" w:lineRule="exact"/>
              <w:ind w:firstLine="0"/>
              <w:rPr>
                <w:rFonts w:cs="方正仿宋_GBK"/>
                <w:color w:val="000000"/>
                <w:kern w:val="2"/>
                <w:sz w:val="28"/>
                <w:szCs w:val="28"/>
              </w:rPr>
            </w:pPr>
            <w:r>
              <w:rPr>
                <w:rFonts w:hint="eastAsia" w:cs="方正仿宋_GBK"/>
                <w:color w:val="000000"/>
                <w:kern w:val="2"/>
                <w:sz w:val="28"/>
                <w:szCs w:val="28"/>
              </w:rPr>
              <w:t>3-2</w:t>
            </w:r>
          </w:p>
        </w:tc>
        <w:tc>
          <w:tcPr>
            <w:tcW w:w="1903" w:type="dxa"/>
            <w:vMerge w:val="restart"/>
            <w:noWrap/>
            <w:vAlign w:val="center"/>
          </w:tcPr>
          <w:p w14:paraId="3F4A5DF1">
            <w:pPr>
              <w:widowControl/>
              <w:spacing w:line="440" w:lineRule="exact"/>
              <w:ind w:firstLine="0"/>
              <w:rPr>
                <w:rFonts w:cs="方正仿宋_GBK"/>
                <w:color w:val="000000"/>
                <w:kern w:val="2"/>
                <w:sz w:val="28"/>
                <w:szCs w:val="28"/>
              </w:rPr>
            </w:pPr>
            <w:r>
              <w:rPr>
                <w:rFonts w:hint="eastAsia" w:cs="方正仿宋_GBK"/>
                <w:color w:val="000000"/>
                <w:kern w:val="2"/>
                <w:sz w:val="28"/>
                <w:szCs w:val="28"/>
              </w:rPr>
              <w:t>淡水养殖区</w:t>
            </w:r>
          </w:p>
        </w:tc>
        <w:tc>
          <w:tcPr>
            <w:tcW w:w="1080" w:type="dxa"/>
            <w:noWrap/>
            <w:vAlign w:val="center"/>
          </w:tcPr>
          <w:p w14:paraId="7EAAA709">
            <w:pPr>
              <w:widowControl/>
              <w:spacing w:line="440" w:lineRule="exact"/>
              <w:ind w:firstLine="0"/>
              <w:rPr>
                <w:rFonts w:cs="方正仿宋_GBK"/>
                <w:color w:val="000000"/>
                <w:kern w:val="2"/>
                <w:sz w:val="28"/>
                <w:szCs w:val="28"/>
              </w:rPr>
            </w:pPr>
            <w:r>
              <w:rPr>
                <w:rFonts w:hint="eastAsia" w:cs="方正仿宋_GBK"/>
                <w:color w:val="000000"/>
                <w:kern w:val="2"/>
                <w:sz w:val="28"/>
                <w:szCs w:val="28"/>
              </w:rPr>
              <w:t>3-2-1</w:t>
            </w:r>
          </w:p>
        </w:tc>
        <w:tc>
          <w:tcPr>
            <w:tcW w:w="3585" w:type="dxa"/>
            <w:noWrap/>
            <w:vAlign w:val="center"/>
          </w:tcPr>
          <w:p w14:paraId="678B43F8">
            <w:pPr>
              <w:widowControl/>
              <w:spacing w:line="440" w:lineRule="exact"/>
              <w:ind w:firstLine="0"/>
              <w:rPr>
                <w:rFonts w:cs="方正仿宋_GBK"/>
                <w:color w:val="000000"/>
                <w:kern w:val="2"/>
                <w:sz w:val="28"/>
                <w:szCs w:val="28"/>
              </w:rPr>
            </w:pPr>
            <w:r>
              <w:rPr>
                <w:rFonts w:hint="eastAsia" w:cs="方正仿宋_GBK"/>
                <w:color w:val="000000"/>
                <w:kern w:val="2"/>
                <w:sz w:val="28"/>
                <w:szCs w:val="28"/>
              </w:rPr>
              <w:t>池塘养殖区</w:t>
            </w:r>
          </w:p>
        </w:tc>
      </w:tr>
      <w:tr w14:paraId="2165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98" w:type="dxa"/>
            <w:vMerge w:val="continue"/>
            <w:noWrap/>
            <w:vAlign w:val="center"/>
          </w:tcPr>
          <w:p w14:paraId="6CBE6E61">
            <w:pPr>
              <w:widowControl/>
              <w:spacing w:line="440" w:lineRule="exact"/>
              <w:rPr>
                <w:rFonts w:cs="方正仿宋_GBK"/>
                <w:color w:val="000000"/>
                <w:kern w:val="2"/>
                <w:sz w:val="28"/>
                <w:szCs w:val="28"/>
              </w:rPr>
            </w:pPr>
          </w:p>
        </w:tc>
        <w:tc>
          <w:tcPr>
            <w:tcW w:w="1088" w:type="dxa"/>
            <w:vMerge w:val="continue"/>
            <w:noWrap/>
            <w:vAlign w:val="center"/>
          </w:tcPr>
          <w:p w14:paraId="7AB0D645">
            <w:pPr>
              <w:widowControl/>
              <w:spacing w:line="440" w:lineRule="exact"/>
              <w:rPr>
                <w:rFonts w:cs="方正仿宋_GBK"/>
                <w:color w:val="000000"/>
                <w:kern w:val="2"/>
                <w:sz w:val="28"/>
                <w:szCs w:val="28"/>
              </w:rPr>
            </w:pPr>
          </w:p>
        </w:tc>
        <w:tc>
          <w:tcPr>
            <w:tcW w:w="834" w:type="dxa"/>
            <w:vMerge w:val="continue"/>
            <w:noWrap/>
            <w:vAlign w:val="center"/>
          </w:tcPr>
          <w:p w14:paraId="5AAD057F">
            <w:pPr>
              <w:widowControl/>
              <w:spacing w:line="440" w:lineRule="exact"/>
              <w:rPr>
                <w:rFonts w:cs="方正仿宋_GBK"/>
                <w:color w:val="000000"/>
                <w:kern w:val="2"/>
                <w:sz w:val="28"/>
                <w:szCs w:val="28"/>
              </w:rPr>
            </w:pPr>
          </w:p>
        </w:tc>
        <w:tc>
          <w:tcPr>
            <w:tcW w:w="1903" w:type="dxa"/>
            <w:vMerge w:val="continue"/>
            <w:noWrap/>
            <w:vAlign w:val="center"/>
          </w:tcPr>
          <w:p w14:paraId="407AFB28">
            <w:pPr>
              <w:widowControl/>
              <w:spacing w:line="440" w:lineRule="exact"/>
              <w:rPr>
                <w:rFonts w:cs="方正仿宋_GBK"/>
                <w:color w:val="000000"/>
                <w:kern w:val="2"/>
                <w:sz w:val="28"/>
                <w:szCs w:val="28"/>
              </w:rPr>
            </w:pPr>
          </w:p>
        </w:tc>
        <w:tc>
          <w:tcPr>
            <w:tcW w:w="1080" w:type="dxa"/>
            <w:noWrap/>
            <w:vAlign w:val="center"/>
          </w:tcPr>
          <w:p w14:paraId="7058D280">
            <w:pPr>
              <w:widowControl/>
              <w:spacing w:line="440" w:lineRule="exact"/>
              <w:ind w:firstLine="0"/>
              <w:rPr>
                <w:rFonts w:cs="方正仿宋_GBK"/>
                <w:color w:val="000000"/>
                <w:kern w:val="2"/>
                <w:sz w:val="28"/>
                <w:szCs w:val="28"/>
              </w:rPr>
            </w:pPr>
            <w:r>
              <w:rPr>
                <w:rFonts w:hint="eastAsia" w:cs="方正仿宋_GBK"/>
                <w:color w:val="000000"/>
                <w:kern w:val="2"/>
                <w:sz w:val="28"/>
                <w:szCs w:val="28"/>
              </w:rPr>
              <w:t>3-2-2</w:t>
            </w:r>
          </w:p>
        </w:tc>
        <w:tc>
          <w:tcPr>
            <w:tcW w:w="3585" w:type="dxa"/>
            <w:noWrap/>
            <w:vAlign w:val="center"/>
          </w:tcPr>
          <w:p w14:paraId="4AD661B7">
            <w:pPr>
              <w:widowControl/>
              <w:spacing w:line="440" w:lineRule="exact"/>
              <w:ind w:firstLine="0"/>
              <w:rPr>
                <w:rFonts w:cs="方正仿宋_GBK"/>
                <w:color w:val="000000"/>
                <w:kern w:val="2"/>
                <w:sz w:val="28"/>
                <w:szCs w:val="28"/>
              </w:rPr>
            </w:pPr>
            <w:r>
              <w:rPr>
                <w:rFonts w:hint="eastAsia" w:cs="方正仿宋_GBK"/>
                <w:color w:val="000000"/>
                <w:kern w:val="2"/>
                <w:sz w:val="28"/>
                <w:szCs w:val="28"/>
              </w:rPr>
              <w:t>湖泊养殖区</w:t>
            </w:r>
          </w:p>
        </w:tc>
      </w:tr>
      <w:tr w14:paraId="3259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98" w:type="dxa"/>
            <w:vMerge w:val="continue"/>
            <w:noWrap/>
            <w:vAlign w:val="center"/>
          </w:tcPr>
          <w:p w14:paraId="025E506A">
            <w:pPr>
              <w:widowControl/>
              <w:spacing w:line="440" w:lineRule="exact"/>
              <w:rPr>
                <w:rFonts w:cs="方正仿宋_GBK"/>
                <w:color w:val="000000"/>
                <w:kern w:val="2"/>
                <w:sz w:val="28"/>
                <w:szCs w:val="28"/>
              </w:rPr>
            </w:pPr>
          </w:p>
        </w:tc>
        <w:tc>
          <w:tcPr>
            <w:tcW w:w="1088" w:type="dxa"/>
            <w:vMerge w:val="continue"/>
            <w:noWrap/>
            <w:vAlign w:val="center"/>
          </w:tcPr>
          <w:p w14:paraId="747B2B6C">
            <w:pPr>
              <w:widowControl/>
              <w:spacing w:line="440" w:lineRule="exact"/>
              <w:rPr>
                <w:rFonts w:cs="方正仿宋_GBK"/>
                <w:color w:val="000000"/>
                <w:kern w:val="2"/>
                <w:sz w:val="28"/>
                <w:szCs w:val="28"/>
              </w:rPr>
            </w:pPr>
          </w:p>
        </w:tc>
        <w:tc>
          <w:tcPr>
            <w:tcW w:w="834" w:type="dxa"/>
            <w:vMerge w:val="continue"/>
            <w:noWrap/>
            <w:vAlign w:val="center"/>
          </w:tcPr>
          <w:p w14:paraId="7B0023A1">
            <w:pPr>
              <w:widowControl/>
              <w:spacing w:line="440" w:lineRule="exact"/>
              <w:rPr>
                <w:rFonts w:cs="方正仿宋_GBK"/>
                <w:color w:val="000000"/>
                <w:kern w:val="2"/>
                <w:sz w:val="28"/>
                <w:szCs w:val="28"/>
              </w:rPr>
            </w:pPr>
          </w:p>
        </w:tc>
        <w:tc>
          <w:tcPr>
            <w:tcW w:w="1903" w:type="dxa"/>
            <w:vMerge w:val="continue"/>
            <w:noWrap/>
            <w:vAlign w:val="center"/>
          </w:tcPr>
          <w:p w14:paraId="20C6A5CD">
            <w:pPr>
              <w:widowControl/>
              <w:spacing w:line="440" w:lineRule="exact"/>
              <w:rPr>
                <w:rFonts w:cs="方正仿宋_GBK"/>
                <w:color w:val="000000"/>
                <w:kern w:val="2"/>
                <w:sz w:val="28"/>
                <w:szCs w:val="28"/>
              </w:rPr>
            </w:pPr>
          </w:p>
        </w:tc>
        <w:tc>
          <w:tcPr>
            <w:tcW w:w="1080" w:type="dxa"/>
            <w:noWrap/>
            <w:vAlign w:val="center"/>
          </w:tcPr>
          <w:p w14:paraId="0800AFC3">
            <w:pPr>
              <w:widowControl/>
              <w:spacing w:line="440" w:lineRule="exact"/>
              <w:ind w:firstLine="0"/>
              <w:rPr>
                <w:rFonts w:cs="方正仿宋_GBK"/>
                <w:color w:val="000000"/>
                <w:kern w:val="2"/>
                <w:sz w:val="28"/>
                <w:szCs w:val="28"/>
              </w:rPr>
            </w:pPr>
            <w:r>
              <w:rPr>
                <w:rFonts w:hint="eastAsia" w:cs="方正仿宋_GBK"/>
                <w:color w:val="000000"/>
                <w:kern w:val="2"/>
                <w:sz w:val="28"/>
                <w:szCs w:val="28"/>
              </w:rPr>
              <w:t>3-2-3</w:t>
            </w:r>
          </w:p>
        </w:tc>
        <w:tc>
          <w:tcPr>
            <w:tcW w:w="3585" w:type="dxa"/>
            <w:noWrap/>
            <w:vAlign w:val="center"/>
          </w:tcPr>
          <w:p w14:paraId="0CEBE6EF">
            <w:pPr>
              <w:widowControl/>
              <w:spacing w:line="440" w:lineRule="exact"/>
              <w:ind w:firstLine="0"/>
              <w:rPr>
                <w:rFonts w:cs="方正仿宋_GBK"/>
                <w:color w:val="000000"/>
                <w:kern w:val="2"/>
                <w:sz w:val="28"/>
                <w:szCs w:val="28"/>
              </w:rPr>
            </w:pPr>
            <w:r>
              <w:rPr>
                <w:rFonts w:hint="eastAsia" w:cs="方正仿宋_GBK"/>
                <w:color w:val="000000"/>
                <w:kern w:val="2"/>
                <w:sz w:val="28"/>
                <w:szCs w:val="28"/>
              </w:rPr>
              <w:t>水库养殖区</w:t>
            </w:r>
          </w:p>
        </w:tc>
      </w:tr>
      <w:tr w14:paraId="47A9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898" w:type="dxa"/>
            <w:vMerge w:val="continue"/>
            <w:noWrap/>
            <w:vAlign w:val="center"/>
          </w:tcPr>
          <w:p w14:paraId="4B8F982E">
            <w:pPr>
              <w:widowControl/>
              <w:spacing w:line="440" w:lineRule="exact"/>
              <w:rPr>
                <w:rFonts w:cs="方正仿宋_GBK"/>
                <w:color w:val="000000"/>
                <w:kern w:val="2"/>
                <w:sz w:val="28"/>
                <w:szCs w:val="28"/>
              </w:rPr>
            </w:pPr>
          </w:p>
        </w:tc>
        <w:tc>
          <w:tcPr>
            <w:tcW w:w="1088" w:type="dxa"/>
            <w:vMerge w:val="continue"/>
            <w:noWrap/>
            <w:vAlign w:val="center"/>
          </w:tcPr>
          <w:p w14:paraId="3458DCD6">
            <w:pPr>
              <w:widowControl/>
              <w:spacing w:line="440" w:lineRule="exact"/>
              <w:rPr>
                <w:rFonts w:cs="方正仿宋_GBK"/>
                <w:color w:val="000000"/>
                <w:kern w:val="2"/>
                <w:sz w:val="28"/>
                <w:szCs w:val="28"/>
              </w:rPr>
            </w:pPr>
          </w:p>
        </w:tc>
        <w:tc>
          <w:tcPr>
            <w:tcW w:w="834" w:type="dxa"/>
            <w:vMerge w:val="continue"/>
            <w:noWrap/>
            <w:vAlign w:val="center"/>
          </w:tcPr>
          <w:p w14:paraId="62448828">
            <w:pPr>
              <w:widowControl/>
              <w:spacing w:line="440" w:lineRule="exact"/>
              <w:rPr>
                <w:rFonts w:cs="方正仿宋_GBK"/>
                <w:color w:val="000000"/>
                <w:kern w:val="2"/>
                <w:sz w:val="28"/>
                <w:szCs w:val="28"/>
              </w:rPr>
            </w:pPr>
          </w:p>
        </w:tc>
        <w:tc>
          <w:tcPr>
            <w:tcW w:w="1903" w:type="dxa"/>
            <w:vMerge w:val="continue"/>
            <w:noWrap/>
            <w:vAlign w:val="center"/>
          </w:tcPr>
          <w:p w14:paraId="7E5DE7DD">
            <w:pPr>
              <w:widowControl/>
              <w:spacing w:line="440" w:lineRule="exact"/>
              <w:rPr>
                <w:rFonts w:cs="方正仿宋_GBK"/>
                <w:color w:val="000000"/>
                <w:kern w:val="2"/>
                <w:sz w:val="28"/>
                <w:szCs w:val="28"/>
              </w:rPr>
            </w:pPr>
          </w:p>
        </w:tc>
        <w:tc>
          <w:tcPr>
            <w:tcW w:w="1080" w:type="dxa"/>
            <w:noWrap/>
            <w:vAlign w:val="center"/>
          </w:tcPr>
          <w:p w14:paraId="1E919528">
            <w:pPr>
              <w:widowControl/>
              <w:spacing w:line="440" w:lineRule="exact"/>
              <w:ind w:firstLine="0"/>
              <w:rPr>
                <w:rFonts w:cs="方正仿宋_GBK"/>
                <w:color w:val="000000"/>
                <w:kern w:val="2"/>
                <w:sz w:val="28"/>
                <w:szCs w:val="28"/>
              </w:rPr>
            </w:pPr>
            <w:r>
              <w:rPr>
                <w:rFonts w:hint="eastAsia" w:cs="方正仿宋_GBK"/>
                <w:color w:val="000000"/>
                <w:kern w:val="2"/>
                <w:sz w:val="28"/>
                <w:szCs w:val="28"/>
              </w:rPr>
              <w:t>3-2-4</w:t>
            </w:r>
          </w:p>
        </w:tc>
        <w:tc>
          <w:tcPr>
            <w:tcW w:w="3585" w:type="dxa"/>
            <w:noWrap/>
            <w:vAlign w:val="center"/>
          </w:tcPr>
          <w:p w14:paraId="11EAFBE6">
            <w:pPr>
              <w:widowControl/>
              <w:spacing w:line="440" w:lineRule="exact"/>
              <w:ind w:firstLine="0"/>
              <w:rPr>
                <w:rFonts w:cs="方正仿宋_GBK"/>
                <w:color w:val="000000"/>
                <w:kern w:val="2"/>
                <w:sz w:val="28"/>
                <w:szCs w:val="28"/>
              </w:rPr>
            </w:pPr>
            <w:r>
              <w:rPr>
                <w:rFonts w:hint="eastAsia" w:cs="方正仿宋_GBK"/>
                <w:color w:val="000000"/>
                <w:kern w:val="2"/>
                <w:sz w:val="28"/>
                <w:szCs w:val="28"/>
              </w:rPr>
              <w:t>其他养殖区</w:t>
            </w:r>
          </w:p>
        </w:tc>
      </w:tr>
    </w:tbl>
    <w:p w14:paraId="5B41A74E">
      <w:pPr>
        <w:keepNext/>
        <w:keepLines/>
        <w:numPr>
          <w:ilvl w:val="0"/>
          <w:numId w:val="2"/>
        </w:numPr>
        <w:autoSpaceDE/>
        <w:autoSpaceDN/>
        <w:spacing w:line="590" w:lineRule="exact"/>
        <w:outlineLvl w:val="1"/>
        <w:rPr>
          <w:rFonts w:ascii="黑体" w:hAnsi="黑体" w:eastAsia="黑体" w:cs="黑体"/>
          <w:bCs/>
          <w:color w:val="000000"/>
          <w:szCs w:val="32"/>
        </w:rPr>
      </w:pPr>
      <w:bookmarkStart w:id="21" w:name="_Toc23434"/>
      <w:r>
        <w:rPr>
          <w:rFonts w:hint="eastAsia" w:ascii="黑体" w:hAnsi="黑体" w:eastAsia="黑体" w:cs="黑体"/>
          <w:bCs/>
          <w:color w:val="000000"/>
          <w:szCs w:val="32"/>
        </w:rPr>
        <w:t>禁止养殖区</w:t>
      </w:r>
      <w:bookmarkEnd w:id="21"/>
    </w:p>
    <w:p w14:paraId="7B8979C0">
      <w:pPr>
        <w:spacing w:line="590" w:lineRule="exact"/>
        <w:ind w:firstLine="640" w:firstLineChars="200"/>
        <w:rPr>
          <w:szCs w:val="32"/>
        </w:rPr>
      </w:pPr>
      <w:r>
        <w:rPr>
          <w:rFonts w:hint="eastAsia"/>
          <w:szCs w:val="32"/>
        </w:rPr>
        <w:t>【</w:t>
      </w:r>
      <w:r>
        <w:rPr>
          <w:rFonts w:hint="eastAsia"/>
          <w:b/>
          <w:bCs/>
          <w:szCs w:val="32"/>
        </w:rPr>
        <w:t>禁止养殖区类型</w:t>
      </w:r>
      <w:r>
        <w:rPr>
          <w:rFonts w:hint="eastAsia"/>
          <w:szCs w:val="32"/>
        </w:rPr>
        <w:t>】</w:t>
      </w:r>
    </w:p>
    <w:p w14:paraId="3234D132">
      <w:pPr>
        <w:spacing w:line="590" w:lineRule="exact"/>
        <w:ind w:firstLine="640" w:firstLineChars="200"/>
        <w:rPr>
          <w:szCs w:val="32"/>
        </w:rPr>
      </w:pPr>
      <w:r>
        <w:rPr>
          <w:rFonts w:hint="eastAsia"/>
          <w:szCs w:val="32"/>
        </w:rPr>
        <w:t>根据农业部《养殖水域滩涂规划》编制规范的“养殖水域滩涂功能区划表”，通州区养殖水域滩涂内需要规划为一级功能区禁止养殖区（代码1）的区域属于河道堤防安全区，即全区管辖的长江水域和所有的一二级河道，面积为63188.1亩。</w:t>
      </w:r>
    </w:p>
    <w:p w14:paraId="3E614C15">
      <w:pPr>
        <w:spacing w:line="590" w:lineRule="exact"/>
        <w:ind w:firstLine="640" w:firstLineChars="200"/>
        <w:rPr>
          <w:szCs w:val="32"/>
        </w:rPr>
      </w:pPr>
      <w:r>
        <w:rPr>
          <w:rFonts w:hint="eastAsia"/>
          <w:szCs w:val="32"/>
        </w:rPr>
        <w:t>【</w:t>
      </w:r>
      <w:r>
        <w:rPr>
          <w:rFonts w:hint="eastAsia"/>
          <w:b/>
          <w:bCs/>
          <w:szCs w:val="32"/>
        </w:rPr>
        <w:t>管理措施</w:t>
      </w:r>
      <w:r>
        <w:rPr>
          <w:rFonts w:hint="eastAsia"/>
          <w:szCs w:val="32"/>
        </w:rPr>
        <w:t>】</w:t>
      </w:r>
    </w:p>
    <w:p w14:paraId="457CFCA3">
      <w:pPr>
        <w:spacing w:line="590" w:lineRule="exact"/>
        <w:ind w:firstLine="640" w:firstLineChars="200"/>
        <w:rPr>
          <w:szCs w:val="32"/>
        </w:rPr>
      </w:pPr>
      <w:r>
        <w:rPr>
          <w:rFonts w:hint="eastAsia"/>
          <w:szCs w:val="32"/>
        </w:rPr>
        <w:t>为了保护河道堤防安全和水产品质量安全，禁止养殖区内不得开展任何形式的水产养殖。在长江和全区主要河道中可以开展水产资源增殖放流活动，但放流活动必须经过相关部门批准，且增殖放流的品种必须符合国家相关规定，不得放流外来品种等禁止和不宜放流的品种，不得进行人工投喂，不得设置拦网等设施，不得使用电、毒、炸等违法、违规捕捞工具进行捕捞。</w:t>
      </w:r>
    </w:p>
    <w:p w14:paraId="5D012C08">
      <w:pPr>
        <w:keepNext/>
        <w:keepLines/>
        <w:numPr>
          <w:ilvl w:val="0"/>
          <w:numId w:val="2"/>
        </w:numPr>
        <w:spacing w:line="590" w:lineRule="exact"/>
        <w:outlineLvl w:val="1"/>
        <w:rPr>
          <w:rFonts w:ascii="黑体" w:hAnsi="黑体" w:eastAsia="黑体" w:cs="黑体"/>
          <w:color w:val="000000"/>
          <w:szCs w:val="32"/>
        </w:rPr>
      </w:pPr>
      <w:bookmarkStart w:id="22" w:name="_Toc30961"/>
      <w:r>
        <w:rPr>
          <w:rFonts w:hint="eastAsia" w:ascii="黑体" w:hAnsi="黑体" w:eastAsia="黑体" w:cs="黑体"/>
          <w:color w:val="000000"/>
          <w:szCs w:val="32"/>
        </w:rPr>
        <w:t>限制养殖区</w:t>
      </w:r>
      <w:bookmarkEnd w:id="22"/>
    </w:p>
    <w:p w14:paraId="7CCBC6A1">
      <w:pPr>
        <w:spacing w:line="590" w:lineRule="exact"/>
        <w:ind w:firstLine="640" w:firstLineChars="200"/>
        <w:rPr>
          <w:szCs w:val="32"/>
        </w:rPr>
      </w:pPr>
      <w:r>
        <w:rPr>
          <w:rFonts w:hint="eastAsia"/>
          <w:szCs w:val="32"/>
        </w:rPr>
        <w:t>【</w:t>
      </w:r>
      <w:r>
        <w:rPr>
          <w:rFonts w:hint="eastAsia"/>
          <w:b/>
          <w:bCs/>
          <w:szCs w:val="32"/>
        </w:rPr>
        <w:t>限制养殖区类型</w:t>
      </w:r>
      <w:r>
        <w:rPr>
          <w:rFonts w:hint="eastAsia"/>
          <w:szCs w:val="32"/>
        </w:rPr>
        <w:t>】</w:t>
      </w:r>
    </w:p>
    <w:p w14:paraId="528311E2">
      <w:pPr>
        <w:spacing w:line="590" w:lineRule="exact"/>
        <w:ind w:firstLine="640" w:firstLineChars="200"/>
        <w:rPr>
          <w:szCs w:val="32"/>
        </w:rPr>
      </w:pPr>
      <w:r>
        <w:rPr>
          <w:rFonts w:hint="eastAsia"/>
          <w:szCs w:val="32"/>
        </w:rPr>
        <w:t>根据农业部《养殖水域滩涂规划》编制规范的“养殖水域滩涂功能区划表”及相关要求，结合通州区养殖水域滩涂的具体情况，通州区规划为限制养殖区的区域为永久保护基本农田里已经存在的淡水池塘养殖区。全区规划限制养殖区面积为9564.6亩。</w:t>
      </w:r>
    </w:p>
    <w:p w14:paraId="4197C7E4">
      <w:pPr>
        <w:spacing w:line="590" w:lineRule="exact"/>
        <w:ind w:firstLine="640" w:firstLineChars="200"/>
        <w:rPr>
          <w:szCs w:val="32"/>
        </w:rPr>
      </w:pPr>
      <w:r>
        <w:rPr>
          <w:rFonts w:hint="eastAsia"/>
          <w:szCs w:val="32"/>
        </w:rPr>
        <w:t>【</w:t>
      </w:r>
      <w:r>
        <w:rPr>
          <w:rFonts w:hint="eastAsia"/>
          <w:b/>
          <w:bCs/>
          <w:szCs w:val="32"/>
        </w:rPr>
        <w:t>管理措施</w:t>
      </w:r>
      <w:r>
        <w:rPr>
          <w:rFonts w:hint="eastAsia"/>
          <w:szCs w:val="32"/>
        </w:rPr>
        <w:t>】</w:t>
      </w:r>
    </w:p>
    <w:p w14:paraId="79A16096">
      <w:pPr>
        <w:spacing w:line="590" w:lineRule="exact"/>
        <w:ind w:firstLine="640" w:firstLineChars="200"/>
        <w:rPr>
          <w:szCs w:val="32"/>
        </w:rPr>
      </w:pPr>
      <w:r>
        <w:rPr>
          <w:rFonts w:hint="eastAsia"/>
          <w:szCs w:val="32"/>
        </w:rPr>
        <w:t>限制养殖区的设立是为了在保护生态环境、保证区域主体功能发挥的前提下，允许开展一定范围、一定规模、一定模式的水产养殖活动。水产养殖活动必须服从区域主体功能的需要。限制养殖区的养殖活动的管理措施主要包括：</w:t>
      </w:r>
    </w:p>
    <w:p w14:paraId="7B285EE8">
      <w:pPr>
        <w:spacing w:line="590" w:lineRule="exact"/>
        <w:ind w:firstLine="640" w:firstLineChars="200"/>
        <w:rPr>
          <w:szCs w:val="32"/>
        </w:rPr>
      </w:pPr>
      <w:r>
        <w:rPr>
          <w:rFonts w:hint="eastAsia"/>
          <w:szCs w:val="32"/>
        </w:rPr>
        <w:t>1.在限制养殖区域内严格按照划定和批准的养殖范围和规模进行养殖，不得超范围、超面积养殖。</w:t>
      </w:r>
    </w:p>
    <w:p w14:paraId="29F614D3">
      <w:pPr>
        <w:spacing w:line="590" w:lineRule="exact"/>
        <w:ind w:firstLine="640" w:firstLineChars="200"/>
        <w:rPr>
          <w:szCs w:val="32"/>
        </w:rPr>
      </w:pPr>
      <w:r>
        <w:rPr>
          <w:rFonts w:hint="eastAsia"/>
          <w:szCs w:val="32"/>
        </w:rPr>
        <w:t>2.在限制养殖区内一般不得新增永久性构建筑物，不得增加新的养殖区。根据国家相关政策或政府需要，需及时退出养殖功能。</w:t>
      </w:r>
    </w:p>
    <w:p w14:paraId="018D13F7">
      <w:pPr>
        <w:spacing w:line="590" w:lineRule="exact"/>
        <w:ind w:firstLine="640" w:firstLineChars="200"/>
        <w:rPr>
          <w:szCs w:val="32"/>
        </w:rPr>
      </w:pPr>
      <w:r>
        <w:rPr>
          <w:rFonts w:hint="eastAsia"/>
          <w:szCs w:val="32"/>
        </w:rPr>
        <w:t>3.严格控制渔业投入品使用，杜绝国家明令禁止的渔药的使用，以及可能会对特定生态环境等产生不利影响的渔业投入品的使用。</w:t>
      </w:r>
    </w:p>
    <w:p w14:paraId="3EA58E55">
      <w:pPr>
        <w:spacing w:line="590" w:lineRule="exact"/>
        <w:ind w:firstLine="640" w:firstLineChars="200"/>
        <w:rPr>
          <w:szCs w:val="32"/>
        </w:rPr>
      </w:pPr>
      <w:r>
        <w:rPr>
          <w:rFonts w:hint="eastAsia"/>
          <w:szCs w:val="32"/>
        </w:rPr>
        <w:t>4.限制养殖区内的池塘要按照相关规定，完善养殖尾水处理设施，实行达标排放，并按照要求做好尾水处理设施的运维和长效管理，控制排放数量，按规定进行排放备案申报。</w:t>
      </w:r>
    </w:p>
    <w:p w14:paraId="51AED211">
      <w:pPr>
        <w:spacing w:line="590" w:lineRule="exact"/>
        <w:ind w:firstLine="640" w:firstLineChars="200"/>
        <w:rPr>
          <w:szCs w:val="32"/>
        </w:rPr>
      </w:pPr>
      <w:r>
        <w:rPr>
          <w:rFonts w:hint="eastAsia"/>
          <w:szCs w:val="32"/>
        </w:rPr>
        <w:t>5.加强对限制养殖区的执法检查和监督检查，对违反限制养殖区管理相关措施、破坏限养区生态环境，以及其他违法行为进行坚决打击和取缔，保证限制养殖区各项管理措施的有效落实。</w:t>
      </w:r>
    </w:p>
    <w:p w14:paraId="25C1AE53">
      <w:pPr>
        <w:spacing w:line="590" w:lineRule="exact"/>
        <w:ind w:firstLine="640" w:firstLineChars="200"/>
        <w:rPr>
          <w:szCs w:val="32"/>
        </w:rPr>
      </w:pPr>
      <w:r>
        <w:rPr>
          <w:rFonts w:hint="eastAsia"/>
          <w:szCs w:val="32"/>
        </w:rPr>
        <w:t>6.限养区水质等环境有明显变化的趋势时，及时调整养殖管理措施，降低水产养殖活动对环境的影响。</w:t>
      </w:r>
    </w:p>
    <w:p w14:paraId="29400DD2">
      <w:pPr>
        <w:rPr>
          <w:rFonts w:ascii="黑体" w:hAnsi="黑体" w:eastAsia="黑体" w:cs="黑体"/>
          <w:color w:val="000000"/>
          <w:szCs w:val="32"/>
        </w:rPr>
      </w:pPr>
      <w:bookmarkStart w:id="23" w:name="_Toc6737"/>
      <w:r>
        <w:rPr>
          <w:rFonts w:hint="eastAsia" w:ascii="黑体" w:hAnsi="黑体" w:eastAsia="黑体" w:cs="黑体"/>
          <w:color w:val="000000"/>
          <w:szCs w:val="32"/>
        </w:rPr>
        <w:br w:type="page"/>
      </w:r>
    </w:p>
    <w:p w14:paraId="019CEA28">
      <w:pPr>
        <w:keepNext/>
        <w:keepLines/>
        <w:spacing w:line="590" w:lineRule="exact"/>
        <w:ind w:firstLine="681" w:firstLineChars="213"/>
        <w:outlineLvl w:val="1"/>
        <w:rPr>
          <w:rFonts w:ascii="黑体" w:hAnsi="黑体" w:eastAsia="黑体" w:cs="黑体"/>
          <w:color w:val="000000"/>
          <w:szCs w:val="32"/>
        </w:rPr>
      </w:pPr>
      <w:r>
        <w:rPr>
          <w:rFonts w:hint="eastAsia" w:ascii="黑体" w:hAnsi="黑体" w:eastAsia="黑体" w:cs="黑体"/>
          <w:color w:val="000000"/>
          <w:szCs w:val="32"/>
        </w:rPr>
        <w:t>第十二节  养殖区</w:t>
      </w:r>
      <w:bookmarkEnd w:id="23"/>
    </w:p>
    <w:p w14:paraId="46252656">
      <w:pPr>
        <w:spacing w:line="590" w:lineRule="exact"/>
        <w:ind w:firstLine="640" w:firstLineChars="200"/>
        <w:rPr>
          <w:szCs w:val="32"/>
        </w:rPr>
      </w:pPr>
      <w:r>
        <w:rPr>
          <w:rFonts w:hint="eastAsia"/>
          <w:szCs w:val="32"/>
        </w:rPr>
        <w:t>【</w:t>
      </w:r>
      <w:r>
        <w:rPr>
          <w:rFonts w:hint="eastAsia"/>
          <w:b/>
          <w:bCs/>
          <w:szCs w:val="32"/>
        </w:rPr>
        <w:t>概况</w:t>
      </w:r>
      <w:r>
        <w:rPr>
          <w:rFonts w:hint="eastAsia"/>
          <w:szCs w:val="32"/>
        </w:rPr>
        <w:t>】</w:t>
      </w:r>
    </w:p>
    <w:p w14:paraId="11770538">
      <w:pPr>
        <w:spacing w:line="590" w:lineRule="exact"/>
        <w:ind w:firstLine="640" w:firstLineChars="200"/>
        <w:rPr>
          <w:szCs w:val="32"/>
        </w:rPr>
      </w:pPr>
      <w:r>
        <w:rPr>
          <w:rFonts w:hint="eastAsia"/>
          <w:szCs w:val="32"/>
        </w:rPr>
        <w:t>根据农业部《养殖水域滩涂规划编制规范》的“养殖水域滩涂功能区划表”，通州区水域滩涂养殖区（代码3）一级功能区只有淡水养殖区（代码3-2）1个二级功能区。二级功能区淡水养殖区规划了池塘养殖区（代码3-2-1）1个三级功能区。池塘养殖区面积为7421.7亩。</w:t>
      </w:r>
    </w:p>
    <w:p w14:paraId="47F0D166">
      <w:pPr>
        <w:spacing w:line="590" w:lineRule="exact"/>
        <w:ind w:firstLine="640" w:firstLineChars="200"/>
        <w:rPr>
          <w:szCs w:val="32"/>
        </w:rPr>
      </w:pPr>
      <w:r>
        <w:rPr>
          <w:rFonts w:hint="eastAsia"/>
          <w:szCs w:val="32"/>
        </w:rPr>
        <w:t>【</w:t>
      </w:r>
      <w:r>
        <w:rPr>
          <w:rFonts w:hint="eastAsia"/>
          <w:b/>
          <w:bCs/>
          <w:szCs w:val="32"/>
        </w:rPr>
        <w:t>管理措施</w:t>
      </w:r>
      <w:r>
        <w:rPr>
          <w:rFonts w:hint="eastAsia"/>
          <w:szCs w:val="32"/>
        </w:rPr>
        <w:t>】</w:t>
      </w:r>
    </w:p>
    <w:p w14:paraId="704E60A2">
      <w:pPr>
        <w:spacing w:line="590" w:lineRule="exact"/>
        <w:ind w:firstLine="640" w:firstLineChars="200"/>
        <w:rPr>
          <w:szCs w:val="32"/>
        </w:rPr>
      </w:pPr>
      <w:r>
        <w:rPr>
          <w:rFonts w:hint="eastAsia"/>
          <w:szCs w:val="32"/>
        </w:rPr>
        <w:t>淡水池塘养殖区是相对稳定的淡水养殖区域。淡水池塘养殖区主要进行青鱼、草鱼、鲢鱼、鳙鱼、团头鲂、异育银鲫、乌鳢、河蟹等淡水品种的养殖。</w:t>
      </w:r>
    </w:p>
    <w:p w14:paraId="480BEF9C">
      <w:pPr>
        <w:spacing w:line="590" w:lineRule="exact"/>
        <w:ind w:firstLine="640" w:firstLineChars="200"/>
        <w:rPr>
          <w:rFonts w:ascii="仿宋_GB2312" w:hAnsi="仿宋_GB2312" w:eastAsia="仿宋_GB2312" w:cs="仿宋_GB2312"/>
          <w:snapToGrid/>
          <w:color w:val="000000"/>
          <w:kern w:val="2"/>
          <w:szCs w:val="32"/>
        </w:rPr>
      </w:pPr>
      <w:r>
        <w:rPr>
          <w:rFonts w:hint="eastAsia"/>
          <w:szCs w:val="32"/>
        </w:rPr>
        <w:t>通州区淡水池塘养殖发展的重点是，加强基础设施建设，完成标准化改造，提高淡水池塘的设施配套水平。完善养殖尾水处理系统，实现尾水达标排放，并按照相关规定和要求做好尾水处理实施的长效运维管理和排放备案申报。加快养殖结构调整和优化，大力推广生态养殖和标准化养殖，大力发展名特优品种养殖，减少常规品种养殖规模。将淡水池塘养殖与休闲渔业、渔家乐等发展密切结合起来，实现渔业一二、三产业融合发展，提高整体效益。切实加强水产养殖污染控制，提升可持续发展能力。强化渔业投入品管理，严防养殖水域环境污染，提高水产品质量，严禁使用违禁渔药、饲料等水产养殖投入品的现象发生</w:t>
      </w:r>
      <w:r>
        <w:rPr>
          <w:rFonts w:hint="eastAsia" w:ascii="仿宋_GB2312" w:hAnsi="仿宋_GB2312" w:eastAsia="仿宋_GB2312" w:cs="仿宋_GB2312"/>
          <w:snapToGrid/>
          <w:color w:val="000000"/>
          <w:kern w:val="2"/>
          <w:szCs w:val="32"/>
        </w:rPr>
        <w:t>。</w:t>
      </w:r>
    </w:p>
    <w:p w14:paraId="49D86C6B">
      <w:pPr>
        <w:autoSpaceDE/>
        <w:autoSpaceDN/>
        <w:spacing w:line="590" w:lineRule="exact"/>
        <w:ind w:firstLine="937" w:firstLineChars="213"/>
        <w:jc w:val="center"/>
        <w:rPr>
          <w:rFonts w:ascii="方正黑体_GBK" w:hAnsi="方正黑体_GBK" w:eastAsia="方正黑体_GBK" w:cs="方正黑体_GBK"/>
          <w:sz w:val="44"/>
          <w:szCs w:val="44"/>
        </w:rPr>
      </w:pPr>
      <w:bookmarkStart w:id="24" w:name="_Toc20579"/>
      <w:r>
        <w:rPr>
          <w:rFonts w:hint="eastAsia" w:ascii="方正黑体_GBK" w:hAnsi="方正黑体_GBK" w:eastAsia="方正黑体_GBK" w:cs="方正黑体_GBK"/>
          <w:sz w:val="44"/>
          <w:szCs w:val="44"/>
        </w:rPr>
        <w:t>第四章  保障措施</w:t>
      </w:r>
      <w:bookmarkEnd w:id="24"/>
    </w:p>
    <w:p w14:paraId="1996372C">
      <w:pPr>
        <w:keepNext/>
        <w:keepLines/>
        <w:spacing w:line="590" w:lineRule="exact"/>
        <w:outlineLvl w:val="1"/>
        <w:rPr>
          <w:rFonts w:ascii="黑体" w:hAnsi="黑体" w:eastAsia="黑体" w:cs="黑体"/>
          <w:bCs/>
          <w:color w:val="000000"/>
          <w:szCs w:val="32"/>
        </w:rPr>
      </w:pPr>
      <w:bookmarkStart w:id="25" w:name="_Toc1735_WPSOffice_Level2"/>
      <w:bookmarkStart w:id="26" w:name="_Toc2763"/>
      <w:bookmarkStart w:id="27" w:name="_Toc23140"/>
      <w:bookmarkStart w:id="28" w:name="_Toc31607"/>
      <w:bookmarkStart w:id="29" w:name="_Toc4112_WPSOffice_Level2"/>
      <w:bookmarkStart w:id="30" w:name="_Toc13768_WPSOffice_Level2"/>
      <w:r>
        <w:rPr>
          <w:rFonts w:ascii="黑体" w:hAnsi="黑体" w:eastAsia="黑体" w:cs="黑体"/>
          <w:bCs/>
          <w:color w:val="000000"/>
          <w:szCs w:val="32"/>
        </w:rPr>
        <w:t>第十</w:t>
      </w:r>
      <w:r>
        <w:rPr>
          <w:rFonts w:hint="eastAsia" w:ascii="黑体" w:hAnsi="黑体" w:eastAsia="黑体" w:cs="黑体"/>
          <w:bCs/>
          <w:color w:val="000000"/>
          <w:szCs w:val="32"/>
        </w:rPr>
        <w:t>三</w:t>
      </w:r>
      <w:r>
        <w:rPr>
          <w:rFonts w:ascii="黑体" w:hAnsi="黑体" w:eastAsia="黑体" w:cs="黑体"/>
          <w:bCs/>
          <w:color w:val="000000"/>
          <w:szCs w:val="32"/>
        </w:rPr>
        <w:t>节加强组织领导</w:t>
      </w:r>
      <w:bookmarkEnd w:id="25"/>
      <w:bookmarkEnd w:id="26"/>
      <w:bookmarkEnd w:id="27"/>
      <w:bookmarkEnd w:id="28"/>
      <w:bookmarkEnd w:id="29"/>
      <w:bookmarkEnd w:id="30"/>
    </w:p>
    <w:p w14:paraId="32FCE1F3">
      <w:pPr>
        <w:spacing w:line="590" w:lineRule="exact"/>
        <w:ind w:firstLine="640" w:firstLineChars="200"/>
        <w:rPr>
          <w:szCs w:val="32"/>
        </w:rPr>
      </w:pPr>
      <w:r>
        <w:rPr>
          <w:rFonts w:hint="eastAsia"/>
          <w:szCs w:val="32"/>
        </w:rPr>
        <w:t>切实加强对《规划》编制和实施的组织领导，确保《规划》的科学制定和顺利实施。农业主管部门是《规划》制定和实施的具体承担部门，要严格按照相关法律法规和要求切实组织好规划的编制与实施，推动全区水产养殖走上法制化轨道，促进全区水产养殖的健康、稳定发展和农民增收。要建立由区政府统一领导的《规划》编制和实施联动机制，强化农业、规划、国土、发改、水利、环保、交通等部门的合作，各部门之间既要各司其职，又要加强配合和协调，统筹各方面利益，促进水产养殖与经济社会发展相互促进、和谐发展。根据全区经济社会和水产养殖发展实际需求，当《规划》相关内容变化较大必须进行调整时，按照农业部《养殖水域滩涂规划编制规范》要求，及时组织对规划的修订。</w:t>
      </w:r>
    </w:p>
    <w:p w14:paraId="02B455A9">
      <w:pPr>
        <w:keepNext/>
        <w:keepLines/>
        <w:spacing w:line="590" w:lineRule="exact"/>
        <w:outlineLvl w:val="1"/>
        <w:rPr>
          <w:rFonts w:ascii="黑体" w:hAnsi="黑体" w:eastAsia="黑体" w:cs="黑体"/>
          <w:bCs/>
          <w:color w:val="000000"/>
          <w:szCs w:val="32"/>
        </w:rPr>
      </w:pPr>
      <w:bookmarkStart w:id="31" w:name="_Toc1067"/>
      <w:bookmarkStart w:id="32" w:name="_Toc11760_WPSOffice_Level2"/>
      <w:bookmarkStart w:id="33" w:name="_Toc797"/>
      <w:bookmarkStart w:id="34" w:name="_Toc29608"/>
      <w:bookmarkStart w:id="35" w:name="_Toc25852"/>
      <w:bookmarkStart w:id="36" w:name="_Toc26882_WPSOffice_Level2"/>
      <w:bookmarkStart w:id="37" w:name="_Toc11751_WPSOffice_Level2"/>
      <w:r>
        <w:rPr>
          <w:rFonts w:ascii="黑体" w:hAnsi="黑体" w:eastAsia="黑体" w:cs="黑体"/>
          <w:bCs/>
          <w:color w:val="000000"/>
          <w:szCs w:val="32"/>
        </w:rPr>
        <w:t>第十</w:t>
      </w:r>
      <w:r>
        <w:rPr>
          <w:rFonts w:hint="eastAsia" w:ascii="黑体" w:hAnsi="黑体" w:eastAsia="黑体" w:cs="黑体"/>
          <w:bCs/>
          <w:color w:val="000000"/>
          <w:szCs w:val="32"/>
        </w:rPr>
        <w:t>四</w:t>
      </w:r>
      <w:r>
        <w:rPr>
          <w:rFonts w:ascii="黑体" w:hAnsi="黑体" w:eastAsia="黑体" w:cs="黑体"/>
          <w:bCs/>
          <w:color w:val="000000"/>
          <w:szCs w:val="32"/>
        </w:rPr>
        <w:t>节强化监督检查</w:t>
      </w:r>
      <w:bookmarkEnd w:id="31"/>
      <w:bookmarkEnd w:id="32"/>
      <w:bookmarkEnd w:id="33"/>
      <w:bookmarkEnd w:id="34"/>
      <w:bookmarkEnd w:id="35"/>
      <w:bookmarkEnd w:id="36"/>
      <w:bookmarkEnd w:id="37"/>
    </w:p>
    <w:p w14:paraId="6E9B0A34">
      <w:pPr>
        <w:autoSpaceDE/>
        <w:autoSpaceDN/>
        <w:spacing w:line="590" w:lineRule="exact"/>
        <w:ind w:firstLine="0"/>
        <w:rPr>
          <w:szCs w:val="32"/>
        </w:rPr>
      </w:pPr>
      <w:r>
        <w:rPr>
          <w:rFonts w:hint="eastAsia"/>
          <w:szCs w:val="32"/>
        </w:rPr>
        <w:t>加强执法监督检查，保证《规划》有效实施。按照各个功能区区划，加强对养殖水域滩涂功能区用途管制，确保禁止养殖区、限制养殖区和养殖区相关管理措施的落实。不断完善养殖水域滩涂使用审批和管理制度，依法保护渔业、渔民的合法利益，促进水产养殖业稳定和健康发展。切实加大水产养殖执法力度，严厉打击违章养殖和违禁渔业投入品使用等非法行为，保护养殖水域滩涂生态环境与水产品质量安全，维护正常的水产养殖生产秩序，保证《规划》各项措施有效落实。</w:t>
      </w:r>
    </w:p>
    <w:p w14:paraId="35AB8939">
      <w:pPr>
        <w:keepNext/>
        <w:keepLines/>
        <w:spacing w:line="590" w:lineRule="exact"/>
        <w:outlineLvl w:val="1"/>
        <w:rPr>
          <w:rFonts w:ascii="黑体" w:hAnsi="黑体" w:eastAsia="黑体" w:cs="黑体"/>
          <w:bCs/>
          <w:color w:val="000000"/>
          <w:szCs w:val="32"/>
        </w:rPr>
      </w:pPr>
      <w:bookmarkStart w:id="38" w:name="_Toc28788_WPSOffice_Level2"/>
      <w:bookmarkStart w:id="39" w:name="_Toc15773"/>
      <w:bookmarkStart w:id="40" w:name="_Toc22164"/>
      <w:bookmarkStart w:id="41" w:name="_Toc26089_WPSOffice_Level2"/>
      <w:bookmarkStart w:id="42" w:name="_Toc13178_WPSOffice_Level2"/>
      <w:bookmarkStart w:id="43" w:name="_Toc8944"/>
      <w:bookmarkStart w:id="44" w:name="_Toc18181"/>
      <w:r>
        <w:rPr>
          <w:rFonts w:ascii="黑体" w:hAnsi="黑体" w:eastAsia="黑体" w:cs="黑体"/>
          <w:bCs/>
          <w:color w:val="000000"/>
          <w:szCs w:val="32"/>
        </w:rPr>
        <w:t>第十</w:t>
      </w:r>
      <w:r>
        <w:rPr>
          <w:rFonts w:hint="eastAsia" w:ascii="黑体" w:hAnsi="黑体" w:eastAsia="黑体" w:cs="黑体"/>
          <w:bCs/>
          <w:color w:val="000000"/>
          <w:szCs w:val="32"/>
        </w:rPr>
        <w:t>五</w:t>
      </w:r>
      <w:r>
        <w:rPr>
          <w:rFonts w:ascii="黑体" w:hAnsi="黑体" w:eastAsia="黑体" w:cs="黑体"/>
          <w:bCs/>
          <w:color w:val="000000"/>
          <w:szCs w:val="32"/>
        </w:rPr>
        <w:t>节完善生态保护</w:t>
      </w:r>
      <w:bookmarkEnd w:id="38"/>
      <w:bookmarkEnd w:id="39"/>
      <w:bookmarkEnd w:id="40"/>
      <w:bookmarkEnd w:id="41"/>
      <w:bookmarkEnd w:id="42"/>
      <w:bookmarkEnd w:id="43"/>
      <w:bookmarkEnd w:id="44"/>
    </w:p>
    <w:p w14:paraId="19E4FBA8">
      <w:pPr>
        <w:spacing w:line="590" w:lineRule="exact"/>
        <w:ind w:firstLine="640" w:firstLineChars="200"/>
        <w:rPr>
          <w:szCs w:val="32"/>
        </w:rPr>
      </w:pPr>
      <w:r>
        <w:rPr>
          <w:rFonts w:hint="eastAsia"/>
          <w:szCs w:val="32"/>
        </w:rPr>
        <w:t>科学规划、合理确定养殖规模和密度，防止因养殖密度过高而造成养殖对象死亡，水域滩涂环境受到严重污染。调整优化养殖品种结构，促进水产养殖生态效益和经济效益同步提高。大力推广池塘循环水养殖技术、池塘工业化养殖、工厂化循环水养殖等先进技术。探索开展养殖环境容量评估，不在环境容量不足区域开展大规模水产养殖，把水产养殖对生态环境影响的程度降到最低。开展重点养殖区域养殖尾水排放监测，实施达标排放。强化水产养殖技术推广，大力推进水产养殖标准化进程，严格规范和控制养殖饲料、药物等渔业投入品使用，努力提高健康养殖技术水平；建立水产养殖环境保护主体责任制，强化养殖集中区环境保护与整治，提高养殖尾水处理率，全面实现达标排放。</w:t>
      </w:r>
    </w:p>
    <w:p w14:paraId="26CE4011">
      <w:pPr>
        <w:keepNext/>
        <w:keepLines/>
        <w:spacing w:line="590" w:lineRule="exact"/>
        <w:outlineLvl w:val="1"/>
        <w:rPr>
          <w:rFonts w:ascii="黑体" w:hAnsi="黑体" w:eastAsia="黑体" w:cs="黑体"/>
          <w:bCs/>
          <w:color w:val="000000"/>
          <w:szCs w:val="32"/>
        </w:rPr>
      </w:pPr>
      <w:bookmarkStart w:id="45" w:name="_Toc16846_WPSOffice_Level2"/>
      <w:bookmarkStart w:id="46" w:name="_Toc3242"/>
      <w:bookmarkStart w:id="47" w:name="_Toc22502"/>
      <w:bookmarkStart w:id="48" w:name="_Toc13034_WPSOffice_Level2"/>
      <w:bookmarkStart w:id="49" w:name="_Toc25284"/>
      <w:bookmarkStart w:id="50" w:name="_Toc29253"/>
      <w:bookmarkStart w:id="51" w:name="_Toc19947_WPSOffice_Level2"/>
      <w:r>
        <w:rPr>
          <w:rFonts w:ascii="黑体" w:hAnsi="黑体" w:eastAsia="黑体" w:cs="黑体"/>
          <w:bCs/>
          <w:color w:val="000000"/>
          <w:szCs w:val="32"/>
        </w:rPr>
        <w:t>第十</w:t>
      </w:r>
      <w:r>
        <w:rPr>
          <w:rFonts w:hint="eastAsia" w:ascii="黑体" w:hAnsi="黑体" w:eastAsia="黑体" w:cs="黑体"/>
          <w:bCs/>
          <w:color w:val="000000"/>
          <w:szCs w:val="32"/>
        </w:rPr>
        <w:t>六</w:t>
      </w:r>
      <w:r>
        <w:rPr>
          <w:rFonts w:ascii="黑体" w:hAnsi="黑体" w:eastAsia="黑体" w:cs="黑体"/>
          <w:bCs/>
          <w:color w:val="000000"/>
          <w:szCs w:val="32"/>
        </w:rPr>
        <w:t>节其他保障措施</w:t>
      </w:r>
      <w:bookmarkEnd w:id="45"/>
      <w:bookmarkEnd w:id="46"/>
      <w:bookmarkEnd w:id="47"/>
      <w:bookmarkEnd w:id="48"/>
      <w:bookmarkEnd w:id="49"/>
      <w:bookmarkEnd w:id="50"/>
      <w:bookmarkEnd w:id="51"/>
    </w:p>
    <w:p w14:paraId="184B3F28">
      <w:pPr>
        <w:spacing w:line="590" w:lineRule="exact"/>
        <w:ind w:firstLine="640" w:firstLineChars="200"/>
        <w:rPr>
          <w:szCs w:val="32"/>
        </w:rPr>
      </w:pPr>
      <w:r>
        <w:rPr>
          <w:rFonts w:hint="eastAsia"/>
          <w:szCs w:val="32"/>
        </w:rPr>
        <w:t>【</w:t>
      </w:r>
      <w:r>
        <w:rPr>
          <w:rFonts w:hint="eastAsia"/>
          <w:b/>
          <w:bCs/>
          <w:szCs w:val="32"/>
        </w:rPr>
        <w:t>加大宣传力度</w:t>
      </w:r>
      <w:r>
        <w:rPr>
          <w:rFonts w:hint="eastAsia"/>
          <w:szCs w:val="32"/>
        </w:rPr>
        <w:t>】</w:t>
      </w:r>
    </w:p>
    <w:p w14:paraId="06EC376D">
      <w:pPr>
        <w:spacing w:line="590" w:lineRule="exact"/>
        <w:ind w:firstLine="640" w:firstLineChars="200"/>
        <w:rPr>
          <w:szCs w:val="32"/>
        </w:rPr>
      </w:pPr>
      <w:r>
        <w:rPr>
          <w:rFonts w:hint="eastAsia"/>
          <w:szCs w:val="32"/>
        </w:rPr>
        <w:t>充分利用广播、电视和互联网等各种媒体，加大养殖水域滩涂规划制度宣传力度，让社会各界更好地了解养殖水域滩涂规划，为规划实施营造良好的舆论氛围，协调和保护各有关方面的合法权益，促进水产养殖发展走上法制化轨道。</w:t>
      </w:r>
    </w:p>
    <w:p w14:paraId="6B35618C">
      <w:pPr>
        <w:spacing w:line="590" w:lineRule="exact"/>
        <w:ind w:firstLine="640" w:firstLineChars="200"/>
        <w:rPr>
          <w:szCs w:val="32"/>
        </w:rPr>
      </w:pPr>
      <w:r>
        <w:rPr>
          <w:rFonts w:hint="eastAsia"/>
          <w:szCs w:val="32"/>
        </w:rPr>
        <w:t>【</w:t>
      </w:r>
      <w:r>
        <w:rPr>
          <w:rFonts w:hint="eastAsia"/>
          <w:b/>
          <w:bCs/>
          <w:szCs w:val="32"/>
        </w:rPr>
        <w:t>强化科技推广</w:t>
      </w:r>
      <w:r>
        <w:rPr>
          <w:rFonts w:hint="eastAsia"/>
          <w:szCs w:val="32"/>
        </w:rPr>
        <w:t>】</w:t>
      </w:r>
    </w:p>
    <w:p w14:paraId="5C0EBF12">
      <w:pPr>
        <w:spacing w:line="590" w:lineRule="exact"/>
        <w:ind w:firstLine="640" w:firstLineChars="200"/>
        <w:rPr>
          <w:szCs w:val="32"/>
        </w:rPr>
      </w:pPr>
      <w:r>
        <w:rPr>
          <w:rFonts w:hint="eastAsia"/>
          <w:szCs w:val="32"/>
        </w:rPr>
        <w:t>不断完善渔业技术推广、服务体系，增强服务意识和能力。抓好水产养殖病害测报体系、渔业环境监测体系、水生动物防疫检疫体系和水产品质量检验检测体系建设，确保水产品质量安全。强化培训和科技推广力度，增强渔农民法律意识、科技意识，提高渔农民依法维护自身权益的意识，提升渔农民养殖技能和水平。</w:t>
      </w:r>
    </w:p>
    <w:p w14:paraId="5C79BF34">
      <w:pPr>
        <w:spacing w:line="590" w:lineRule="exact"/>
        <w:ind w:firstLine="640" w:firstLineChars="200"/>
        <w:rPr>
          <w:szCs w:val="32"/>
        </w:rPr>
      </w:pPr>
      <w:r>
        <w:rPr>
          <w:rFonts w:hint="eastAsia"/>
          <w:szCs w:val="32"/>
        </w:rPr>
        <w:t>【</w:t>
      </w:r>
      <w:r>
        <w:rPr>
          <w:rFonts w:hint="eastAsia"/>
          <w:b/>
          <w:bCs/>
          <w:szCs w:val="32"/>
        </w:rPr>
        <w:t>创新经营体制</w:t>
      </w:r>
      <w:r>
        <w:rPr>
          <w:rFonts w:hint="eastAsia"/>
          <w:szCs w:val="32"/>
        </w:rPr>
        <w:t>】</w:t>
      </w:r>
    </w:p>
    <w:p w14:paraId="3CDD9A76">
      <w:pPr>
        <w:spacing w:line="590" w:lineRule="exact"/>
        <w:ind w:firstLine="640" w:firstLineChars="200"/>
        <w:rPr>
          <w:szCs w:val="32"/>
        </w:rPr>
      </w:pPr>
      <w:r>
        <w:rPr>
          <w:rFonts w:hint="eastAsia"/>
          <w:szCs w:val="32"/>
        </w:rPr>
        <w:t>不断深化渔业经营体制改革和创新，按照“自愿、有偿、依法”的原则，逐步建立和完善养殖水域滩涂流转机制，发展适度规模经营。注重渔业经营组织形式创新，大力培育家庭渔场、渔业专业合作组织等新型渔业经营主体，提高水产养殖组织化程度和适应市场的能力。</w:t>
      </w:r>
    </w:p>
    <w:p w14:paraId="498BC17D">
      <w:pPr>
        <w:spacing w:line="590" w:lineRule="exact"/>
        <w:ind w:firstLine="640" w:firstLineChars="200"/>
        <w:rPr>
          <w:szCs w:val="32"/>
        </w:rPr>
      </w:pPr>
      <w:r>
        <w:rPr>
          <w:rFonts w:hint="eastAsia"/>
          <w:szCs w:val="32"/>
        </w:rPr>
        <w:t>【</w:t>
      </w:r>
      <w:r>
        <w:rPr>
          <w:rFonts w:hint="eastAsia"/>
          <w:b/>
          <w:bCs/>
          <w:szCs w:val="32"/>
        </w:rPr>
        <w:t>提升创新能力</w:t>
      </w:r>
      <w:r>
        <w:rPr>
          <w:rFonts w:hint="eastAsia"/>
          <w:szCs w:val="32"/>
        </w:rPr>
        <w:t>】</w:t>
      </w:r>
    </w:p>
    <w:p w14:paraId="2DF98432">
      <w:pPr>
        <w:spacing w:line="590" w:lineRule="exact"/>
        <w:ind w:firstLine="640" w:firstLineChars="200"/>
        <w:rPr>
          <w:szCs w:val="32"/>
        </w:rPr>
      </w:pPr>
      <w:r>
        <w:rPr>
          <w:rFonts w:hint="eastAsia"/>
          <w:szCs w:val="32"/>
        </w:rPr>
        <w:t>完善渔业科技创新体制和机制，提高渔业自主创新能力，特别是企业自主创新能力。加快建立政府为主导、社会力量广泛参与的多元化渔业科研投入体系。实施水产健康养殖“五大行动”：大力推广生态健康养殖模式，优化水产养殖方式；实行养殖尾水治理后达标排放，解决末端污染问题；实行水产养殖用药减量，保障水产品质量安全；推行配合饲料替代幼杂鱼，保护自然渔业资源；促进水产种业质量提升，强化苗种核心支撑。努力建设“环境友好、产出高效、产品安全”的现代水产养殖体系。</w:t>
      </w:r>
    </w:p>
    <w:p w14:paraId="737571B3">
      <w:pPr>
        <w:spacing w:line="590" w:lineRule="exact"/>
        <w:ind w:firstLine="640" w:firstLineChars="200"/>
        <w:rPr>
          <w:szCs w:val="32"/>
        </w:rPr>
      </w:pPr>
      <w:r>
        <w:rPr>
          <w:rFonts w:hint="eastAsia"/>
          <w:szCs w:val="32"/>
        </w:rPr>
        <w:t>【</w:t>
      </w:r>
      <w:r>
        <w:rPr>
          <w:rFonts w:hint="eastAsia"/>
          <w:b/>
          <w:bCs/>
          <w:szCs w:val="32"/>
        </w:rPr>
        <w:t>加快产业化进程</w:t>
      </w:r>
      <w:r>
        <w:rPr>
          <w:rFonts w:hint="eastAsia"/>
          <w:szCs w:val="32"/>
        </w:rPr>
        <w:t>】</w:t>
      </w:r>
    </w:p>
    <w:p w14:paraId="17E308FC">
      <w:pPr>
        <w:spacing w:line="590" w:lineRule="exact"/>
        <w:ind w:firstLine="640" w:firstLineChars="200"/>
        <w:rPr>
          <w:szCs w:val="32"/>
        </w:rPr>
      </w:pPr>
      <w:r>
        <w:rPr>
          <w:rFonts w:hint="eastAsia"/>
          <w:szCs w:val="32"/>
        </w:rPr>
        <w:t>加强对水产养殖产前、产中、产后服务，加快完善水产苗种体系建设，大力发展水产品加工，特别是适应市场需求的精深和小包装产品加工，加快水产品专业市场建设和渔业电子商务发展。大力培育水产养殖龙头企业，发展订单养殖，推进水产养殖供给侧结构性改革，促进一二、三产业融合发展，提高产业化水平，促进渔业增效、农民增收。</w:t>
      </w:r>
    </w:p>
    <w:p w14:paraId="6A264517">
      <w:pPr>
        <w:spacing w:line="590" w:lineRule="exact"/>
        <w:ind w:firstLine="640" w:firstLineChars="200"/>
        <w:rPr>
          <w:szCs w:val="32"/>
        </w:rPr>
      </w:pPr>
      <w:r>
        <w:rPr>
          <w:rFonts w:hint="eastAsia"/>
          <w:szCs w:val="32"/>
        </w:rPr>
        <w:t>【</w:t>
      </w:r>
      <w:r>
        <w:rPr>
          <w:rFonts w:hint="eastAsia"/>
          <w:b/>
          <w:bCs/>
          <w:szCs w:val="32"/>
        </w:rPr>
        <w:t>完善投入机制</w:t>
      </w:r>
      <w:r>
        <w:rPr>
          <w:rFonts w:hint="eastAsia"/>
          <w:szCs w:val="32"/>
        </w:rPr>
        <w:t>】</w:t>
      </w:r>
    </w:p>
    <w:p w14:paraId="13ED4EA0">
      <w:pPr>
        <w:spacing w:line="590" w:lineRule="exact"/>
        <w:ind w:firstLine="640" w:firstLineChars="200"/>
        <w:rPr>
          <w:szCs w:val="32"/>
        </w:rPr>
      </w:pPr>
      <w:r>
        <w:rPr>
          <w:rFonts w:hint="eastAsia"/>
          <w:szCs w:val="32"/>
        </w:rPr>
        <w:t>建立多元化投入机制，加大政策扶持力度，大力吸引各方面资金投入水产养殖，特别是具有较大发展空间、发展潜力、资金需求量大、环保效果明显的大项目。探索建立水产养殖产业保险体系，稳定水产养殖发展，保护农民利益。</w:t>
      </w:r>
    </w:p>
    <w:p w14:paraId="7192AFFD">
      <w:pPr>
        <w:spacing w:line="590" w:lineRule="exact"/>
        <w:ind w:firstLine="640" w:firstLineChars="200"/>
        <w:rPr>
          <w:szCs w:val="32"/>
        </w:rPr>
      </w:pPr>
      <w:r>
        <w:rPr>
          <w:rFonts w:hint="eastAsia"/>
          <w:szCs w:val="32"/>
        </w:rPr>
        <w:t>【</w:t>
      </w:r>
      <w:r>
        <w:rPr>
          <w:rFonts w:hint="eastAsia"/>
          <w:b/>
          <w:bCs/>
          <w:szCs w:val="32"/>
        </w:rPr>
        <w:t>加快园区发展</w:t>
      </w:r>
      <w:r>
        <w:rPr>
          <w:rFonts w:hint="eastAsia"/>
          <w:szCs w:val="32"/>
        </w:rPr>
        <w:t>】</w:t>
      </w:r>
    </w:p>
    <w:p w14:paraId="0CD35528">
      <w:pPr>
        <w:spacing w:line="590" w:lineRule="exact"/>
        <w:ind w:firstLine="640" w:firstLineChars="200"/>
        <w:rPr>
          <w:rFonts w:eastAsia="仿宋_GB2312"/>
          <w:snapToGrid/>
          <w:color w:val="000000"/>
          <w:kern w:val="2"/>
          <w:szCs w:val="32"/>
        </w:rPr>
      </w:pPr>
      <w:r>
        <w:rPr>
          <w:rFonts w:hint="eastAsia"/>
          <w:szCs w:val="32"/>
        </w:rPr>
        <w:t>充分发挥通州区渔业资源、区位和产业发展优势，推动优势水产品和特色水产品向优势产区集中，构建优势产业区和特色产业区，促进特色水产养殖集群、集约发展。将发展黑鱼、观赏鱼等特种水产业与标准化生产、产业化经营、休闲观光、现代渔业产业园区建设等有机结合起来，促进水产养殖更好、更快发展。</w:t>
      </w:r>
    </w:p>
    <w:p w14:paraId="6E2F9736">
      <w:pPr>
        <w:spacing w:line="590" w:lineRule="exact"/>
        <w:jc w:val="center"/>
        <w:outlineLvl w:val="0"/>
        <w:rPr>
          <w:rFonts w:ascii="方正黑体_GBK" w:hAnsi="方正黑体_GBK" w:eastAsia="方正黑体_GBK" w:cs="方正黑体_GBK"/>
          <w:sz w:val="44"/>
          <w:szCs w:val="44"/>
        </w:rPr>
      </w:pPr>
      <w:bookmarkStart w:id="52" w:name="_Toc12134"/>
    </w:p>
    <w:p w14:paraId="74DC83A6">
      <w:pPr>
        <w:spacing w:line="590" w:lineRule="exact"/>
        <w:jc w:val="center"/>
        <w:outlineLvl w:val="0"/>
        <w:rPr>
          <w:rFonts w:ascii="方正黑体_GBK" w:hAnsi="方正黑体_GBK" w:eastAsia="方正黑体_GBK" w:cs="方正黑体_GBK"/>
          <w:sz w:val="44"/>
          <w:szCs w:val="44"/>
        </w:rPr>
        <w:sectPr>
          <w:footerReference r:id="rId7" w:type="default"/>
          <w:footerReference r:id="rId8" w:type="even"/>
          <w:pgSz w:w="11908" w:h="16838"/>
          <w:pgMar w:top="1814" w:right="1531" w:bottom="1984" w:left="1531" w:header="720" w:footer="1474" w:gutter="0"/>
          <w:cols w:space="0" w:num="1"/>
          <w:docGrid w:linePitch="286" w:charSpace="0"/>
        </w:sectPr>
      </w:pPr>
    </w:p>
    <w:p w14:paraId="56772075">
      <w:pPr>
        <w:spacing w:line="590" w:lineRule="exact"/>
        <w:jc w:val="center"/>
        <w:outlineLvl w:val="0"/>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第五章 附则</w:t>
      </w:r>
      <w:bookmarkEnd w:id="52"/>
    </w:p>
    <w:p w14:paraId="38EDC2D6">
      <w:pPr>
        <w:keepNext/>
        <w:keepLines/>
        <w:spacing w:line="590" w:lineRule="exact"/>
        <w:outlineLvl w:val="1"/>
        <w:rPr>
          <w:rStyle w:val="33"/>
        </w:rPr>
      </w:pPr>
      <w:bookmarkStart w:id="53" w:name="_Toc1839"/>
      <w:r>
        <w:rPr>
          <w:rStyle w:val="33"/>
        </w:rPr>
        <w:t>第十</w:t>
      </w:r>
      <w:r>
        <w:rPr>
          <w:rStyle w:val="33"/>
          <w:rFonts w:hint="eastAsia"/>
        </w:rPr>
        <w:t>七</w:t>
      </w:r>
      <w:r>
        <w:rPr>
          <w:rStyle w:val="33"/>
        </w:rPr>
        <w:t>节规划效力</w:t>
      </w:r>
      <w:bookmarkEnd w:id="53"/>
    </w:p>
    <w:p w14:paraId="2FC1F859">
      <w:pPr>
        <w:widowControl/>
        <w:autoSpaceDE/>
        <w:autoSpaceDN/>
        <w:spacing w:line="590" w:lineRule="exact"/>
        <w:ind w:firstLine="420"/>
        <w:jc w:val="left"/>
        <w:rPr>
          <w:szCs w:val="32"/>
        </w:rPr>
      </w:pPr>
      <w:r>
        <w:rPr>
          <w:rFonts w:hint="eastAsia"/>
          <w:szCs w:val="32"/>
        </w:rPr>
        <w:t>《南通市通州区养殖水域滩涂规划》由南通市通州区农业农村局组织编制，经南通市通州区人民政府批准发布，自发布之日起实施。</w:t>
      </w:r>
    </w:p>
    <w:p w14:paraId="176E3375">
      <w:pPr>
        <w:keepNext/>
        <w:keepLines/>
        <w:spacing w:line="590" w:lineRule="exact"/>
        <w:outlineLvl w:val="1"/>
        <w:rPr>
          <w:rFonts w:ascii="黑体" w:hAnsi="黑体" w:eastAsia="黑体" w:cs="黑体"/>
          <w:bCs/>
          <w:color w:val="000000"/>
          <w:szCs w:val="32"/>
        </w:rPr>
      </w:pPr>
      <w:bookmarkStart w:id="54" w:name="_Toc24740"/>
      <w:r>
        <w:rPr>
          <w:rFonts w:ascii="黑体" w:hAnsi="黑体" w:eastAsia="黑体" w:cs="黑体"/>
          <w:bCs/>
          <w:color w:val="000000"/>
          <w:szCs w:val="32"/>
        </w:rPr>
        <w:t>第十</w:t>
      </w:r>
      <w:r>
        <w:rPr>
          <w:rFonts w:hint="eastAsia" w:ascii="黑体" w:hAnsi="黑体" w:eastAsia="黑体" w:cs="黑体"/>
          <w:bCs/>
          <w:color w:val="000000"/>
          <w:szCs w:val="32"/>
        </w:rPr>
        <w:t>八</w:t>
      </w:r>
      <w:r>
        <w:rPr>
          <w:rFonts w:ascii="黑体" w:hAnsi="黑体" w:eastAsia="黑体" w:cs="黑体"/>
          <w:bCs/>
          <w:color w:val="000000"/>
          <w:szCs w:val="32"/>
        </w:rPr>
        <w:t>节</w:t>
      </w:r>
      <w:r>
        <w:rPr>
          <w:rFonts w:hint="eastAsia" w:ascii="黑体" w:hAnsi="黑体" w:eastAsia="黑体" w:cs="黑体"/>
          <w:bCs/>
          <w:color w:val="000000"/>
          <w:szCs w:val="32"/>
        </w:rPr>
        <w:t xml:space="preserve">  附图与附表</w:t>
      </w:r>
      <w:bookmarkEnd w:id="54"/>
    </w:p>
    <w:p w14:paraId="25EEC751">
      <w:pPr>
        <w:widowControl/>
        <w:autoSpaceDE/>
        <w:autoSpaceDN/>
        <w:spacing w:line="590" w:lineRule="exact"/>
        <w:ind w:firstLine="420"/>
        <w:jc w:val="left"/>
        <w:rPr>
          <w:szCs w:val="32"/>
        </w:rPr>
      </w:pPr>
      <w:r>
        <w:rPr>
          <w:rFonts w:hint="eastAsia"/>
          <w:szCs w:val="32"/>
        </w:rPr>
        <w:t>《南通市通州区养殖水域滩涂规划》的附表和图件为规划文本附件，具有与文本同等效力。</w:t>
      </w:r>
      <w:bookmarkEnd w:id="0"/>
    </w:p>
    <w:p w14:paraId="0F3933D2">
      <w:pPr>
        <w:widowControl/>
        <w:autoSpaceDE/>
        <w:autoSpaceDN/>
        <w:spacing w:line="590" w:lineRule="exact"/>
        <w:ind w:firstLine="420"/>
        <w:rPr>
          <w:szCs w:val="32"/>
        </w:rPr>
        <w:sectPr>
          <w:pgSz w:w="11908" w:h="16838"/>
          <w:pgMar w:top="1814" w:right="1531" w:bottom="1984" w:left="1531" w:header="720" w:footer="1474" w:gutter="0"/>
          <w:cols w:space="0" w:num="1"/>
          <w:docGrid w:linePitch="286" w:charSpace="0"/>
        </w:sectPr>
      </w:pPr>
    </w:p>
    <w:p w14:paraId="588AF07F">
      <w:pPr>
        <w:autoSpaceDE/>
        <w:autoSpaceDN/>
        <w:spacing w:line="590" w:lineRule="exact"/>
        <w:jc w:val="center"/>
        <w:outlineLvl w:val="0"/>
        <w:rPr>
          <w:rFonts w:ascii="方正黑体_GBK" w:hAnsi="方正黑体_GBK" w:eastAsia="方正黑体_GBK" w:cs="方正黑体_GBK"/>
          <w:bCs/>
          <w:color w:val="000000"/>
          <w:kern w:val="44"/>
          <w:sz w:val="48"/>
          <w:szCs w:val="48"/>
        </w:rPr>
      </w:pPr>
      <w:bookmarkStart w:id="55" w:name="_Toc32458"/>
      <w:r>
        <w:rPr>
          <w:rFonts w:hint="eastAsia" w:ascii="方正黑体_GBK" w:hAnsi="方正黑体_GBK" w:eastAsia="方正黑体_GBK" w:cs="方正黑体_GBK"/>
          <w:bCs/>
          <w:color w:val="000000"/>
          <w:kern w:val="44"/>
          <w:sz w:val="48"/>
          <w:szCs w:val="48"/>
        </w:rPr>
        <w:t>附 图</w:t>
      </w:r>
      <w:bookmarkEnd w:id="55"/>
    </w:p>
    <w:p w14:paraId="61E7AE6B">
      <w:pPr>
        <w:keepNext/>
        <w:keepLines/>
        <w:spacing w:line="590" w:lineRule="exact"/>
        <w:outlineLvl w:val="1"/>
        <w:rPr>
          <w:rFonts w:ascii="Arial" w:hAnsi="Arial" w:eastAsia="黑体"/>
          <w:bCs/>
          <w:color w:val="000000"/>
        </w:rPr>
      </w:pPr>
      <w:bookmarkStart w:id="56" w:name="_Toc32250"/>
      <w:r>
        <w:rPr>
          <w:rFonts w:hint="eastAsia" w:ascii="Arial" w:hAnsi="Arial" w:eastAsia="宋体"/>
          <w:b/>
          <w:color w:val="000000"/>
        </w:rPr>
        <w:drawing>
          <wp:anchor distT="0" distB="0" distL="114300" distR="114300" simplePos="0" relativeHeight="251663360" behindDoc="0" locked="0" layoutInCell="1" allowOverlap="1">
            <wp:simplePos x="0" y="0"/>
            <wp:positionH relativeFrom="column">
              <wp:posOffset>-306070</wp:posOffset>
            </wp:positionH>
            <wp:positionV relativeFrom="page">
              <wp:posOffset>2089785</wp:posOffset>
            </wp:positionV>
            <wp:extent cx="6311265" cy="5340350"/>
            <wp:effectExtent l="0" t="0" r="13335" b="12700"/>
            <wp:wrapNone/>
            <wp:docPr id="5" name="图片 5" descr="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现状图"/>
                    <pic:cNvPicPr>
                      <a:picLocks noChangeAspect="1"/>
                    </pic:cNvPicPr>
                  </pic:nvPicPr>
                  <pic:blipFill>
                    <a:blip r:embed="rId14"/>
                    <a:stretch>
                      <a:fillRect/>
                    </a:stretch>
                  </pic:blipFill>
                  <pic:spPr>
                    <a:xfrm>
                      <a:off x="0" y="0"/>
                      <a:ext cx="6311265" cy="5340350"/>
                    </a:xfrm>
                    <a:prstGeom prst="rect">
                      <a:avLst/>
                    </a:prstGeom>
                  </pic:spPr>
                </pic:pic>
              </a:graphicData>
            </a:graphic>
          </wp:anchor>
        </w:drawing>
      </w:r>
      <w:r>
        <w:rPr>
          <w:rFonts w:hint="eastAsia" w:ascii="Arial" w:hAnsi="Arial" w:eastAsia="黑体"/>
          <w:bCs/>
          <w:color w:val="000000"/>
        </w:rPr>
        <w:t>图1 南通市通州区养殖水域滩涂现状图</w:t>
      </w:r>
      <w:bookmarkEnd w:id="56"/>
    </w:p>
    <w:p w14:paraId="63498935">
      <w:pPr>
        <w:autoSpaceDE/>
        <w:autoSpaceDN/>
        <w:spacing w:line="590" w:lineRule="exact"/>
        <w:ind w:left="8" w:leftChars="-400" w:hanging="1288" w:hangingChars="401"/>
        <w:rPr>
          <w:rFonts w:eastAsia="宋体"/>
          <w:b/>
          <w:color w:val="000000"/>
        </w:rPr>
        <w:sectPr>
          <w:pgSz w:w="11908" w:h="16838"/>
          <w:pgMar w:top="1814" w:right="1531" w:bottom="1984" w:left="1531" w:header="720" w:footer="1474" w:gutter="0"/>
          <w:cols w:space="720" w:num="1"/>
          <w:docGrid w:linePitch="286" w:charSpace="0"/>
        </w:sectPr>
      </w:pPr>
    </w:p>
    <w:p w14:paraId="4F02BE2F">
      <w:pPr>
        <w:keepNext/>
        <w:keepLines/>
        <w:spacing w:line="590" w:lineRule="exact"/>
        <w:outlineLvl w:val="1"/>
        <w:rPr>
          <w:rFonts w:ascii="Arial" w:hAnsi="Arial" w:eastAsia="黑体"/>
          <w:bCs/>
          <w:color w:val="000000"/>
        </w:rPr>
      </w:pPr>
      <w:bookmarkStart w:id="57" w:name="_Toc10226"/>
      <w:r>
        <w:rPr>
          <w:rFonts w:hint="eastAsia" w:ascii="Arial" w:hAnsi="Arial" w:eastAsia="黑体"/>
          <w:bCs/>
          <w:color w:val="000000"/>
        </w:rPr>
        <w:t>图2 南通市通州区养殖水域滩涂规划图</w:t>
      </w:r>
      <w:bookmarkEnd w:id="57"/>
    </w:p>
    <w:p w14:paraId="705B9C1F">
      <w:pPr>
        <w:autoSpaceDE/>
        <w:autoSpaceDN/>
        <w:spacing w:line="590" w:lineRule="exact"/>
        <w:ind w:firstLine="0"/>
        <w:rPr>
          <w:rFonts w:eastAsia="宋体"/>
          <w:snapToGrid/>
          <w:color w:val="000000"/>
          <w:kern w:val="2"/>
          <w:szCs w:val="32"/>
        </w:rPr>
      </w:pPr>
      <w:r>
        <w:rPr>
          <w:rFonts w:hint="eastAsia" w:eastAsia="宋体"/>
          <w:snapToGrid/>
          <w:color w:val="000000"/>
          <w:kern w:val="2"/>
          <w:szCs w:val="32"/>
        </w:rPr>
        <w:drawing>
          <wp:anchor distT="0" distB="0" distL="114935" distR="114935" simplePos="0" relativeHeight="251664384" behindDoc="0" locked="0" layoutInCell="1" allowOverlap="1">
            <wp:simplePos x="0" y="0"/>
            <wp:positionH relativeFrom="column">
              <wp:posOffset>-180975</wp:posOffset>
            </wp:positionH>
            <wp:positionV relativeFrom="paragraph">
              <wp:posOffset>226060</wp:posOffset>
            </wp:positionV>
            <wp:extent cx="6022975" cy="5096510"/>
            <wp:effectExtent l="0" t="0" r="15875" b="8890"/>
            <wp:wrapSquare wrapText="bothSides"/>
            <wp:docPr id="7" name="图片 7" descr="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规划总图"/>
                    <pic:cNvPicPr>
                      <a:picLocks noChangeAspect="1"/>
                    </pic:cNvPicPr>
                  </pic:nvPicPr>
                  <pic:blipFill>
                    <a:blip r:embed="rId15"/>
                    <a:stretch>
                      <a:fillRect/>
                    </a:stretch>
                  </pic:blipFill>
                  <pic:spPr>
                    <a:xfrm>
                      <a:off x="0" y="0"/>
                      <a:ext cx="6022975" cy="5096510"/>
                    </a:xfrm>
                    <a:prstGeom prst="rect">
                      <a:avLst/>
                    </a:prstGeom>
                  </pic:spPr>
                </pic:pic>
              </a:graphicData>
            </a:graphic>
          </wp:anchor>
        </w:drawing>
      </w:r>
    </w:p>
    <w:p w14:paraId="19B296B3">
      <w:pPr>
        <w:autoSpaceDE/>
        <w:autoSpaceDN/>
        <w:snapToGrid/>
        <w:spacing w:line="590" w:lineRule="exact"/>
        <w:ind w:firstLine="0"/>
        <w:rPr>
          <w:rFonts w:eastAsia="仿宋_GB2312"/>
          <w:snapToGrid/>
          <w:color w:val="000000"/>
          <w:kern w:val="2"/>
          <w:szCs w:val="32"/>
        </w:rPr>
      </w:pPr>
    </w:p>
    <w:p w14:paraId="3F8C7191">
      <w:pPr>
        <w:keepNext/>
        <w:keepLines/>
        <w:spacing w:line="590" w:lineRule="exact"/>
        <w:outlineLvl w:val="1"/>
        <w:rPr>
          <w:rFonts w:ascii="Arial" w:hAnsi="Arial" w:eastAsia="黑体"/>
          <w:bCs/>
          <w:color w:val="000000"/>
        </w:rPr>
      </w:pPr>
      <w:r>
        <w:rPr>
          <w:rFonts w:hint="eastAsia" w:ascii="仿宋_GB2312" w:hAnsi="仿宋_GB2312" w:eastAsia="仿宋_GB2312" w:cs="仿宋_GB2312"/>
          <w:b/>
          <w:color w:val="000000"/>
          <w:kern w:val="2"/>
          <w:szCs w:val="30"/>
        </w:rPr>
        <w:br w:type="page"/>
      </w:r>
      <w:bookmarkStart w:id="58" w:name="_Toc22049"/>
      <w:r>
        <w:rPr>
          <w:rFonts w:hint="eastAsia" w:ascii="Arial" w:hAnsi="Arial" w:eastAsia="黑体"/>
          <w:bCs/>
          <w:color w:val="000000"/>
        </w:rPr>
        <w:t>图3 南通市通州区养殖水域滩涂禁止养殖区规划图</w:t>
      </w:r>
      <w:bookmarkEnd w:id="58"/>
    </w:p>
    <w:p w14:paraId="022B2406">
      <w:pPr>
        <w:autoSpaceDE/>
        <w:autoSpaceDN/>
        <w:snapToGrid/>
        <w:spacing w:line="590" w:lineRule="exact"/>
        <w:ind w:firstLine="0"/>
        <w:rPr>
          <w:rFonts w:eastAsia="仿宋_GB2312"/>
          <w:snapToGrid/>
          <w:kern w:val="2"/>
          <w:szCs w:val="32"/>
        </w:rPr>
      </w:pPr>
      <w:r>
        <w:rPr>
          <w:rFonts w:hint="eastAsia" w:eastAsia="仿宋_GB2312"/>
          <w:snapToGrid/>
          <w:kern w:val="2"/>
          <w:szCs w:val="32"/>
        </w:rPr>
        <w:drawing>
          <wp:anchor distT="0" distB="0" distL="114300" distR="114300" simplePos="0" relativeHeight="251665408" behindDoc="0" locked="0" layoutInCell="1" allowOverlap="1">
            <wp:simplePos x="0" y="0"/>
            <wp:positionH relativeFrom="column">
              <wp:posOffset>-28575</wp:posOffset>
            </wp:positionH>
            <wp:positionV relativeFrom="paragraph">
              <wp:posOffset>366395</wp:posOffset>
            </wp:positionV>
            <wp:extent cx="5662930" cy="4791710"/>
            <wp:effectExtent l="0" t="0" r="13970" b="8890"/>
            <wp:wrapNone/>
            <wp:docPr id="2" name="图片 2" descr="禁止养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禁止养殖区"/>
                    <pic:cNvPicPr>
                      <a:picLocks noChangeAspect="1"/>
                    </pic:cNvPicPr>
                  </pic:nvPicPr>
                  <pic:blipFill>
                    <a:blip r:embed="rId16"/>
                    <a:stretch>
                      <a:fillRect/>
                    </a:stretch>
                  </pic:blipFill>
                  <pic:spPr>
                    <a:xfrm>
                      <a:off x="0" y="0"/>
                      <a:ext cx="5662930" cy="4791710"/>
                    </a:xfrm>
                    <a:prstGeom prst="rect">
                      <a:avLst/>
                    </a:prstGeom>
                  </pic:spPr>
                </pic:pic>
              </a:graphicData>
            </a:graphic>
          </wp:anchor>
        </w:drawing>
      </w:r>
    </w:p>
    <w:p w14:paraId="62B170FE">
      <w:pPr>
        <w:autoSpaceDE/>
        <w:autoSpaceDN/>
        <w:snapToGrid/>
        <w:spacing w:line="590" w:lineRule="exact"/>
        <w:ind w:firstLine="0"/>
        <w:rPr>
          <w:rFonts w:eastAsia="仿宋_GB2312"/>
          <w:bCs/>
          <w:snapToGrid/>
          <w:color w:val="000000"/>
          <w:kern w:val="2"/>
          <w:szCs w:val="32"/>
        </w:rPr>
      </w:pPr>
      <w:r>
        <w:rPr>
          <w:rFonts w:hint="eastAsia" w:eastAsia="仿宋_GB2312"/>
          <w:bCs/>
          <w:snapToGrid/>
          <w:color w:val="000000"/>
          <w:kern w:val="2"/>
          <w:szCs w:val="32"/>
        </w:rPr>
        <w:br w:type="page"/>
      </w:r>
    </w:p>
    <w:p w14:paraId="3E4706A2">
      <w:pPr>
        <w:keepNext/>
        <w:keepLines/>
        <w:spacing w:line="590" w:lineRule="exact"/>
        <w:outlineLvl w:val="1"/>
        <w:rPr>
          <w:rFonts w:ascii="Arial" w:hAnsi="Arial" w:eastAsia="黑体"/>
          <w:bCs/>
          <w:color w:val="000000"/>
        </w:rPr>
      </w:pPr>
      <w:bookmarkStart w:id="59" w:name="_Toc8002"/>
      <w:r>
        <w:rPr>
          <w:rFonts w:hint="eastAsia" w:ascii="Arial" w:hAnsi="Arial" w:eastAsia="黑体"/>
          <w:bCs/>
          <w:color w:val="000000"/>
        </w:rPr>
        <w:t>图4 南通市通州区养殖水域滩涂限制养殖区规划图</w:t>
      </w:r>
      <w:bookmarkEnd w:id="59"/>
    </w:p>
    <w:p w14:paraId="0542B33C">
      <w:pPr>
        <w:autoSpaceDE/>
        <w:autoSpaceDN/>
        <w:snapToGrid/>
        <w:spacing w:line="590" w:lineRule="exact"/>
        <w:ind w:leftChars="-200" w:hanging="632" w:hangingChars="200"/>
        <w:rPr>
          <w:rFonts w:eastAsia="宋体"/>
          <w:snapToGrid/>
          <w:color w:val="000000"/>
          <w:kern w:val="2"/>
          <w:szCs w:val="32"/>
        </w:rPr>
      </w:pPr>
      <w:r>
        <w:rPr>
          <w:rFonts w:hint="eastAsia" w:eastAsia="宋体"/>
          <w:snapToGrid/>
          <w:color w:val="000000"/>
          <w:kern w:val="2"/>
          <w:szCs w:val="32"/>
        </w:rPr>
        <w:drawing>
          <wp:anchor distT="0" distB="0" distL="114300" distR="114300" simplePos="0" relativeHeight="251666432" behindDoc="0" locked="0" layoutInCell="1" allowOverlap="1">
            <wp:simplePos x="0" y="0"/>
            <wp:positionH relativeFrom="column">
              <wp:posOffset>-361950</wp:posOffset>
            </wp:positionH>
            <wp:positionV relativeFrom="paragraph">
              <wp:posOffset>204470</wp:posOffset>
            </wp:positionV>
            <wp:extent cx="6359525" cy="5381625"/>
            <wp:effectExtent l="0" t="0" r="3175" b="9525"/>
            <wp:wrapNone/>
            <wp:docPr id="8" name="图片 8" descr="限制养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限制养殖区"/>
                    <pic:cNvPicPr>
                      <a:picLocks noChangeAspect="1"/>
                    </pic:cNvPicPr>
                  </pic:nvPicPr>
                  <pic:blipFill>
                    <a:blip r:embed="rId17"/>
                    <a:stretch>
                      <a:fillRect/>
                    </a:stretch>
                  </pic:blipFill>
                  <pic:spPr>
                    <a:xfrm>
                      <a:off x="0" y="0"/>
                      <a:ext cx="6359525" cy="5381625"/>
                    </a:xfrm>
                    <a:prstGeom prst="rect">
                      <a:avLst/>
                    </a:prstGeom>
                  </pic:spPr>
                </pic:pic>
              </a:graphicData>
            </a:graphic>
          </wp:anchor>
        </w:drawing>
      </w:r>
    </w:p>
    <w:p w14:paraId="3F1D4F25">
      <w:pPr>
        <w:autoSpaceDE/>
        <w:autoSpaceDN/>
        <w:snapToGrid/>
        <w:spacing w:line="590" w:lineRule="exact"/>
        <w:ind w:leftChars="-200" w:hanging="632" w:hangingChars="200"/>
        <w:rPr>
          <w:rFonts w:eastAsia="宋体"/>
          <w:snapToGrid/>
          <w:color w:val="000000"/>
          <w:kern w:val="2"/>
          <w:szCs w:val="32"/>
        </w:rPr>
      </w:pPr>
      <w:r>
        <w:rPr>
          <w:rFonts w:hint="eastAsia" w:eastAsia="宋体"/>
          <w:snapToGrid/>
          <w:color w:val="000000"/>
          <w:kern w:val="2"/>
          <w:szCs w:val="32"/>
        </w:rPr>
        <w:br w:type="page"/>
      </w:r>
    </w:p>
    <w:p w14:paraId="58A0D641">
      <w:pPr>
        <w:keepNext/>
        <w:keepLines/>
        <w:spacing w:line="590" w:lineRule="exact"/>
        <w:outlineLvl w:val="1"/>
        <w:rPr>
          <w:rFonts w:ascii="Arial" w:hAnsi="Arial" w:eastAsia="黑体"/>
          <w:bCs/>
          <w:color w:val="000000"/>
        </w:rPr>
      </w:pPr>
      <w:bookmarkStart w:id="60" w:name="_Toc254"/>
      <w:r>
        <w:rPr>
          <w:rFonts w:hint="eastAsia" w:ascii="Arial" w:hAnsi="Arial" w:eastAsia="黑体"/>
          <w:bCs/>
          <w:color w:val="000000"/>
        </w:rPr>
        <w:t>图5 南通市通州区养殖水域滩涂养殖区规划图</w:t>
      </w:r>
      <w:bookmarkEnd w:id="60"/>
    </w:p>
    <w:p w14:paraId="54D3DD04">
      <w:pPr>
        <w:autoSpaceDE/>
        <w:autoSpaceDN/>
        <w:snapToGrid/>
        <w:spacing w:line="590" w:lineRule="exact"/>
        <w:ind w:leftChars="-95" w:hanging="301" w:hangingChars="95"/>
        <w:rPr>
          <w:rFonts w:eastAsia="宋体"/>
          <w:snapToGrid/>
          <w:color w:val="000000"/>
          <w:kern w:val="2"/>
          <w:szCs w:val="32"/>
        </w:rPr>
      </w:pPr>
      <w:r>
        <w:rPr>
          <w:rFonts w:hint="eastAsia" w:eastAsia="宋体"/>
          <w:snapToGrid/>
          <w:color w:val="000000"/>
          <w:kern w:val="2"/>
          <w:szCs w:val="32"/>
        </w:rPr>
        <w:drawing>
          <wp:anchor distT="0" distB="0" distL="114300" distR="114300" simplePos="0" relativeHeight="251667456" behindDoc="0" locked="0" layoutInCell="1" allowOverlap="1">
            <wp:simplePos x="0" y="0"/>
            <wp:positionH relativeFrom="column">
              <wp:posOffset>-275590</wp:posOffset>
            </wp:positionH>
            <wp:positionV relativeFrom="paragraph">
              <wp:posOffset>271145</wp:posOffset>
            </wp:positionV>
            <wp:extent cx="6169025" cy="5220335"/>
            <wp:effectExtent l="0" t="0" r="3175" b="18415"/>
            <wp:wrapNone/>
            <wp:docPr id="4" name="图片 4" descr="养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养殖区"/>
                    <pic:cNvPicPr>
                      <a:picLocks noChangeAspect="1"/>
                    </pic:cNvPicPr>
                  </pic:nvPicPr>
                  <pic:blipFill>
                    <a:blip r:embed="rId18"/>
                    <a:stretch>
                      <a:fillRect/>
                    </a:stretch>
                  </pic:blipFill>
                  <pic:spPr>
                    <a:xfrm>
                      <a:off x="0" y="0"/>
                      <a:ext cx="6169025" cy="5220335"/>
                    </a:xfrm>
                    <a:prstGeom prst="rect">
                      <a:avLst/>
                    </a:prstGeom>
                  </pic:spPr>
                </pic:pic>
              </a:graphicData>
            </a:graphic>
          </wp:anchor>
        </w:drawing>
      </w:r>
    </w:p>
    <w:p w14:paraId="1265F9C0">
      <w:pPr>
        <w:pStyle w:val="3"/>
        <w:spacing w:before="0" w:after="0"/>
        <w:rPr>
          <w:rFonts w:ascii="宋体" w:hAnsi="宋体" w:eastAsia="宋体" w:cs="宋体"/>
          <w:b/>
          <w:color w:val="000000"/>
          <w:szCs w:val="48"/>
        </w:rPr>
      </w:pPr>
      <w:r>
        <w:rPr>
          <w:rFonts w:hint="eastAsia" w:ascii="宋体" w:hAnsi="宋体" w:eastAsia="宋体" w:cs="宋体"/>
          <w:b/>
          <w:color w:val="000000"/>
          <w:szCs w:val="48"/>
        </w:rPr>
        <w:br w:type="page"/>
      </w:r>
      <w:bookmarkStart w:id="61" w:name="_Toc15326"/>
      <w:r>
        <w:rPr>
          <w:rFonts w:hint="eastAsia" w:ascii="方正黑体_GBK" w:hAnsi="方正黑体_GBK" w:eastAsia="方正黑体_GBK" w:cs="方正黑体_GBK"/>
          <w:sz w:val="40"/>
          <w:szCs w:val="18"/>
        </w:rPr>
        <w:t>附表</w:t>
      </w:r>
      <w:bookmarkEnd w:id="61"/>
    </w:p>
    <w:p w14:paraId="54B09344">
      <w:pPr>
        <w:keepNext/>
        <w:keepLines/>
        <w:autoSpaceDE/>
        <w:autoSpaceDN/>
        <w:spacing w:afterLines="50" w:line="590" w:lineRule="exact"/>
        <w:jc w:val="center"/>
        <w:outlineLvl w:val="1"/>
        <w:rPr>
          <w:rFonts w:ascii="Arial" w:hAnsi="Arial" w:eastAsia="黑体"/>
          <w:bCs/>
          <w:color w:val="000000"/>
        </w:rPr>
      </w:pPr>
      <w:bookmarkStart w:id="62" w:name="_Toc25783"/>
      <w:r>
        <w:rPr>
          <w:rFonts w:hint="eastAsia" w:ascii="Arial" w:hAnsi="Arial" w:eastAsia="黑体"/>
          <w:bCs/>
          <w:color w:val="000000"/>
        </w:rPr>
        <w:t>表1 禁止养殖区规划表</w:t>
      </w:r>
      <w:bookmarkEnd w:id="62"/>
    </w:p>
    <w:tbl>
      <w:tblPr>
        <w:tblStyle w:val="12"/>
        <w:tblW w:w="7887" w:type="dxa"/>
        <w:jc w:val="center"/>
        <w:tblLayout w:type="fixed"/>
        <w:tblCellMar>
          <w:top w:w="0" w:type="dxa"/>
          <w:left w:w="108" w:type="dxa"/>
          <w:bottom w:w="0" w:type="dxa"/>
          <w:right w:w="108" w:type="dxa"/>
        </w:tblCellMar>
      </w:tblPr>
      <w:tblGrid>
        <w:gridCol w:w="1479"/>
        <w:gridCol w:w="2833"/>
        <w:gridCol w:w="1457"/>
        <w:gridCol w:w="2118"/>
      </w:tblGrid>
      <w:tr w14:paraId="1883A748">
        <w:tblPrEx>
          <w:tblCellMar>
            <w:top w:w="0" w:type="dxa"/>
            <w:left w:w="108" w:type="dxa"/>
            <w:bottom w:w="0" w:type="dxa"/>
            <w:right w:w="108" w:type="dxa"/>
          </w:tblCellMar>
        </w:tblPrEx>
        <w:trPr>
          <w:trHeight w:val="871"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04BF5CAC">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kern w:val="2"/>
                <w:sz w:val="28"/>
                <w:szCs w:val="28"/>
              </w:rPr>
            </w:pPr>
            <w:r>
              <w:rPr>
                <w:rFonts w:hint="eastAsia" w:ascii="方正黑体_GBK" w:hAnsi="方正黑体_GBK" w:eastAsia="方正黑体_GBK" w:cs="方正黑体_GBK"/>
                <w:snapToGrid/>
                <w:color w:val="000000"/>
                <w:sz w:val="28"/>
                <w:szCs w:val="28"/>
              </w:rPr>
              <w:t>序号</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7FA1E233">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kern w:val="2"/>
                <w:sz w:val="28"/>
                <w:szCs w:val="28"/>
              </w:rPr>
            </w:pPr>
            <w:r>
              <w:rPr>
                <w:rFonts w:hint="eastAsia" w:ascii="方正黑体_GBK" w:hAnsi="方正黑体_GBK" w:eastAsia="方正黑体_GBK" w:cs="方正黑体_GBK"/>
                <w:snapToGrid/>
                <w:color w:val="000000"/>
                <w:sz w:val="28"/>
                <w:szCs w:val="28"/>
              </w:rPr>
              <w:t>河流名</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7BFA0C47">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kern w:val="2"/>
                <w:sz w:val="28"/>
                <w:szCs w:val="28"/>
              </w:rPr>
            </w:pPr>
            <w:r>
              <w:rPr>
                <w:rFonts w:hint="eastAsia" w:ascii="方正黑体_GBK" w:hAnsi="方正黑体_GBK" w:eastAsia="方正黑体_GBK" w:cs="方正黑体_GBK"/>
                <w:snapToGrid/>
                <w:color w:val="000000"/>
                <w:sz w:val="28"/>
                <w:szCs w:val="28"/>
              </w:rPr>
              <w:t>河流等级</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08F567B1">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kern w:val="2"/>
                <w:sz w:val="28"/>
                <w:szCs w:val="28"/>
              </w:rPr>
            </w:pPr>
            <w:r>
              <w:rPr>
                <w:rFonts w:hint="eastAsia" w:ascii="方正黑体_GBK" w:hAnsi="方正黑体_GBK" w:eastAsia="方正黑体_GBK" w:cs="方正黑体_GBK"/>
                <w:snapToGrid/>
                <w:color w:val="000000"/>
                <w:sz w:val="28"/>
                <w:szCs w:val="28"/>
              </w:rPr>
              <w:t>面积（亩）</w:t>
            </w:r>
          </w:p>
        </w:tc>
      </w:tr>
      <w:tr w14:paraId="4A817C90">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0FE5D37F">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41BAA7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长江</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075E4342">
            <w:pPr>
              <w:autoSpaceDE/>
              <w:autoSpaceDN/>
              <w:snapToGrid/>
              <w:spacing w:line="590" w:lineRule="exact"/>
              <w:ind w:firstLine="0"/>
              <w:jc w:val="center"/>
              <w:rPr>
                <w:snapToGrid/>
                <w:color w:val="000000"/>
                <w:kern w:val="2"/>
                <w:sz w:val="28"/>
                <w:szCs w:val="28"/>
              </w:rPr>
            </w:pP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66E40188">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39110.8</w:t>
            </w:r>
          </w:p>
        </w:tc>
      </w:tr>
      <w:tr w14:paraId="166B882C">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50008E1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5E89ACD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通扬运河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3656446A">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6BF562C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1230.8</w:t>
            </w:r>
          </w:p>
        </w:tc>
      </w:tr>
      <w:tr w14:paraId="7790B75D">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7A7208B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3</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72E1488B">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如海运河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273E9A1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6C1CA741">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165.4</w:t>
            </w:r>
          </w:p>
        </w:tc>
      </w:tr>
      <w:tr w14:paraId="69F1A44B">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7813B61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4</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2BDA87D1">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九圩港</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2A90782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1404D44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5094.5</w:t>
            </w:r>
          </w:p>
        </w:tc>
      </w:tr>
      <w:tr w14:paraId="2C2649E2">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49A7D36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5</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2A51A9B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遥望港</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4A36AD2B">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2F949191">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993.0</w:t>
            </w:r>
          </w:p>
        </w:tc>
      </w:tr>
      <w:tr w14:paraId="699F7292">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493141F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6</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20D339A">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通吕运河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3FC25967">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7FB9136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4487.5</w:t>
            </w:r>
          </w:p>
        </w:tc>
      </w:tr>
      <w:tr w14:paraId="60B39545">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33D272B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7</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053A2C6C">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通启运河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53AD5BE5">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09A886E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573.5</w:t>
            </w:r>
          </w:p>
        </w:tc>
      </w:tr>
      <w:tr w14:paraId="2840B1AC">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200493E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8</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79592A86">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新江海河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E35882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38D3B66B">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2347.4</w:t>
            </w:r>
          </w:p>
        </w:tc>
      </w:tr>
      <w:tr w14:paraId="7E860388">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0005F98">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9</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0B8460CC">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平五河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F9D307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4B4F4A6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207.6</w:t>
            </w:r>
          </w:p>
        </w:tc>
      </w:tr>
      <w:tr w14:paraId="014B1D71">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FCF88B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10</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1231AEBB">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新生竖河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5F8BF35">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7A5FDBB7">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336.9</w:t>
            </w:r>
          </w:p>
        </w:tc>
      </w:tr>
      <w:tr w14:paraId="497A1EDB">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26DD5CDF">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11</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87477C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刘新河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944161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6A25364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271.6</w:t>
            </w:r>
          </w:p>
        </w:tc>
      </w:tr>
      <w:tr w14:paraId="3A015F15">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0E1E460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12</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69C557E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亭石河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4E5BE21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6EF0D45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591.2</w:t>
            </w:r>
          </w:p>
        </w:tc>
      </w:tr>
      <w:tr w14:paraId="1F3F706C">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7A90B4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13</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0E5ED11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竖石河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7782DAD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7EA1C26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429.0</w:t>
            </w:r>
          </w:p>
        </w:tc>
      </w:tr>
      <w:tr w14:paraId="6407647E">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5E8749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14</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3A4F9AF5">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十总竖河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78CCDF15">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0182D4E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457.4</w:t>
            </w:r>
          </w:p>
        </w:tc>
      </w:tr>
      <w:tr w14:paraId="0DB70215">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D458F65">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15</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67590A1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余丰河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D2AB6AD">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3DE15C88">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662.1</w:t>
            </w:r>
          </w:p>
        </w:tc>
      </w:tr>
      <w:tr w14:paraId="052E5B77">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1AD003B">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16</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6132126">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袁灶竖河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731857B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2E41150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204.7</w:t>
            </w:r>
          </w:p>
        </w:tc>
      </w:tr>
      <w:tr w14:paraId="78AA2DB0">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2690716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17</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1A1D9D18">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新捕河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3C17C391">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024D325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259.0</w:t>
            </w:r>
          </w:p>
        </w:tc>
      </w:tr>
      <w:tr w14:paraId="58601A5E">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29FDDA6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18</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0C5A1A7">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江海河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75A7DE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2BBFB495">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473.5</w:t>
            </w:r>
          </w:p>
        </w:tc>
      </w:tr>
      <w:tr w14:paraId="33A8C39B">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AA00B6F">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19</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5BBE8EAF">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九洋河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3DB9B1B">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7172CBC9">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197.0</w:t>
            </w:r>
          </w:p>
        </w:tc>
      </w:tr>
      <w:tr w14:paraId="668CBC91">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48416D8A">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20</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3B3DBC9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团结河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2780BB0D">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60F1B69F">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1417.8</w:t>
            </w:r>
          </w:p>
        </w:tc>
      </w:tr>
      <w:tr w14:paraId="307A4BE4">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4A9C6516">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21</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81BD34A">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幸福竖河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54B41688">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0B293D3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126.9</w:t>
            </w:r>
          </w:p>
        </w:tc>
      </w:tr>
      <w:tr w14:paraId="56F1F5DF">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31159E4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22</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41D6C07D">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英雄竖河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886787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090EBE2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366.6</w:t>
            </w:r>
          </w:p>
        </w:tc>
      </w:tr>
      <w:tr w14:paraId="5C9922B9">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2FC341C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23</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32663A93">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忠义竖河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365D5CA4">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5A60098A">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216.4</w:t>
            </w:r>
          </w:p>
        </w:tc>
      </w:tr>
      <w:tr w14:paraId="56CF804F">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14829BC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24</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5EE0255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余西竖河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165C417">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359AB00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191.1</w:t>
            </w:r>
          </w:p>
        </w:tc>
      </w:tr>
      <w:tr w14:paraId="36D97D2C">
        <w:tblPrEx>
          <w:tblCellMar>
            <w:top w:w="0" w:type="dxa"/>
            <w:left w:w="108" w:type="dxa"/>
            <w:bottom w:w="0" w:type="dxa"/>
            <w:right w:w="108" w:type="dxa"/>
          </w:tblCellMar>
        </w:tblPrEx>
        <w:trPr>
          <w:trHeight w:val="606"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44EEE6C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25</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13339A2C">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庙桥竖河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5D985C6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7D4D86FE">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111.1</w:t>
            </w:r>
          </w:p>
        </w:tc>
      </w:tr>
      <w:tr w14:paraId="4F557252">
        <w:tblPrEx>
          <w:tblCellMar>
            <w:top w:w="0" w:type="dxa"/>
            <w:left w:w="108" w:type="dxa"/>
            <w:bottom w:w="0" w:type="dxa"/>
            <w:right w:w="108" w:type="dxa"/>
          </w:tblCellMar>
        </w:tblPrEx>
        <w:trPr>
          <w:trHeight w:val="630"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2466E7D2">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26</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11E96296">
            <w:pPr>
              <w:widowControl/>
              <w:autoSpaceDE/>
              <w:autoSpaceDN/>
              <w:snapToGrid/>
              <w:spacing w:line="590" w:lineRule="exact"/>
              <w:ind w:firstLine="0"/>
              <w:jc w:val="center"/>
              <w:textAlignment w:val="center"/>
              <w:rPr>
                <w:snapToGrid/>
                <w:kern w:val="2"/>
                <w:sz w:val="28"/>
                <w:szCs w:val="28"/>
              </w:rPr>
            </w:pPr>
            <w:r>
              <w:rPr>
                <w:snapToGrid/>
                <w:color w:val="000000"/>
                <w:sz w:val="28"/>
                <w:szCs w:val="28"/>
              </w:rPr>
              <w:t>天星横河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BFB1750">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77277ACF">
            <w:pPr>
              <w:widowControl/>
              <w:autoSpaceDE/>
              <w:autoSpaceDN/>
              <w:snapToGrid/>
              <w:spacing w:line="590" w:lineRule="exact"/>
              <w:ind w:firstLine="0"/>
              <w:jc w:val="center"/>
              <w:textAlignment w:val="center"/>
              <w:rPr>
                <w:snapToGrid/>
                <w:color w:val="000000"/>
                <w:kern w:val="2"/>
                <w:sz w:val="28"/>
                <w:szCs w:val="28"/>
              </w:rPr>
            </w:pPr>
            <w:r>
              <w:rPr>
                <w:snapToGrid/>
                <w:color w:val="000000"/>
                <w:sz w:val="28"/>
                <w:szCs w:val="28"/>
              </w:rPr>
              <w:t>198.9</w:t>
            </w:r>
          </w:p>
        </w:tc>
      </w:tr>
      <w:tr w14:paraId="000D7EFC">
        <w:tblPrEx>
          <w:tblCellMar>
            <w:top w:w="0" w:type="dxa"/>
            <w:left w:w="108" w:type="dxa"/>
            <w:bottom w:w="0" w:type="dxa"/>
            <w:right w:w="108" w:type="dxa"/>
          </w:tblCellMar>
        </w:tblPrEx>
        <w:trPr>
          <w:trHeight w:val="90"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7E9B6122">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27</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3BAC60D1">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运盐河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0CBCB8F8">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3E9CA95E">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1082.1</w:t>
            </w:r>
          </w:p>
        </w:tc>
      </w:tr>
      <w:tr w14:paraId="6881CF58">
        <w:tblPrEx>
          <w:tblCellMar>
            <w:top w:w="0" w:type="dxa"/>
            <w:left w:w="108" w:type="dxa"/>
            <w:bottom w:w="0" w:type="dxa"/>
            <w:right w:w="108" w:type="dxa"/>
          </w:tblCellMar>
        </w:tblPrEx>
        <w:trPr>
          <w:trHeight w:val="630"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7C0CD45F">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28</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73E79506">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通甲河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063DA967">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4709771B">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325.2</w:t>
            </w:r>
          </w:p>
        </w:tc>
      </w:tr>
      <w:tr w14:paraId="2DFCCD46">
        <w:tblPrEx>
          <w:tblCellMar>
            <w:top w:w="0" w:type="dxa"/>
            <w:left w:w="108" w:type="dxa"/>
            <w:bottom w:w="0" w:type="dxa"/>
            <w:right w:w="108" w:type="dxa"/>
          </w:tblCellMar>
        </w:tblPrEx>
        <w:trPr>
          <w:trHeight w:val="630" w:hRule="atLeast"/>
          <w:jc w:val="center"/>
        </w:trPr>
        <w:tc>
          <w:tcPr>
            <w:tcW w:w="1479" w:type="dxa"/>
            <w:tcBorders>
              <w:top w:val="single" w:color="000000" w:sz="4" w:space="0"/>
              <w:left w:val="single" w:color="000000" w:sz="4" w:space="0"/>
              <w:bottom w:val="single" w:color="000000" w:sz="4" w:space="0"/>
              <w:right w:val="single" w:color="000000" w:sz="4" w:space="0"/>
            </w:tcBorders>
            <w:noWrap/>
            <w:vAlign w:val="center"/>
          </w:tcPr>
          <w:p w14:paraId="5504BE69">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29</w:t>
            </w:r>
          </w:p>
        </w:tc>
        <w:tc>
          <w:tcPr>
            <w:tcW w:w="2833" w:type="dxa"/>
            <w:tcBorders>
              <w:top w:val="single" w:color="000000" w:sz="4" w:space="0"/>
              <w:left w:val="single" w:color="000000" w:sz="4" w:space="0"/>
              <w:bottom w:val="single" w:color="000000" w:sz="4" w:space="0"/>
              <w:right w:val="single" w:color="000000" w:sz="4" w:space="0"/>
            </w:tcBorders>
            <w:noWrap/>
            <w:vAlign w:val="center"/>
          </w:tcPr>
          <w:p w14:paraId="3421EAAE">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海门河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962BF64">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401A8648">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111.4</w:t>
            </w:r>
          </w:p>
        </w:tc>
      </w:tr>
      <w:tr w14:paraId="44F5D85D">
        <w:tblPrEx>
          <w:tblCellMar>
            <w:top w:w="0" w:type="dxa"/>
            <w:left w:w="108" w:type="dxa"/>
            <w:bottom w:w="0" w:type="dxa"/>
            <w:right w:w="108" w:type="dxa"/>
          </w:tblCellMar>
        </w:tblPrEx>
        <w:trPr>
          <w:trHeight w:val="630" w:hRule="atLeast"/>
          <w:jc w:val="center"/>
        </w:trPr>
        <w:tc>
          <w:tcPr>
            <w:tcW w:w="1479" w:type="dxa"/>
            <w:tcBorders>
              <w:top w:val="single" w:color="000000" w:sz="4" w:space="0"/>
              <w:left w:val="single" w:color="000000" w:sz="4" w:space="0"/>
              <w:bottom w:val="single" w:color="000000" w:sz="4" w:space="0"/>
              <w:right w:val="single" w:color="auto" w:sz="4" w:space="0"/>
            </w:tcBorders>
            <w:noWrap/>
            <w:vAlign w:val="center"/>
          </w:tcPr>
          <w:p w14:paraId="551E63F9">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30</w:t>
            </w:r>
          </w:p>
        </w:tc>
        <w:tc>
          <w:tcPr>
            <w:tcW w:w="2833" w:type="dxa"/>
            <w:tcBorders>
              <w:top w:val="single" w:color="000000" w:sz="4" w:space="0"/>
              <w:left w:val="single" w:color="auto" w:sz="4" w:space="0"/>
              <w:bottom w:val="single" w:color="000000" w:sz="4" w:space="0"/>
              <w:right w:val="single" w:color="000000" w:sz="4" w:space="0"/>
            </w:tcBorders>
            <w:noWrap/>
            <w:vAlign w:val="center"/>
          </w:tcPr>
          <w:p w14:paraId="0021DEF6">
            <w:pPr>
              <w:widowControl/>
              <w:autoSpaceDE/>
              <w:autoSpaceDN/>
              <w:snapToGrid/>
              <w:spacing w:line="590" w:lineRule="exact"/>
              <w:ind w:firstLine="0"/>
              <w:jc w:val="center"/>
              <w:textAlignment w:val="center"/>
              <w:rPr>
                <w:snapToGrid/>
                <w:kern w:val="2"/>
                <w:sz w:val="28"/>
                <w:szCs w:val="28"/>
              </w:rPr>
            </w:pPr>
            <w:r>
              <w:rPr>
                <w:snapToGrid/>
                <w:color w:val="000000"/>
                <w:sz w:val="28"/>
                <w:szCs w:val="28"/>
              </w:rPr>
              <w:t>兴石河</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540FFEB1">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190A50E7">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758.9</w:t>
            </w:r>
          </w:p>
        </w:tc>
      </w:tr>
      <w:tr w14:paraId="380D9555">
        <w:tblPrEx>
          <w:tblCellMar>
            <w:top w:w="0" w:type="dxa"/>
            <w:left w:w="108" w:type="dxa"/>
            <w:bottom w:w="0" w:type="dxa"/>
            <w:right w:w="108" w:type="dxa"/>
          </w:tblCellMar>
        </w:tblPrEx>
        <w:trPr>
          <w:trHeight w:val="630" w:hRule="atLeast"/>
          <w:jc w:val="center"/>
        </w:trPr>
        <w:tc>
          <w:tcPr>
            <w:tcW w:w="1479" w:type="dxa"/>
            <w:tcBorders>
              <w:top w:val="single" w:color="000000" w:sz="4" w:space="0"/>
              <w:left w:val="single" w:color="000000" w:sz="4" w:space="0"/>
              <w:bottom w:val="single" w:color="000000" w:sz="4" w:space="0"/>
              <w:right w:val="single" w:color="auto" w:sz="4" w:space="0"/>
            </w:tcBorders>
            <w:noWrap/>
            <w:vAlign w:val="center"/>
          </w:tcPr>
          <w:p w14:paraId="5408EEF1">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31</w:t>
            </w:r>
          </w:p>
        </w:tc>
        <w:tc>
          <w:tcPr>
            <w:tcW w:w="2833" w:type="dxa"/>
            <w:tcBorders>
              <w:top w:val="single" w:color="000000" w:sz="4" w:space="0"/>
              <w:left w:val="single" w:color="auto" w:sz="4" w:space="0"/>
              <w:bottom w:val="single" w:color="000000" w:sz="4" w:space="0"/>
              <w:right w:val="single" w:color="000000" w:sz="4" w:space="0"/>
            </w:tcBorders>
            <w:noWrap/>
            <w:vAlign w:val="center"/>
          </w:tcPr>
          <w:p w14:paraId="2140529D">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小李港</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9A59AAB">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2</w:t>
            </w:r>
          </w:p>
        </w:tc>
        <w:tc>
          <w:tcPr>
            <w:tcW w:w="2118" w:type="dxa"/>
            <w:tcBorders>
              <w:top w:val="single" w:color="000000" w:sz="4" w:space="0"/>
              <w:left w:val="single" w:color="000000" w:sz="4" w:space="0"/>
              <w:bottom w:val="single" w:color="000000" w:sz="4" w:space="0"/>
              <w:right w:val="single" w:color="000000" w:sz="4" w:space="0"/>
            </w:tcBorders>
            <w:noWrap/>
            <w:vAlign w:val="center"/>
          </w:tcPr>
          <w:p w14:paraId="25BBA58D">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188.6</w:t>
            </w:r>
          </w:p>
        </w:tc>
      </w:tr>
      <w:tr w14:paraId="31D36E14">
        <w:tblPrEx>
          <w:tblCellMar>
            <w:top w:w="0" w:type="dxa"/>
            <w:left w:w="108" w:type="dxa"/>
            <w:bottom w:w="0" w:type="dxa"/>
            <w:right w:w="108" w:type="dxa"/>
          </w:tblCellMar>
        </w:tblPrEx>
        <w:trPr>
          <w:trHeight w:val="630" w:hRule="atLeast"/>
          <w:jc w:val="center"/>
        </w:trPr>
        <w:tc>
          <w:tcPr>
            <w:tcW w:w="57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F7D6">
            <w:pPr>
              <w:autoSpaceDE/>
              <w:autoSpaceDN/>
              <w:snapToGrid/>
              <w:spacing w:line="590" w:lineRule="exact"/>
              <w:ind w:firstLine="0"/>
              <w:jc w:val="center"/>
              <w:rPr>
                <w:snapToGrid/>
                <w:color w:val="000000"/>
                <w:sz w:val="28"/>
                <w:szCs w:val="28"/>
              </w:rPr>
            </w:pPr>
            <w:r>
              <w:rPr>
                <w:b/>
                <w:bCs/>
                <w:snapToGrid/>
                <w:color w:val="000000"/>
                <w:sz w:val="28"/>
                <w:szCs w:val="28"/>
              </w:rPr>
              <w:t>合计</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8CA3">
            <w:pPr>
              <w:widowControl/>
              <w:autoSpaceDE/>
              <w:autoSpaceDN/>
              <w:snapToGrid/>
              <w:spacing w:line="590" w:lineRule="exact"/>
              <w:ind w:firstLine="0"/>
              <w:jc w:val="center"/>
              <w:textAlignment w:val="center"/>
              <w:rPr>
                <w:snapToGrid/>
                <w:color w:val="000000"/>
                <w:sz w:val="28"/>
                <w:szCs w:val="28"/>
              </w:rPr>
            </w:pPr>
            <w:r>
              <w:rPr>
                <w:snapToGrid/>
                <w:color w:val="000000"/>
                <w:sz w:val="28"/>
                <w:szCs w:val="28"/>
              </w:rPr>
              <w:t>63188.1</w:t>
            </w:r>
          </w:p>
        </w:tc>
      </w:tr>
    </w:tbl>
    <w:p w14:paraId="42E6B8D5">
      <w:pPr>
        <w:keepNext/>
        <w:keepLines/>
        <w:spacing w:line="590" w:lineRule="exact"/>
        <w:jc w:val="center"/>
        <w:outlineLvl w:val="1"/>
        <w:rPr>
          <w:rFonts w:ascii="Arial" w:hAnsi="Arial" w:eastAsia="黑体"/>
          <w:bCs/>
          <w:color w:val="000000"/>
        </w:rPr>
      </w:pPr>
    </w:p>
    <w:p w14:paraId="191D8B50">
      <w:pPr>
        <w:pStyle w:val="4"/>
        <w:spacing w:afterLines="50"/>
        <w:jc w:val="center"/>
      </w:pPr>
      <w:r>
        <w:rPr>
          <w:rFonts w:hint="eastAsia" w:ascii="Arial" w:hAnsi="Arial" w:cs="Times New Roman"/>
          <w:szCs w:val="20"/>
        </w:rPr>
        <w:br w:type="page"/>
      </w:r>
      <w:bookmarkStart w:id="63" w:name="_Toc12468"/>
      <w:r>
        <w:rPr>
          <w:rFonts w:hint="eastAsia"/>
        </w:rPr>
        <w:t>表</w:t>
      </w:r>
      <w:r>
        <w:rPr>
          <w:rFonts w:hint="eastAsia" w:ascii="Times New Roman" w:hAnsi="Times New Roman"/>
        </w:rPr>
        <w:t>2</w:t>
      </w:r>
      <w:r>
        <w:rPr>
          <w:rFonts w:hint="eastAsia"/>
        </w:rPr>
        <w:t xml:space="preserve"> 限制养殖区规划表</w:t>
      </w:r>
      <w:bookmarkEnd w:id="63"/>
    </w:p>
    <w:tbl>
      <w:tblPr>
        <w:tblStyle w:val="12"/>
        <w:tblW w:w="10218" w:type="dxa"/>
        <w:tblInd w:w="-297" w:type="dxa"/>
        <w:tblLayout w:type="fixed"/>
        <w:tblCellMar>
          <w:top w:w="0" w:type="dxa"/>
          <w:left w:w="108" w:type="dxa"/>
          <w:bottom w:w="0" w:type="dxa"/>
          <w:right w:w="108" w:type="dxa"/>
        </w:tblCellMar>
      </w:tblPr>
      <w:tblGrid>
        <w:gridCol w:w="900"/>
        <w:gridCol w:w="2513"/>
        <w:gridCol w:w="2475"/>
        <w:gridCol w:w="1293"/>
        <w:gridCol w:w="1482"/>
        <w:gridCol w:w="1555"/>
      </w:tblGrid>
      <w:tr w14:paraId="0AD945E7">
        <w:tblPrEx>
          <w:tblCellMar>
            <w:top w:w="0" w:type="dxa"/>
            <w:left w:w="108" w:type="dxa"/>
            <w:bottom w:w="0" w:type="dxa"/>
            <w:right w:w="108" w:type="dxa"/>
          </w:tblCellMar>
        </w:tblPrEx>
        <w:trPr>
          <w:trHeight w:val="90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7205">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序号</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1C6C">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中心点经度</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A959">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中心点纬度</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385F">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所属镇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8634">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所属村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D294">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面积（亩）</w:t>
            </w:r>
          </w:p>
        </w:tc>
      </w:tr>
      <w:tr w14:paraId="74E3535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70B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421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121°10′53.262″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AE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32°07′13.605″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65A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128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横马村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4C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29.5 </w:t>
            </w:r>
          </w:p>
        </w:tc>
      </w:tr>
      <w:tr w14:paraId="79F7760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D2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A86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121°07′13.948″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247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32°07′15.905″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33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288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严北村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0A5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54.6 </w:t>
            </w:r>
          </w:p>
        </w:tc>
      </w:tr>
      <w:tr w14:paraId="5BE385B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8ED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CF9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121°09′38.906″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58B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32°09′05.829″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A2C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D81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CD6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22.8 </w:t>
            </w:r>
          </w:p>
        </w:tc>
      </w:tr>
      <w:tr w14:paraId="202FF06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C3C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BB2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121°10′19.760″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E4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32°04′54.966″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8ED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5F9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615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27.4 </w:t>
            </w:r>
          </w:p>
        </w:tc>
      </w:tr>
      <w:tr w14:paraId="7238035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FDE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621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121°10′59.469″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E5D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32°08′52.378″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842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5F8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白龙庙</w:t>
            </w:r>
          </w:p>
          <w:p w14:paraId="1C90B1F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E375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23.2 </w:t>
            </w:r>
          </w:p>
        </w:tc>
      </w:tr>
      <w:tr w14:paraId="50FC5664">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B96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493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121°10′34.338″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F3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32°08′48.934″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6FF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50E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白龙庙</w:t>
            </w:r>
          </w:p>
          <w:p w14:paraId="5C00A32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BA5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36.8 </w:t>
            </w:r>
          </w:p>
        </w:tc>
      </w:tr>
      <w:tr w14:paraId="4FFB895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4EA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5FC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121°09′40.353″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0C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32°08′21.609″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802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ADB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严北村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023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40.9 </w:t>
            </w:r>
          </w:p>
        </w:tc>
      </w:tr>
      <w:tr w14:paraId="7080E49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F77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E7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121°08′43.714″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902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32°08′48.373″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FB6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884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CCA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23.7 </w:t>
            </w:r>
          </w:p>
        </w:tc>
      </w:tr>
      <w:tr w14:paraId="3935270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F0E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AB5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121°09′36.720″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8CFB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32°08′36.315″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5E4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F93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5F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43.1 </w:t>
            </w:r>
          </w:p>
        </w:tc>
      </w:tr>
      <w:tr w14:paraId="1A4B25E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23C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6F3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121°09′25.048″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8F5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32°07′29.589″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6B1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94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横马村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45B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184.8 </w:t>
            </w:r>
          </w:p>
        </w:tc>
      </w:tr>
      <w:tr w14:paraId="13243BCD">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63F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665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121°09′23.829″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DDB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32°08′00.177″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5C7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761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严北村</w:t>
            </w:r>
          </w:p>
          <w:p w14:paraId="164359E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横马村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678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92.4 </w:t>
            </w:r>
          </w:p>
        </w:tc>
      </w:tr>
      <w:tr w14:paraId="2003BFCB">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198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578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121°11′18.254″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E699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32°09′35.313″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A95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5E2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兴隆灶村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7D6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110.6 </w:t>
            </w:r>
          </w:p>
        </w:tc>
      </w:tr>
      <w:tr w14:paraId="6D8D803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075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C74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121°13′01.153″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14D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32°08′56.701″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BC0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1EA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中和村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14F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89.9 </w:t>
            </w:r>
          </w:p>
        </w:tc>
      </w:tr>
      <w:tr w14:paraId="2DEAF17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496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D79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121°13′10.328″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A6B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32°08′35.959″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DDB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236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中和村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61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47.9 </w:t>
            </w:r>
          </w:p>
        </w:tc>
      </w:tr>
      <w:tr w14:paraId="2C466E52">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C22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2D6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121°12′52.117″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468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32°09′39.330″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A84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F29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中和村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8864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137.8 </w:t>
            </w:r>
          </w:p>
        </w:tc>
      </w:tr>
      <w:tr w14:paraId="050B23C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B6D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D38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121°09′01.468″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3CE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32°09′43.322″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CFB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9C7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庆丰</w:t>
            </w:r>
          </w:p>
          <w:p w14:paraId="64A3E3C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E73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30.3 </w:t>
            </w:r>
          </w:p>
        </w:tc>
      </w:tr>
      <w:tr w14:paraId="51C430F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E81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A80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121°10′04.412″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722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32°07′14.939″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ECD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04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横马村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145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98.3 </w:t>
            </w:r>
          </w:p>
        </w:tc>
      </w:tr>
      <w:tr w14:paraId="7D4939A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CC4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95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121°10′13.232″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81B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32°07′28.279″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7FF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C8F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横马村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08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133.3 </w:t>
            </w:r>
          </w:p>
        </w:tc>
      </w:tr>
      <w:tr w14:paraId="17979D2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F42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B08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121°09′50.225″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50A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32°08′28.806″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3766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769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14F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29.9 </w:t>
            </w:r>
          </w:p>
        </w:tc>
      </w:tr>
      <w:tr w14:paraId="174AC30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428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65A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121°10′35.228″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5D6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32°08′16.358″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FC0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580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98B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83.2 </w:t>
            </w:r>
          </w:p>
        </w:tc>
      </w:tr>
      <w:tr w14:paraId="71E4F634">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BA6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22CC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121°10′27.425″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7E6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32°08′30.518″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FAA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DF0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4D5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143.8 </w:t>
            </w:r>
          </w:p>
        </w:tc>
      </w:tr>
      <w:tr w14:paraId="28207DF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D74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C04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121°10′50.484″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61A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32°08′47.662″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F79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200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白龙庙</w:t>
            </w:r>
          </w:p>
          <w:p w14:paraId="2B737D1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752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53.5 </w:t>
            </w:r>
          </w:p>
        </w:tc>
      </w:tr>
      <w:tr w14:paraId="046B6AE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7F2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95E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121°10′48.542″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4C9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32°08′44.222″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D7D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41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白龙庙</w:t>
            </w:r>
          </w:p>
          <w:p w14:paraId="5C4C149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02B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29.1 </w:t>
            </w:r>
          </w:p>
        </w:tc>
      </w:tr>
      <w:tr w14:paraId="02E9F48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A8E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C59D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121°11′10.353″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B536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32°09′20.343″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40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BDC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兴隆灶村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070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79.4 </w:t>
            </w:r>
          </w:p>
        </w:tc>
      </w:tr>
      <w:tr w14:paraId="0379CC6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AA7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C0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121°11′47.315″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5C2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32°07′59.860″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123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0F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福利村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E40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121.6 </w:t>
            </w:r>
          </w:p>
        </w:tc>
      </w:tr>
      <w:tr w14:paraId="1AA24BA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B5D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090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121°08′23.642″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70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32°09′13.165″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895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C9A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滥港桥村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CEF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28.4 </w:t>
            </w:r>
          </w:p>
        </w:tc>
      </w:tr>
      <w:tr w14:paraId="33C6026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A9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31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121°07′59.885″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5B2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32°09′12.491″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D4B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145A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滥港桥村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B51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28.0 </w:t>
            </w:r>
          </w:p>
        </w:tc>
      </w:tr>
      <w:tr w14:paraId="5F31739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F1F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5AD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120°40′51.717″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56B3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32°02′26.917″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93E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五接镇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05C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开沙村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A0A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23.6 </w:t>
            </w:r>
          </w:p>
        </w:tc>
      </w:tr>
      <w:tr w14:paraId="583C785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50A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29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5FA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121°08′20.175″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9F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32°08′35.735″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E22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东社镇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38E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严北村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72D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46.1 </w:t>
            </w:r>
          </w:p>
        </w:tc>
      </w:tr>
      <w:tr w14:paraId="199C7A9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2F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386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121°09′29.980″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5C3C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32°01′09.571″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F23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二甲镇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4D15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三甲社区</w:t>
            </w:r>
          </w:p>
          <w:p w14:paraId="0F9AEFE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6A2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34.2 </w:t>
            </w:r>
          </w:p>
        </w:tc>
      </w:tr>
      <w:tr w14:paraId="1E463B9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11C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546A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121°10′07.504″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1E94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32°03′40.163″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F0B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二甲镇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D8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余北社区</w:t>
            </w:r>
          </w:p>
          <w:p w14:paraId="4C7939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D72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27.7 </w:t>
            </w:r>
          </w:p>
        </w:tc>
      </w:tr>
      <w:tr w14:paraId="6B9BC26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1BE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E14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121°08′56.657″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818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32°01′21.437″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6EF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二甲镇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307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六甲镇村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91D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28.7 </w:t>
            </w:r>
          </w:p>
        </w:tc>
      </w:tr>
      <w:tr w14:paraId="2E9DBCC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987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729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120°38′20.481″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474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32°03′27.304″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FCC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五接镇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139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开沙岛</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313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260.2 </w:t>
            </w:r>
          </w:p>
        </w:tc>
      </w:tr>
      <w:tr w14:paraId="1B7E53E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C092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C38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120°38′33.637″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6B2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32°03′18.246″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3C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五接镇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3C5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开沙岛</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AFF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324.1 </w:t>
            </w:r>
          </w:p>
        </w:tc>
      </w:tr>
      <w:tr w14:paraId="5F20DB1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CEB2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EA3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120°37′29.574″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73C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32°02′59.029″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EEE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五接镇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534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开沙村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73B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38.4 </w:t>
            </w:r>
          </w:p>
        </w:tc>
      </w:tr>
      <w:tr w14:paraId="54510F64">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E9B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92E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120°37′30.633″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F4F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32°03′08.166″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75D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五接镇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7F1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开沙村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637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23.4 </w:t>
            </w:r>
          </w:p>
        </w:tc>
      </w:tr>
      <w:tr w14:paraId="12E6027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15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7D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120°37′32.421″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C9C1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32°03′02.979″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700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五接镇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294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开沙村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F00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58.9 </w:t>
            </w:r>
          </w:p>
        </w:tc>
      </w:tr>
      <w:tr w14:paraId="1A72994D">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438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432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120°59′00.087″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6C9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31°58′41.562″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F97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先锋镇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90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永安村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FCE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28.8 </w:t>
            </w:r>
          </w:p>
        </w:tc>
      </w:tr>
      <w:tr w14:paraId="69AC0BE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6AE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A8D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120°58′57.547″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DB4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31°58′55.216″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5AFB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先锋镇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828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永安村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EB3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33.2 </w:t>
            </w:r>
          </w:p>
        </w:tc>
      </w:tr>
      <w:tr w14:paraId="624FC48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FD5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784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120°59′55.193″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A21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31°59′47.463″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AC7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先锋镇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3E3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苏家埭村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BD89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24.8 </w:t>
            </w:r>
          </w:p>
        </w:tc>
      </w:tr>
      <w:tr w14:paraId="7121C64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E4C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28A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120°58′07.622″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226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32°01′18.558″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E07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先锋镇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3F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双盟村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77D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22.9 </w:t>
            </w:r>
          </w:p>
        </w:tc>
      </w:tr>
      <w:tr w14:paraId="31308B8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C3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18C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120°58′54.375″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557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31°59′57.095″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7F2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先锋镇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75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三圩头村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84A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21.2 </w:t>
            </w:r>
          </w:p>
        </w:tc>
      </w:tr>
      <w:tr w14:paraId="143CA17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445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DC6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120°59′27.835″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115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32°05′21.721″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72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兴东</w:t>
            </w:r>
          </w:p>
          <w:p w14:paraId="668A562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街道</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A4A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永庆村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A90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25.3 </w:t>
            </w:r>
          </w:p>
        </w:tc>
      </w:tr>
      <w:tr w14:paraId="04CE511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209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C34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120°56′44.510″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CA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32°04′32.957″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4D1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兴东</w:t>
            </w:r>
          </w:p>
          <w:p w14:paraId="14A7DA6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街道</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CA9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永护村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789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20.3 </w:t>
            </w:r>
          </w:p>
        </w:tc>
      </w:tr>
      <w:tr w14:paraId="491AA6C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103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D918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120°57′44.915″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E6B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32°03′48.183″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086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兴东</w:t>
            </w:r>
          </w:p>
          <w:p w14:paraId="499F0C5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街道</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2A9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土山村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CD6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52.0 </w:t>
            </w:r>
          </w:p>
        </w:tc>
      </w:tr>
      <w:tr w14:paraId="7DCC874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ADD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0B5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120°56′07.452″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BC9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32°04′31.563″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F34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兴仁镇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61E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兴仁村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AC8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26.7 </w:t>
            </w:r>
          </w:p>
        </w:tc>
      </w:tr>
      <w:tr w14:paraId="68BB32F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4E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365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120°51′02.704″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83A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32°09′42.104″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08F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1A9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刘桥社区</w:t>
            </w:r>
          </w:p>
          <w:p w14:paraId="545619D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CE5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31.6 </w:t>
            </w:r>
          </w:p>
        </w:tc>
      </w:tr>
      <w:tr w14:paraId="73DA56B2">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DA3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0F5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120°51′23.226″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A0E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32°09′47.732″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305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6C6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刘桥社区居委会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09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28.5 </w:t>
            </w:r>
          </w:p>
        </w:tc>
      </w:tr>
      <w:tr w14:paraId="0AC24BA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50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49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F2C1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120°50′26.872″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7E7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32°10′51.598″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F1B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76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徐园村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9A7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33.0 </w:t>
            </w:r>
          </w:p>
        </w:tc>
      </w:tr>
      <w:tr w14:paraId="7C48BA4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B50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AA8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120°48′32.928″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CE5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32°12′19.538″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47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64E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新联社区</w:t>
            </w:r>
          </w:p>
          <w:p w14:paraId="216543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81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47.8 </w:t>
            </w:r>
          </w:p>
        </w:tc>
      </w:tr>
      <w:tr w14:paraId="65718B3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70C3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A48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120°50′30.443″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BFB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32°14′21.677″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6FB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51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米三桥村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2F6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22.1 </w:t>
            </w:r>
          </w:p>
        </w:tc>
      </w:tr>
      <w:tr w14:paraId="14D2EF7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09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187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120°51′29.596″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9FB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32°09′30.853″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CD0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3F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刘桥社区</w:t>
            </w:r>
          </w:p>
          <w:p w14:paraId="5EBB94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DDB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22.6 </w:t>
            </w:r>
          </w:p>
        </w:tc>
      </w:tr>
      <w:tr w14:paraId="54E27F2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6A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765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120°52′02.784″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7EC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32°09′52.948″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85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7B2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刘东校村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824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38.3 </w:t>
            </w:r>
          </w:p>
        </w:tc>
      </w:tr>
      <w:tr w14:paraId="33252FD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FA9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9E6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120°49′19.748″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578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32°10′56.350″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927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99FB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徐园村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9EE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110.8 </w:t>
            </w:r>
          </w:p>
        </w:tc>
      </w:tr>
      <w:tr w14:paraId="5B7376D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F6E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8C7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120°50′10.089″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D99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32°12′16.280″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1FF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DAD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新联社区</w:t>
            </w:r>
          </w:p>
          <w:p w14:paraId="2B0542E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1F9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48.1 </w:t>
            </w:r>
          </w:p>
        </w:tc>
      </w:tr>
      <w:tr w14:paraId="53F8754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B13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2F1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120°52′02.654″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517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32°09′23.378″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6EC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776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刘桥社区</w:t>
            </w:r>
          </w:p>
          <w:p w14:paraId="40E3A6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733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37.0 </w:t>
            </w:r>
          </w:p>
        </w:tc>
      </w:tr>
      <w:tr w14:paraId="3E84A272">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56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F43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120°52′10.421″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E3F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32°11′42.664″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F4A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CED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蒋一村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13E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74.5 </w:t>
            </w:r>
          </w:p>
        </w:tc>
      </w:tr>
      <w:tr w14:paraId="5BF3517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3A0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CA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120°51′26.764″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432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32°13′05.405″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C4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809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极孝村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42E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27.0 </w:t>
            </w:r>
          </w:p>
        </w:tc>
      </w:tr>
      <w:tr w14:paraId="16634F7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56F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59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38E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120°51′31.966″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099D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32°12′53.412″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3BB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02F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极孝村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DC9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23.0 </w:t>
            </w:r>
          </w:p>
        </w:tc>
      </w:tr>
      <w:tr w14:paraId="7987FA4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950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2B5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120°49′00.397″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0D2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32°11′52.605″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AC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F67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徐园村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D7E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22.9 </w:t>
            </w:r>
          </w:p>
        </w:tc>
      </w:tr>
      <w:tr w14:paraId="0396349B">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82D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649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120°48′14.464″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84E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32°14′21.218″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599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C7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尹家园村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D76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22.1 </w:t>
            </w:r>
          </w:p>
        </w:tc>
      </w:tr>
      <w:tr w14:paraId="2D15ED0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66D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AD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120°50′06.819″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4B6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32°11′53.051″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E1A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C2D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新联社区</w:t>
            </w:r>
          </w:p>
          <w:p w14:paraId="277804A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510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55.0 </w:t>
            </w:r>
          </w:p>
        </w:tc>
      </w:tr>
      <w:tr w14:paraId="274CD0D2">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DAF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926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120°52′53.757″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7D2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32°08′27.833″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6AD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9D8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新中村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250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30.1 </w:t>
            </w:r>
          </w:p>
        </w:tc>
      </w:tr>
      <w:tr w14:paraId="1A81E96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6C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85E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120°51′26.136″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555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32°12′00.454″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B87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刘桥镇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5C6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极孝村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000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349.8 </w:t>
            </w:r>
          </w:p>
        </w:tc>
      </w:tr>
      <w:tr w14:paraId="3F693B5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2BF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E2F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121°04′07.586″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99F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32°09′53.622″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F9C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46E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张沙村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4E7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65.6 </w:t>
            </w:r>
          </w:p>
        </w:tc>
      </w:tr>
      <w:tr w14:paraId="0DF62AA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31C5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1D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121°00′03.812″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58DA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32°09′22.059″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800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201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沧南</w:t>
            </w:r>
          </w:p>
          <w:p w14:paraId="1623855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A09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67.9 </w:t>
            </w:r>
          </w:p>
        </w:tc>
      </w:tr>
      <w:tr w14:paraId="2D9DDCB5">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CB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1AF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121°04′55.795″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385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32°13′10.414″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161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EAD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B5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62.7 </w:t>
            </w:r>
          </w:p>
        </w:tc>
      </w:tr>
      <w:tr w14:paraId="3F44616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0A9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A36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121°04′55.600″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5964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32°13′02.735″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BF7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38F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0E3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238.4 </w:t>
            </w:r>
          </w:p>
        </w:tc>
      </w:tr>
      <w:tr w14:paraId="50E9C5D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38B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69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98A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121°05′12.028″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305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32°12′51.880″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F96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456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D79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200.1 </w:t>
            </w:r>
          </w:p>
        </w:tc>
      </w:tr>
      <w:tr w14:paraId="3B96474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64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2524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121°05′32.482″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8DC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32°12′57.838″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88B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B49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4E1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68.4 </w:t>
            </w:r>
          </w:p>
        </w:tc>
      </w:tr>
      <w:tr w14:paraId="10EE0DA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2EC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9EE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121°05′46.572″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97B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32°13′00.714″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877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018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4F4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25.7 </w:t>
            </w:r>
          </w:p>
        </w:tc>
      </w:tr>
      <w:tr w14:paraId="35D9163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027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D38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121°00′15.468″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3EC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32°11′40.763″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FD8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D24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育民村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8F6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31.9 </w:t>
            </w:r>
          </w:p>
        </w:tc>
      </w:tr>
      <w:tr w14:paraId="35D973C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4B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C490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121°00′03.949″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881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32°11′02.214″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A91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496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季庄村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CF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28.5 </w:t>
            </w:r>
          </w:p>
        </w:tc>
      </w:tr>
      <w:tr w14:paraId="0DB7F38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7940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907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121°00′44.181″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FDC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32°09′42.706″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9C58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AE6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沧南</w:t>
            </w:r>
          </w:p>
          <w:p w14:paraId="1C54EE3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15E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170.0 </w:t>
            </w:r>
          </w:p>
        </w:tc>
      </w:tr>
      <w:tr w14:paraId="291F1F7D">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FF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238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121°00′56.262″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108A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32°09′36.588″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AC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DD8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沧南</w:t>
            </w:r>
          </w:p>
          <w:p w14:paraId="5BF374E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D06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58.5 </w:t>
            </w:r>
          </w:p>
        </w:tc>
      </w:tr>
      <w:tr w14:paraId="23A3DC0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02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721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121°08′42.522″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B54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32°10′25.153″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405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59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柏树墩村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F7B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107.1 </w:t>
            </w:r>
          </w:p>
        </w:tc>
      </w:tr>
      <w:tr w14:paraId="5DFB5E1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6F8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73D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121°03′37.502″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902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32°10′00.717″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2E9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3C9A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骑岸居委会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03E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30.2 </w:t>
            </w:r>
          </w:p>
        </w:tc>
      </w:tr>
      <w:tr w14:paraId="3958124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DC7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2A4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121°04′11.050″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3BF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32°10′13.450″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B73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E5C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骑岸</w:t>
            </w:r>
          </w:p>
          <w:p w14:paraId="1272E14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355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25.8 </w:t>
            </w:r>
          </w:p>
        </w:tc>
      </w:tr>
      <w:tr w14:paraId="5B452A8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CFD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79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02C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121°03′52.794″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E13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32°10′06.842″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0A71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14D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骑岸</w:t>
            </w:r>
          </w:p>
          <w:p w14:paraId="1F411C6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540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57.1 </w:t>
            </w:r>
          </w:p>
        </w:tc>
      </w:tr>
      <w:tr w14:paraId="129C01C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62F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51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121°00′02.182″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75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32°11′40.556″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A69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3B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育民村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7F0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130.9 </w:t>
            </w:r>
          </w:p>
        </w:tc>
      </w:tr>
      <w:tr w14:paraId="07DF6F2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F1D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1F8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121°12′24.810″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3A01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32°11′41.338″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00C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253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志新村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D84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181.5 </w:t>
            </w:r>
          </w:p>
        </w:tc>
      </w:tr>
      <w:tr w14:paraId="0A620294">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A92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B4B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121°05′11.207″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379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32°10′39.748″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49D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4F3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张沙村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7D8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21.9 </w:t>
            </w:r>
          </w:p>
        </w:tc>
      </w:tr>
      <w:tr w14:paraId="66D6C46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686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1C9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121°02′14.685″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9DD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32°09′37.102″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33F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8CC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岸西村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3EB5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50.2 </w:t>
            </w:r>
          </w:p>
        </w:tc>
      </w:tr>
      <w:tr w14:paraId="62E9689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E6D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C3B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121°04′46.425″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67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32°11′24.509″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E22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29D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骑北村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8FF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57.8 </w:t>
            </w:r>
          </w:p>
        </w:tc>
      </w:tr>
      <w:tr w14:paraId="23F536E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AD8D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34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121°04′34.185″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016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32°13′30.504″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D59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900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CEF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71.5 </w:t>
            </w:r>
          </w:p>
        </w:tc>
      </w:tr>
      <w:tr w14:paraId="24CAAC5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A27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FB1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121°07′11.338″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48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32°12′20.863″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337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7DC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B23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161.8 </w:t>
            </w:r>
          </w:p>
        </w:tc>
      </w:tr>
      <w:tr w14:paraId="7602DAAB">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60A8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3DA3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121°05′28.847″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B5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32°12′33.658″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639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7B7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F97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97.3 </w:t>
            </w:r>
          </w:p>
        </w:tc>
      </w:tr>
      <w:tr w14:paraId="0BAD859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B28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89C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121°04′30.592″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0D2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32°13′14.199″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568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BC9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12D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76.7 </w:t>
            </w:r>
          </w:p>
        </w:tc>
      </w:tr>
      <w:tr w14:paraId="18FF053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624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89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436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121°03′30.472″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9C2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32°12′50.243″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B90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DA0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19E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92.8 </w:t>
            </w:r>
          </w:p>
        </w:tc>
      </w:tr>
      <w:tr w14:paraId="2372873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ADF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38D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121°03′22.731″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F0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32°12′51.245″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20D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93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A5F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24.1 </w:t>
            </w:r>
          </w:p>
        </w:tc>
      </w:tr>
      <w:tr w14:paraId="306DD7A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1F2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CC2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121°05′29.343″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0A5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32°12′48.099″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2B53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450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BAC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115.8 </w:t>
            </w:r>
          </w:p>
        </w:tc>
      </w:tr>
      <w:tr w14:paraId="2B1B6F8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77D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ECB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121°01′11.789″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47D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32°09′48.557″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EB3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A10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沧南村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EA8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92.8 </w:t>
            </w:r>
          </w:p>
        </w:tc>
      </w:tr>
      <w:tr w14:paraId="2D3ECBF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DDA9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474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121°05′51.967″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9EF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32°12′43.992″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0A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B5E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上雁村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0AF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26.6 </w:t>
            </w:r>
          </w:p>
        </w:tc>
      </w:tr>
      <w:tr w14:paraId="664ACE7B">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F34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6B2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121°05′00.928″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DD5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32°11′24.924″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5CB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23A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骑北村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F87D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28.5 </w:t>
            </w:r>
          </w:p>
        </w:tc>
      </w:tr>
      <w:tr w14:paraId="0E7DF1D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0B9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4D1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120°59′57.528″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E57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32°09′00.037″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D10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31F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沧南</w:t>
            </w:r>
          </w:p>
          <w:p w14:paraId="4E2422B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F3B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73.0 </w:t>
            </w:r>
          </w:p>
        </w:tc>
      </w:tr>
      <w:tr w14:paraId="1DD9D43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370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3A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121°06′47.121″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28B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32°12′12.477″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FE5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十总镇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063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新雁村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E80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197.1 </w:t>
            </w:r>
          </w:p>
        </w:tc>
      </w:tr>
      <w:tr w14:paraId="346A206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0A8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9CD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121°03′39.164″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562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31°56′08.996″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3FF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川姜镇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4B7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川港社区</w:t>
            </w:r>
          </w:p>
          <w:p w14:paraId="5D3556E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D53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21.9 </w:t>
            </w:r>
          </w:p>
        </w:tc>
      </w:tr>
      <w:tr w14:paraId="277B48E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7A0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167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121°01′45.673″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D7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31°56′44.183″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6D07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川姜镇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B27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启江村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144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29.2 </w:t>
            </w:r>
          </w:p>
        </w:tc>
      </w:tr>
      <w:tr w14:paraId="7795ACF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990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0DE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121°04′21.423″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2A7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31°56′16.572″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91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川姜镇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78A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川北村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054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23.7 </w:t>
            </w:r>
          </w:p>
        </w:tc>
      </w:tr>
      <w:tr w14:paraId="53BB434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494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125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121°03′10.621″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0C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31°56′23.656″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21B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川姜镇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540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启江村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D0D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26.1 </w:t>
            </w:r>
          </w:p>
        </w:tc>
      </w:tr>
      <w:tr w14:paraId="0199F05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F1F7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D68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120°45′47.483″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C8D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32°09′47.274″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9CE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F03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赵甸</w:t>
            </w:r>
          </w:p>
          <w:p w14:paraId="58FBBCA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居委会</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5FB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20.0 </w:t>
            </w:r>
          </w:p>
        </w:tc>
      </w:tr>
      <w:tr w14:paraId="2736EB2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825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826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120°45′18.255″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64C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32°09′04.343″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5FB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23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四十里村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88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59.0 </w:t>
            </w:r>
          </w:p>
        </w:tc>
      </w:tr>
      <w:tr w14:paraId="50D1728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B2F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258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120°43′06.910″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4E7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32°04′40.253″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716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D23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赵坊村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8A0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22.6 </w:t>
            </w:r>
          </w:p>
        </w:tc>
      </w:tr>
      <w:tr w14:paraId="4DAE490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37D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C9D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120°45′59.192″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B7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32°08′03.553″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B49C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EBE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国道村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D33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130.8 </w:t>
            </w:r>
          </w:p>
        </w:tc>
      </w:tr>
      <w:tr w14:paraId="4C14284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3B3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690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120°41′44.039″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614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32°06′56.598″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D5B1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9EA4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湾子头村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DA4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73.5 </w:t>
            </w:r>
          </w:p>
        </w:tc>
      </w:tr>
      <w:tr w14:paraId="4791AE4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CC2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0FD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120°43′07.910″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C588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32°05′15.369″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EB1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515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赵坊村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A7E6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115.6 </w:t>
            </w:r>
          </w:p>
        </w:tc>
      </w:tr>
      <w:tr w14:paraId="186542E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30D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11F8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120°43′05.671″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97DE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32°04′54.964″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658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053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赵坊村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76B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67.1 </w:t>
            </w:r>
          </w:p>
        </w:tc>
      </w:tr>
      <w:tr w14:paraId="43A61EA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A442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B2C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120°43′06.543″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B4A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32°04′19.346″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F3A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41F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赵坊村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C15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45.6 </w:t>
            </w:r>
          </w:p>
        </w:tc>
      </w:tr>
      <w:tr w14:paraId="621F774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5C3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109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C4A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120°42′34.122″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462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32°04′58.557″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E3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EA7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赵坊村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A5F6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43.3 </w:t>
            </w:r>
          </w:p>
        </w:tc>
      </w:tr>
      <w:tr w14:paraId="031ED3B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1E0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B9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120°43′40.672″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A8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32°03′50.921″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450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EF7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老墩村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3159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22.3 </w:t>
            </w:r>
          </w:p>
        </w:tc>
      </w:tr>
      <w:tr w14:paraId="32017647">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98F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2E5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120°42′31.152″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300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32°07′30.160″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9B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248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湾子头村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50C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33.2 </w:t>
            </w:r>
          </w:p>
        </w:tc>
      </w:tr>
      <w:tr w14:paraId="2AAA871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1CA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E98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120°42′11.767″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7BE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32°07′05.379″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6D38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平潮镇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E53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湾子头村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147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20.5 </w:t>
            </w:r>
          </w:p>
        </w:tc>
      </w:tr>
      <w:tr w14:paraId="1FC0A3FF">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050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895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121°01′24.211″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131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31°57′23.631″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1C1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张芝山镇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22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塘坊村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8B3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53.4 </w:t>
            </w:r>
          </w:p>
        </w:tc>
      </w:tr>
      <w:tr w14:paraId="0F86247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867B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073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121°01′32.626″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C67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31°57′26.422″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298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张芝山镇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4A3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塘坊村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010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22.7 </w:t>
            </w:r>
          </w:p>
        </w:tc>
      </w:tr>
      <w:tr w14:paraId="37AD171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593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9C4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121°02′52.130″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039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31°51′48.036″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46A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张芝山镇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1BB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南兴村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FE1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28.7 </w:t>
            </w:r>
          </w:p>
        </w:tc>
      </w:tr>
      <w:tr w14:paraId="2AF181D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1BB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B2D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121°01′52.741″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47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31°52′10.676″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652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张芝山镇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E18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八字桥村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CA2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22.6 </w:t>
            </w:r>
          </w:p>
        </w:tc>
      </w:tr>
      <w:tr w14:paraId="475C06A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445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452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120°51′32.667″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AD6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32°14′10.036″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991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F7F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72E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28.3 </w:t>
            </w:r>
          </w:p>
        </w:tc>
      </w:tr>
      <w:tr w14:paraId="4945652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9C7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405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120°53′19.250″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3D3E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32°14′43.243″</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8A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FE4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26F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35.6 </w:t>
            </w:r>
          </w:p>
        </w:tc>
      </w:tr>
      <w:tr w14:paraId="2E91E7F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E591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119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3FC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120°53′52.133″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BE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32°14′19.927″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65E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6C4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DDD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27.9 </w:t>
            </w:r>
          </w:p>
        </w:tc>
      </w:tr>
      <w:tr w14:paraId="5976869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838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0A4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120°53′38.148″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6FD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32°13′27.418″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70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1D2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471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37.6 </w:t>
            </w:r>
          </w:p>
        </w:tc>
      </w:tr>
      <w:tr w14:paraId="27DFA40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2A28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AFB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120°53′15.270″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D57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32°12′28.847″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DF8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25D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江海村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B3B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173.0 </w:t>
            </w:r>
          </w:p>
        </w:tc>
      </w:tr>
      <w:tr w14:paraId="618BA7D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718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487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120°51′34.976″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4BF5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32°14′00.140″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01D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4FB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8B6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30.0 </w:t>
            </w:r>
          </w:p>
        </w:tc>
      </w:tr>
      <w:tr w14:paraId="13958B24">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2A0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806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120°59′52.057″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1C9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32°12′02.208″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BDB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BB6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石东村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260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37.9 </w:t>
            </w:r>
          </w:p>
        </w:tc>
      </w:tr>
      <w:tr w14:paraId="6EE1B98A">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8E3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B40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120°53′11.308″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A91C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32°12′33.490″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D4F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FD6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江海村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E42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24.7 </w:t>
            </w:r>
          </w:p>
        </w:tc>
      </w:tr>
      <w:tr w14:paraId="4449012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AF5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A22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120°53′48.839″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4AFE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32°13′07.846″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600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F79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2362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37.6 </w:t>
            </w:r>
          </w:p>
        </w:tc>
      </w:tr>
      <w:tr w14:paraId="2C0BCA0D">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C5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F64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120°53′49.257″</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446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32°13′23.644″</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5E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801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2A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175.8 </w:t>
            </w:r>
          </w:p>
        </w:tc>
      </w:tr>
      <w:tr w14:paraId="580FFFB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4A5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B0A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120°55′05.113″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AB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32°11′49.977″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AA9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BC7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花市街村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ACC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158.9 </w:t>
            </w:r>
          </w:p>
        </w:tc>
      </w:tr>
      <w:tr w14:paraId="6F79CA1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D95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988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120°58′22.842″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303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32°15′11.812″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1A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010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北渡村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8CA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21.2 </w:t>
            </w:r>
          </w:p>
        </w:tc>
      </w:tr>
      <w:tr w14:paraId="7EA26511">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2C5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BD6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120°58′32.333″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F53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32°15′01.757″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08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6A3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北渡村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71FE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33.9 </w:t>
            </w:r>
          </w:p>
        </w:tc>
      </w:tr>
      <w:tr w14:paraId="620EE3F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BA7C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A57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120°57′47.834″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E80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32°14′34.781″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AF4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F68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睹史院村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643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86.8 </w:t>
            </w:r>
          </w:p>
        </w:tc>
      </w:tr>
      <w:tr w14:paraId="3B2B89B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48B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2E4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120°57′40.045″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179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32°14′24.888″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98F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844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睹史院村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EDA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122.9 </w:t>
            </w:r>
          </w:p>
        </w:tc>
      </w:tr>
      <w:tr w14:paraId="18D32F66">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25D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29A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120°56′05.129″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AAD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32°13′43.532″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9AD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164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志田村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86F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28.6 </w:t>
            </w:r>
          </w:p>
        </w:tc>
      </w:tr>
      <w:tr w14:paraId="1D1EDD7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5BF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D69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120°56′52.199″</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C6B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32°13′47.728″</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63D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F8C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志田村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136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21.2 </w:t>
            </w:r>
          </w:p>
        </w:tc>
      </w:tr>
      <w:tr w14:paraId="1DB09773">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722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F3F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120°52′37.268″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27F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32°14′39.341″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0C8B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226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四港村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DFA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56.9 </w:t>
            </w:r>
          </w:p>
        </w:tc>
      </w:tr>
      <w:tr w14:paraId="3ECCEF94">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E9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051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120°57′59.044″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F7B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32°14′49.061″</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F2F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6C6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北渡村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8E8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53.2 </w:t>
            </w:r>
          </w:p>
        </w:tc>
      </w:tr>
      <w:tr w14:paraId="4A75E33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CBD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7D6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120°54′42.262″</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F6F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32°11′37.680″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F58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石港镇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95E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花市街村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92C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49.9 </w:t>
            </w:r>
          </w:p>
        </w:tc>
      </w:tr>
      <w:tr w14:paraId="041EC62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B52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137</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9AC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121°06′35.378″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93C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32°09′36.605″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7A1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4D9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华芦村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ED8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39.0 </w:t>
            </w:r>
          </w:p>
        </w:tc>
      </w:tr>
      <w:tr w14:paraId="03F7086B">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7EF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138</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D59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121°06′04.910″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052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32°09′36.315″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F7C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22B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华芦村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E8C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29.7 </w:t>
            </w:r>
          </w:p>
        </w:tc>
      </w:tr>
      <w:tr w14:paraId="5BC49730">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1D8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139</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C11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121°05′54.413″</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8B2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32°09′35.860″</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44DC">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D4C8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华芦村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B8D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23.8 </w:t>
            </w:r>
          </w:p>
        </w:tc>
      </w:tr>
      <w:tr w14:paraId="2073C41E">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E6A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140</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D518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121°05′44.714″</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D06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32°09′37.027″</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BC9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983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华芦村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B6B9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33.0 </w:t>
            </w:r>
          </w:p>
        </w:tc>
      </w:tr>
      <w:tr w14:paraId="05CC969B">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BC8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141</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CD3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121°01′21.840″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E17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32°08′45.869″</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CB6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9ED9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八总桥村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20B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98.9 </w:t>
            </w:r>
          </w:p>
        </w:tc>
      </w:tr>
      <w:tr w14:paraId="264723F2">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1D9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142</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792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121°02′29.801″</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3E75">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32°08′38.215″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814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831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八总桥村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643D">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24.0 </w:t>
            </w:r>
          </w:p>
        </w:tc>
      </w:tr>
      <w:tr w14:paraId="1FD037FD">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D3D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143</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E4B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120°58′40.530″</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C4C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32°07′48.886″</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802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西亭镇</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C43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草庙村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8E7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21.9 </w:t>
            </w:r>
          </w:p>
        </w:tc>
      </w:tr>
      <w:tr w14:paraId="6CC18088">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837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144</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BF64">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121°05′14.305″</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F7A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32°03′39.585″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BC5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金新</w:t>
            </w:r>
          </w:p>
          <w:p w14:paraId="0BE2E52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街道</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11E1">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果园社区</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19D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335.2 </w:t>
            </w:r>
          </w:p>
        </w:tc>
      </w:tr>
      <w:tr w14:paraId="14C5459C">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1AC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145</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CD7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121°00′03.928″</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B99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32°00′19.882″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C8E3">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金新</w:t>
            </w:r>
          </w:p>
          <w:p w14:paraId="7D245E5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街道</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1FD6B">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大石桥村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0F96">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21.9 </w:t>
            </w:r>
          </w:p>
        </w:tc>
      </w:tr>
      <w:tr w14:paraId="5A85B569">
        <w:tblPrEx>
          <w:tblCellMar>
            <w:top w:w="0" w:type="dxa"/>
            <w:left w:w="108" w:type="dxa"/>
            <w:bottom w:w="0" w:type="dxa"/>
            <w:right w:w="108" w:type="dxa"/>
          </w:tblCellMar>
        </w:tblPrEx>
        <w:trPr>
          <w:trHeight w:val="488"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C452">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146</w:t>
            </w:r>
          </w:p>
        </w:tc>
        <w:tc>
          <w:tcPr>
            <w:tcW w:w="2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4070">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121°07′41.006″</w:t>
            </w:r>
          </w:p>
        </w:tc>
        <w:tc>
          <w:tcPr>
            <w:tcW w:w="2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AA6E">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32°06′06.685″</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17A8">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金沙</w:t>
            </w:r>
          </w:p>
          <w:p w14:paraId="430A9427">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街道</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EF30F">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平桥镇村</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F20A">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 xml:space="preserve">107.0 </w:t>
            </w:r>
          </w:p>
        </w:tc>
      </w:tr>
      <w:tr w14:paraId="03E84225">
        <w:tblPrEx>
          <w:tblCellMar>
            <w:top w:w="0" w:type="dxa"/>
            <w:left w:w="108" w:type="dxa"/>
            <w:bottom w:w="0" w:type="dxa"/>
            <w:right w:w="108" w:type="dxa"/>
          </w:tblCellMar>
        </w:tblPrEx>
        <w:trPr>
          <w:trHeight w:val="556" w:hRule="atLeast"/>
        </w:trPr>
        <w:tc>
          <w:tcPr>
            <w:tcW w:w="866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ED92">
            <w:pPr>
              <w:widowControl/>
              <w:autoSpaceDE/>
              <w:autoSpaceDN/>
              <w:snapToGrid/>
              <w:spacing w:line="440" w:lineRule="exact"/>
              <w:ind w:firstLine="0"/>
              <w:jc w:val="center"/>
              <w:textAlignment w:val="center"/>
              <w:rPr>
                <w:snapToGrid/>
                <w:color w:val="000000"/>
                <w:sz w:val="27"/>
                <w:szCs w:val="27"/>
              </w:rPr>
            </w:pPr>
            <w:r>
              <w:rPr>
                <w:rFonts w:hint="eastAsia"/>
                <w:b/>
                <w:bCs/>
                <w:snapToGrid/>
                <w:color w:val="000000"/>
                <w:sz w:val="27"/>
                <w:szCs w:val="27"/>
              </w:rPr>
              <w:t>合计</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B109">
            <w:pPr>
              <w:widowControl/>
              <w:autoSpaceDE/>
              <w:autoSpaceDN/>
              <w:snapToGrid/>
              <w:spacing w:line="440" w:lineRule="exact"/>
              <w:ind w:firstLine="0"/>
              <w:jc w:val="center"/>
              <w:textAlignment w:val="center"/>
              <w:rPr>
                <w:snapToGrid/>
                <w:color w:val="000000"/>
                <w:sz w:val="27"/>
                <w:szCs w:val="27"/>
              </w:rPr>
            </w:pPr>
            <w:r>
              <w:rPr>
                <w:rFonts w:hint="eastAsia"/>
                <w:snapToGrid/>
                <w:color w:val="000000"/>
                <w:sz w:val="27"/>
                <w:szCs w:val="27"/>
              </w:rPr>
              <w:t>9564.6</w:t>
            </w:r>
          </w:p>
        </w:tc>
      </w:tr>
    </w:tbl>
    <w:p w14:paraId="75518709">
      <w:pPr>
        <w:autoSpaceDE/>
        <w:autoSpaceDN/>
        <w:snapToGrid/>
        <w:spacing w:line="590" w:lineRule="exact"/>
        <w:ind w:firstLine="0"/>
        <w:rPr>
          <w:rFonts w:eastAsia="仿宋_GB2312"/>
          <w:snapToGrid/>
          <w:kern w:val="2"/>
          <w:szCs w:val="32"/>
        </w:rPr>
      </w:pPr>
    </w:p>
    <w:p w14:paraId="16494EAE">
      <w:pPr>
        <w:autoSpaceDE/>
        <w:autoSpaceDN/>
        <w:snapToGrid/>
        <w:spacing w:line="590" w:lineRule="exact"/>
        <w:ind w:firstLine="0"/>
        <w:rPr>
          <w:rFonts w:eastAsia="仿宋_GB2312"/>
          <w:snapToGrid/>
          <w:kern w:val="2"/>
          <w:szCs w:val="32"/>
        </w:rPr>
      </w:pPr>
    </w:p>
    <w:p w14:paraId="125C5ADC">
      <w:pPr>
        <w:autoSpaceDE/>
        <w:autoSpaceDN/>
        <w:snapToGrid/>
        <w:spacing w:line="590" w:lineRule="exact"/>
        <w:ind w:firstLine="0"/>
        <w:rPr>
          <w:rFonts w:eastAsia="仿宋_GB2312"/>
          <w:snapToGrid/>
          <w:kern w:val="2"/>
          <w:szCs w:val="32"/>
        </w:rPr>
      </w:pPr>
    </w:p>
    <w:p w14:paraId="09E7A179">
      <w:pPr>
        <w:keepNext/>
        <w:keepLines/>
        <w:spacing w:afterLines="50" w:line="590" w:lineRule="exact"/>
        <w:jc w:val="center"/>
        <w:outlineLvl w:val="1"/>
        <w:rPr>
          <w:rFonts w:ascii="Arial" w:hAnsi="Arial" w:eastAsia="黑体"/>
          <w:bCs/>
          <w:color w:val="000000"/>
        </w:rPr>
      </w:pPr>
      <w:r>
        <w:rPr>
          <w:rFonts w:hint="eastAsia" w:ascii="Arial" w:hAnsi="Arial" w:eastAsia="黑体"/>
          <w:bCs/>
          <w:color w:val="000000"/>
        </w:rPr>
        <w:br w:type="page"/>
      </w:r>
      <w:bookmarkStart w:id="64" w:name="_Toc16469"/>
      <w:r>
        <w:rPr>
          <w:rFonts w:hint="eastAsia" w:ascii="黑体" w:hAnsi="黑体" w:eastAsia="黑体" w:cs="黑体"/>
          <w:bCs/>
          <w:snapToGrid/>
          <w:color w:val="000000"/>
          <w:szCs w:val="32"/>
        </w:rPr>
        <w:t>表3 淡水池塘养殖区规划表</w:t>
      </w:r>
      <w:bookmarkEnd w:id="64"/>
    </w:p>
    <w:tbl>
      <w:tblPr>
        <w:tblStyle w:val="12"/>
        <w:tblW w:w="9673" w:type="dxa"/>
        <w:jc w:val="center"/>
        <w:tblLayout w:type="fixed"/>
        <w:tblCellMar>
          <w:top w:w="0" w:type="dxa"/>
          <w:left w:w="108" w:type="dxa"/>
          <w:bottom w:w="0" w:type="dxa"/>
          <w:right w:w="108" w:type="dxa"/>
        </w:tblCellMar>
      </w:tblPr>
      <w:tblGrid>
        <w:gridCol w:w="835"/>
        <w:gridCol w:w="2550"/>
        <w:gridCol w:w="2332"/>
        <w:gridCol w:w="1306"/>
        <w:gridCol w:w="1317"/>
        <w:gridCol w:w="1333"/>
      </w:tblGrid>
      <w:tr w14:paraId="5E1A2745">
        <w:tblPrEx>
          <w:tblCellMar>
            <w:top w:w="0" w:type="dxa"/>
            <w:left w:w="108" w:type="dxa"/>
            <w:bottom w:w="0" w:type="dxa"/>
            <w:right w:w="108" w:type="dxa"/>
          </w:tblCellMar>
        </w:tblPrEx>
        <w:trPr>
          <w:trHeight w:val="665"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10D6">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序号</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3AC9">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中心点经度</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8B6A">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中心点纬度</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5535">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所属镇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FC61">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所属村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2040">
            <w:pPr>
              <w:widowControl/>
              <w:autoSpaceDE/>
              <w:autoSpaceDN/>
              <w:snapToGrid/>
              <w:spacing w:line="590" w:lineRule="exact"/>
              <w:ind w:firstLine="0"/>
              <w:jc w:val="center"/>
              <w:textAlignment w:val="center"/>
              <w:rPr>
                <w:rFonts w:ascii="方正黑体_GBK" w:hAnsi="方正黑体_GBK" w:eastAsia="方正黑体_GBK" w:cs="方正黑体_GBK"/>
                <w:snapToGrid/>
                <w:color w:val="000000"/>
                <w:sz w:val="28"/>
                <w:szCs w:val="28"/>
              </w:rPr>
            </w:pPr>
            <w:r>
              <w:rPr>
                <w:rFonts w:hint="eastAsia" w:ascii="方正黑体_GBK" w:hAnsi="方正黑体_GBK" w:eastAsia="方正黑体_GBK" w:cs="方正黑体_GBK"/>
                <w:snapToGrid/>
                <w:color w:val="000000"/>
                <w:sz w:val="28"/>
                <w:szCs w:val="28"/>
              </w:rPr>
              <w:t>面积（亩）</w:t>
            </w:r>
          </w:p>
        </w:tc>
      </w:tr>
      <w:tr w14:paraId="638682E9">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501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06F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121°12′32.076″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6F0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32°04′26.856″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788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16A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新桥村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879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40.2 </w:t>
            </w:r>
          </w:p>
        </w:tc>
      </w:tr>
      <w:tr w14:paraId="10DD085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5F8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30A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121°08′46.073″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A4A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32°05′22.195″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AF9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00D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五马路村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DD6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29.2 </w:t>
            </w:r>
          </w:p>
        </w:tc>
      </w:tr>
      <w:tr w14:paraId="6F67AA8F">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70F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43A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121°09′04.793″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2DF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32°06′56.207″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F99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8A6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五马路村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FFD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57.0 </w:t>
            </w:r>
          </w:p>
        </w:tc>
      </w:tr>
      <w:tr w14:paraId="437D0B4C">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706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CE9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121°09′58.545″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045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32°08′34.529″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F14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3BF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平和村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AC8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20.9 </w:t>
            </w:r>
          </w:p>
        </w:tc>
      </w:tr>
      <w:tr w14:paraId="54C8140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A5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A3E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121°09′01.710″</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11A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32°08′46.308″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B64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4D0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平和村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324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38.2 </w:t>
            </w:r>
          </w:p>
        </w:tc>
      </w:tr>
      <w:tr w14:paraId="6FD567A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0AD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2F2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121°11′25.351″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45E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32°10′04.519″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BEF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02F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兴隆灶村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A22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34.7 </w:t>
            </w:r>
          </w:p>
        </w:tc>
      </w:tr>
      <w:tr w14:paraId="61EA31A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EA3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6FB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121°11′28.717″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108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32°09′43.498″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56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35BF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白龙庙</w:t>
            </w:r>
          </w:p>
          <w:p w14:paraId="54EA69E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DD4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42.3 </w:t>
            </w:r>
          </w:p>
        </w:tc>
      </w:tr>
      <w:tr w14:paraId="27F0792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E32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FC9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121°11′29.156″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2F3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32°09′35.365″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27D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5EB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白龙庙</w:t>
            </w:r>
          </w:p>
          <w:p w14:paraId="1EB438C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2F0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67.2 </w:t>
            </w:r>
          </w:p>
        </w:tc>
      </w:tr>
      <w:tr w14:paraId="0CB0E336">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069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75B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121°09′10.468″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793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32°05′36.288″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A69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BBF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五马路村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CDF2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217.2 </w:t>
            </w:r>
          </w:p>
        </w:tc>
      </w:tr>
      <w:tr w14:paraId="074A136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0E4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956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121°12′42.431″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63C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32°08′42.751″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7C7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16E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中和村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577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77.5 </w:t>
            </w:r>
          </w:p>
        </w:tc>
      </w:tr>
      <w:tr w14:paraId="0822447F">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DD3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9B1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121°08′41.375″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8FB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32°05′55.531″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26A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2F5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五马路村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784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313.9 </w:t>
            </w:r>
          </w:p>
        </w:tc>
      </w:tr>
      <w:tr w14:paraId="7849EF7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B5A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D13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121°08′20.518″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C132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32°09′08.615″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91B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56E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滥港桥村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FA4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40.8 </w:t>
            </w:r>
          </w:p>
        </w:tc>
      </w:tr>
      <w:tr w14:paraId="46ED287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9EE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0AC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121°11′50.528″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BAB4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32°08′19.485″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4A9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76D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白龙庙</w:t>
            </w:r>
          </w:p>
          <w:p w14:paraId="02806E2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D25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34.4 </w:t>
            </w:r>
          </w:p>
        </w:tc>
      </w:tr>
      <w:tr w14:paraId="4FE9B99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8C5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2472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121°13′13.266″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B04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32°04′13.160″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EEF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B3F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东平村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984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88.4 </w:t>
            </w:r>
          </w:p>
        </w:tc>
      </w:tr>
      <w:tr w14:paraId="09EF30C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858E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4BD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121°12′39.387″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921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32°04′22.450″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606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1E9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东平村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690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68.4 </w:t>
            </w:r>
          </w:p>
        </w:tc>
      </w:tr>
      <w:tr w14:paraId="4627E9B6">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BA4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47C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121°13′11.607″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C9B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32°03′57.923″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7CA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F3A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东平村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C9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158.7 </w:t>
            </w:r>
          </w:p>
        </w:tc>
      </w:tr>
      <w:tr w14:paraId="0F2DF20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57F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26F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121°13′00.113″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AA0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32°03′56.789″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602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CAB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东平村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E8DB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76.0 </w:t>
            </w:r>
          </w:p>
        </w:tc>
      </w:tr>
      <w:tr w14:paraId="0155EC2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02A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86A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121°10′12.514″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381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32°05′45.315″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F63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A0F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东社社区</w:t>
            </w:r>
          </w:p>
          <w:p w14:paraId="2620E8D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ABA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115.9 </w:t>
            </w:r>
          </w:p>
        </w:tc>
      </w:tr>
      <w:tr w14:paraId="513429D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2DA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CD2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121°06′30.347″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C54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32°07′09.977″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3BF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东社镇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8B5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杨港社区</w:t>
            </w:r>
          </w:p>
          <w:p w14:paraId="77CD0BD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F16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35.6 </w:t>
            </w:r>
          </w:p>
        </w:tc>
      </w:tr>
      <w:tr w14:paraId="18726DC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987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036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121°09′11.038″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110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32°01′05.921″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E5C7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二甲镇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C41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六甲镇村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1CB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27.9 </w:t>
            </w:r>
          </w:p>
        </w:tc>
      </w:tr>
      <w:tr w14:paraId="5828892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717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61A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121°06′36.844″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ECA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31°59′59.037″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579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二甲镇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CB4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袁南社区</w:t>
            </w:r>
          </w:p>
          <w:p w14:paraId="43052FA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BC3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28.9 </w:t>
            </w:r>
          </w:p>
        </w:tc>
      </w:tr>
      <w:tr w14:paraId="17178D7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2BE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F8B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121°08′10.642″</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CD7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32°01′40.504″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6B8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二甲镇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40E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通运桥村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C8E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23.2 </w:t>
            </w:r>
          </w:p>
        </w:tc>
      </w:tr>
      <w:tr w14:paraId="31C1886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CCD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B46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120°40′46.089″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6A0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32°04′14.143″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A32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7D3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李港村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0E3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23.2 </w:t>
            </w:r>
          </w:p>
        </w:tc>
      </w:tr>
      <w:tr w14:paraId="1DEEFB9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B620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71B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120°39′25.465″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3677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32°02′55.551″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748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56D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开沙村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E7C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115.7 </w:t>
            </w:r>
          </w:p>
        </w:tc>
      </w:tr>
      <w:tr w14:paraId="7E66011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85A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930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120°39′17.551″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DD6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32°02′45.535″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18F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五接镇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2C7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开沙村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690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626.8 </w:t>
            </w:r>
          </w:p>
        </w:tc>
      </w:tr>
      <w:tr w14:paraId="2E74ABD9">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CA4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0AF0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120°59′46.428″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61C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31°59′31.502″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27B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先锋镇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A35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苏家埭村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12B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23.2 </w:t>
            </w:r>
          </w:p>
        </w:tc>
      </w:tr>
      <w:tr w14:paraId="5FC8595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366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3F1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120°59′21.359″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52F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32°00′50.254″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978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先锋镇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93A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三圩头村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E42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27.1 </w:t>
            </w:r>
          </w:p>
        </w:tc>
      </w:tr>
      <w:tr w14:paraId="00C74FC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AF6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433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120°59′28.309″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3CA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31°58′40.480″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F41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先锋镇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5DF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永安村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F0D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101.2 </w:t>
            </w:r>
          </w:p>
        </w:tc>
      </w:tr>
      <w:tr w14:paraId="1E50DFD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E4E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29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3B3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120°58′57.195″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080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32°04′18.483″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36BB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兴东</w:t>
            </w:r>
          </w:p>
          <w:p w14:paraId="40B0609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0C1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陆扶桥村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77C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42.3 </w:t>
            </w:r>
          </w:p>
        </w:tc>
      </w:tr>
      <w:tr w14:paraId="642F93ED">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A3D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0CB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120°56′39.569″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ABE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32°04′50.232″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5A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兴东</w:t>
            </w:r>
          </w:p>
          <w:p w14:paraId="47B8576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12C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永护村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CBE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24.5 </w:t>
            </w:r>
          </w:p>
        </w:tc>
      </w:tr>
      <w:tr w14:paraId="56ED2238">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1A7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841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120°54′25.763″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702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32°08′26.346″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FF0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D0D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韩家坝村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B98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44.3 </w:t>
            </w:r>
          </w:p>
        </w:tc>
      </w:tr>
      <w:tr w14:paraId="233F34BF">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F9F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0A7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120°56′48.958″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1BD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32°09′16.778″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F28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D6E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徐家桥村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BDB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21.1 </w:t>
            </w:r>
          </w:p>
        </w:tc>
      </w:tr>
      <w:tr w14:paraId="192F204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0FF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2F63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120°54′56.461″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A4F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32°05′00.169″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384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644C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长林桥村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A74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34.7 </w:t>
            </w:r>
          </w:p>
        </w:tc>
      </w:tr>
      <w:tr w14:paraId="14373BB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D66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85A2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120°55′16.424″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88D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32°05′05.379″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D29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E0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长林桥村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5B3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27.3 </w:t>
            </w:r>
          </w:p>
        </w:tc>
      </w:tr>
      <w:tr w14:paraId="78E6DFD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BBD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CC9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120°54′46.744″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345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32°06′02.596″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B7B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7F5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横港社区</w:t>
            </w:r>
          </w:p>
          <w:p w14:paraId="735BE15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342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21.6 </w:t>
            </w:r>
          </w:p>
        </w:tc>
      </w:tr>
      <w:tr w14:paraId="46FF050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8C4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6CD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120°57′15.395″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D5E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32°09′23.099″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AB9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1D1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徐家桥村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37E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32.2 </w:t>
            </w:r>
          </w:p>
        </w:tc>
      </w:tr>
      <w:tr w14:paraId="24C7733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A849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C55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120°57′50.960″</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442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32°07′32.310″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DAF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兴仁镇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9F5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阚庵东村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BD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32.3 </w:t>
            </w:r>
          </w:p>
        </w:tc>
      </w:tr>
      <w:tr w14:paraId="7D5DBF9D">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25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BF3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120°46′53.083″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E74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32°13′26.773″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E80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2D3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长岸村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511A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20.4 </w:t>
            </w:r>
          </w:p>
        </w:tc>
      </w:tr>
      <w:tr w14:paraId="2C8DE83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D6B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B5E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120°50′14.774″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F8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32°11′52.087″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517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865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徐园村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C5F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21.7 </w:t>
            </w:r>
          </w:p>
        </w:tc>
      </w:tr>
      <w:tr w14:paraId="79CA031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E96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453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120°47′58.396″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899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32°13′09.273″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2CE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622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长岸村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DB3D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43.0 </w:t>
            </w:r>
          </w:p>
        </w:tc>
      </w:tr>
      <w:tr w14:paraId="5795879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54C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450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120°47′56.929″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923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32°13′59.322″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4AB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277A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尹家园村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DF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47.7 </w:t>
            </w:r>
          </w:p>
        </w:tc>
      </w:tr>
      <w:tr w14:paraId="1ACFEED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B2F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6E8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120°47′19.801″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0FD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32°14′08.229″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F2F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C86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尹家园村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D83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25.5 </w:t>
            </w:r>
          </w:p>
        </w:tc>
      </w:tr>
      <w:tr w14:paraId="6667960D">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4182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8F0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120°54′29.417″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095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32°09′23.708″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F63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05C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英雄村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479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43.6 </w:t>
            </w:r>
          </w:p>
        </w:tc>
      </w:tr>
      <w:tr w14:paraId="7405195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6B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F40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120°49′21.169″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77D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32°10′27.268″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B8C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897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徐园村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B9C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47.0 </w:t>
            </w:r>
          </w:p>
        </w:tc>
      </w:tr>
      <w:tr w14:paraId="31B5E7F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A52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E2A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120°50′04.080″</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490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32°11′43.922″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66C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FE6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徐园村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44E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73.2 </w:t>
            </w:r>
          </w:p>
        </w:tc>
      </w:tr>
      <w:tr w14:paraId="6C0E3AB8">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86F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EC0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120°50′50.533″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9AA2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32°14′26.681″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BCE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5F3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米三桥村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E2C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65.4 </w:t>
            </w:r>
          </w:p>
        </w:tc>
      </w:tr>
      <w:tr w14:paraId="0A10723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8DD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702B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120°50′59.229″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65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32°11′52.315″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042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535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新联社区</w:t>
            </w:r>
          </w:p>
          <w:p w14:paraId="4BE46E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82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38.2 </w:t>
            </w:r>
          </w:p>
        </w:tc>
      </w:tr>
      <w:tr w14:paraId="585B53D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C4A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05D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120°51′43.124″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5CC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32°11′48.348″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D79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457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极孝村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EA5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31.8 </w:t>
            </w:r>
          </w:p>
        </w:tc>
      </w:tr>
      <w:tr w14:paraId="5F636E9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8E8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49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5A6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120°47′20.891″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2E6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32°14′03.030″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F68A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D52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尹家园村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F27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26.0 </w:t>
            </w:r>
          </w:p>
        </w:tc>
      </w:tr>
      <w:tr w14:paraId="286DB4A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3D7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3EA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120°52′23.197″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C89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32°08′23.145″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781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79F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新中村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19D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24.8 </w:t>
            </w:r>
          </w:p>
        </w:tc>
      </w:tr>
      <w:tr w14:paraId="073A478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7EF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9C3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120°52′06.157″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7D4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32°08′03.466″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AA8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291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新中村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B40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40.0 </w:t>
            </w:r>
          </w:p>
        </w:tc>
      </w:tr>
      <w:tr w14:paraId="25894A8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85C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F40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120°47′30.606″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A69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32°14′10.960″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7830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DA4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尹家园村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705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35.1 </w:t>
            </w:r>
          </w:p>
        </w:tc>
      </w:tr>
      <w:tr w14:paraId="5319212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729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71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120°49′55.251″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C47B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32°14′46.929″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48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650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米三桥村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D24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28.5 </w:t>
            </w:r>
          </w:p>
        </w:tc>
      </w:tr>
      <w:tr w14:paraId="2227080C">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5E8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C20D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120°50′21.703″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425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32°14′30.226″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89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刘桥镇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07E2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米三桥村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403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39.8 </w:t>
            </w:r>
          </w:p>
        </w:tc>
      </w:tr>
      <w:tr w14:paraId="0908C6D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B6F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D3D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121°01′46.691″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A2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32°11′41.880″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C21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BB8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育民村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920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26.1 </w:t>
            </w:r>
          </w:p>
        </w:tc>
      </w:tr>
      <w:tr w14:paraId="6653954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802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967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121°03′35.497″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B8A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32°09′40.956″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20F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BF9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8F3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42.7 </w:t>
            </w:r>
          </w:p>
        </w:tc>
      </w:tr>
      <w:tr w14:paraId="393AE7D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CEC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E9D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121°07′37.178″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620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32°10′16.347″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480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D21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柏树墩村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296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113.6 </w:t>
            </w:r>
          </w:p>
        </w:tc>
      </w:tr>
      <w:tr w14:paraId="5B5D4EC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CBA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8DCF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121°08′15.951″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4EE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32°10′27.243″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C87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35A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柏树墩村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C96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34.3 </w:t>
            </w:r>
          </w:p>
        </w:tc>
      </w:tr>
      <w:tr w14:paraId="73383A4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53A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59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76AF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121°03′34.692″</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05A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32°09′50.367″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F0F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942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B52D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24.2 </w:t>
            </w:r>
          </w:p>
        </w:tc>
      </w:tr>
      <w:tr w14:paraId="0B6A66F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8DF5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1C3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121°03′56.896″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CBF7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32°10′12.741″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545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8F1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骑岸</w:t>
            </w:r>
          </w:p>
          <w:p w14:paraId="539C7AA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C8C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49.9 </w:t>
            </w:r>
          </w:p>
        </w:tc>
      </w:tr>
      <w:tr w14:paraId="42C6B32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E9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CAB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121°05′11.473″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467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32°11′26.936″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C04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0FA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骑北村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FB4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25.7 </w:t>
            </w:r>
          </w:p>
        </w:tc>
      </w:tr>
      <w:tr w14:paraId="2B5C2F38">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792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DB4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121°09′52.383″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6F00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32°12′02.321″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41B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0D03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迎阳村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CCB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357.5 </w:t>
            </w:r>
          </w:p>
        </w:tc>
      </w:tr>
      <w:tr w14:paraId="3DABC12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CF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483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121°12′02.708″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9297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32°11′25.973″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4D9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8E8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志新村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77F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419.5 </w:t>
            </w:r>
          </w:p>
        </w:tc>
      </w:tr>
      <w:tr w14:paraId="7152240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9DC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695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121°01′39.604″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DE5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32°10′48.260″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9EA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DB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季庄村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84B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56.0 </w:t>
            </w:r>
          </w:p>
        </w:tc>
      </w:tr>
      <w:tr w14:paraId="2F46AE9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F7D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CE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121°01′29.103″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3F3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32°10′47.055″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F8B3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8824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季庄村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DAF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42.4 </w:t>
            </w:r>
          </w:p>
        </w:tc>
      </w:tr>
      <w:tr w14:paraId="56ED28B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F47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25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121°00′47.628″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D44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32°11′43.020″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C39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D1F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育民村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7A7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31.1 </w:t>
            </w:r>
          </w:p>
        </w:tc>
      </w:tr>
      <w:tr w14:paraId="62CEDA6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2F39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143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121°00′50.321″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C05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32°11′43.061″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ED9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0A4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育民村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361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35.6 </w:t>
            </w:r>
          </w:p>
        </w:tc>
      </w:tr>
      <w:tr w14:paraId="774AC836">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B99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DAF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121°12′01.774″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52F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32°11′35.355″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716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11ED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志新村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F5B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91.1 </w:t>
            </w:r>
          </w:p>
        </w:tc>
      </w:tr>
      <w:tr w14:paraId="65DB86AC">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19D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69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24D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121°11′43.414″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9A20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32°11′38.288″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D45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2C4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志新村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338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115.1 </w:t>
            </w:r>
          </w:p>
        </w:tc>
      </w:tr>
      <w:tr w14:paraId="57C77AF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5FB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D352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121°12′41.931″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DC8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32°11′38.316″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5DCD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645B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志新村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0A7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91.4 </w:t>
            </w:r>
          </w:p>
        </w:tc>
      </w:tr>
      <w:tr w14:paraId="61684CB9">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7D3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EA5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121°05′26.667″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FD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32°12′39.366″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1E4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CEA2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上雁村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B07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36.6 </w:t>
            </w:r>
          </w:p>
        </w:tc>
      </w:tr>
      <w:tr w14:paraId="1F8B48B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26B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9C9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121°05′41.311″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B55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32°12′37.658″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AAA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FB2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上雁村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E2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95.0 </w:t>
            </w:r>
          </w:p>
        </w:tc>
      </w:tr>
      <w:tr w14:paraId="2B76023F">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2B8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D50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121°04′44.028″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99A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32°13′12.179″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3F7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15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上雁村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FDA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77.3 </w:t>
            </w:r>
          </w:p>
        </w:tc>
      </w:tr>
      <w:tr w14:paraId="38F978B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FDE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40E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121°08′16.171″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BAF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32°10′12.520″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29C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1BA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柏树墩村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03E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59.1 </w:t>
            </w:r>
          </w:p>
        </w:tc>
      </w:tr>
      <w:tr w14:paraId="2A2A482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8C2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2E0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121°06′03.079″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FC2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32°11′59.347″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2C9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D80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新雁村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D5C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44.2 </w:t>
            </w:r>
          </w:p>
        </w:tc>
      </w:tr>
      <w:tr w14:paraId="3266363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33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AFA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121°05′00.783″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3D2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32°10′40.959″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AFD5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47D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FD3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28.2 </w:t>
            </w:r>
          </w:p>
        </w:tc>
      </w:tr>
      <w:tr w14:paraId="611C765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896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D3E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121°04′49.805″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322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32°11′00.448″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4A1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26B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1E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23.7 </w:t>
            </w:r>
          </w:p>
        </w:tc>
      </w:tr>
      <w:tr w14:paraId="25095B6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4CA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39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121°04′14.879″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D31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32°09′35.252″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C94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09C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221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46.6 </w:t>
            </w:r>
          </w:p>
        </w:tc>
      </w:tr>
      <w:tr w14:paraId="0D800061">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44A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E05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121°05′26.926″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4ED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32°10′09.964″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F8A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C90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DDF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41.9 </w:t>
            </w:r>
          </w:p>
        </w:tc>
      </w:tr>
      <w:tr w14:paraId="5D5C5B2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BFB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DA6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121°03′15.798″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795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32°10′03.971″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17D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十总镇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789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骑岸</w:t>
            </w:r>
          </w:p>
          <w:p w14:paraId="0096D10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A44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32.9 </w:t>
            </w:r>
          </w:p>
        </w:tc>
      </w:tr>
      <w:tr w14:paraId="17C35F2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D47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0A4A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121°04′42.567″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315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31°56′11.265″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F96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川姜镇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1D4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川港社区</w:t>
            </w:r>
          </w:p>
          <w:p w14:paraId="4B6D1D4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C1C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91.6 </w:t>
            </w:r>
          </w:p>
        </w:tc>
      </w:tr>
      <w:tr w14:paraId="797ABAA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6F92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27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121°02′45.961″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B0E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31°56′24.431″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DC6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川姜镇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46F0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启江村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528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25.1 </w:t>
            </w:r>
          </w:p>
        </w:tc>
      </w:tr>
      <w:tr w14:paraId="171D400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944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D44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120°41′55.071″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E18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32°09′05.379″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5A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平潮镇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4BB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颜港村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89E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86.6 </w:t>
            </w:r>
          </w:p>
        </w:tc>
      </w:tr>
      <w:tr w14:paraId="45915959">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118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8ABB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121°04′22.175″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2BF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31°53′46.578″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BD9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张芝山镇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8F9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培德村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DB0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22.3 </w:t>
            </w:r>
          </w:p>
        </w:tc>
      </w:tr>
      <w:tr w14:paraId="5CCB41A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CCF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892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121°01′24.192″</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A30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31°57′09.252″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29B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张芝山镇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56E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塘坊村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AFC6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33.1 </w:t>
            </w:r>
          </w:p>
        </w:tc>
      </w:tr>
      <w:tr w14:paraId="4CC5A8E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2D3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3B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120°54′42.332″</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854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32°14′46.462″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BD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石港镇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E2C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金庄社区居委会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CB6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40.4 </w:t>
            </w:r>
          </w:p>
        </w:tc>
      </w:tr>
      <w:tr w14:paraId="7493479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404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FE5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120°59′00.539″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D8D1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32°11′19.854″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C31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石港镇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C71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马道村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99C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65.1 </w:t>
            </w:r>
          </w:p>
        </w:tc>
      </w:tr>
      <w:tr w14:paraId="1F22CAC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E22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CDD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120°59′31.026″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6E8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32°10′55.713″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BDF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石港镇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67C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马道村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26D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32.9 </w:t>
            </w:r>
          </w:p>
        </w:tc>
      </w:tr>
      <w:tr w14:paraId="48FEBE3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FEE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89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312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120°54′54.014″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0AD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32°11′43.162″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68D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石港镇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666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花市街村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713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74.5 </w:t>
            </w:r>
          </w:p>
        </w:tc>
      </w:tr>
      <w:tr w14:paraId="77B2D73E">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02E3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1A7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120°57′38.569″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32A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32°12′00.117″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A76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石港镇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9EC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渔湾村</w:t>
            </w:r>
          </w:p>
          <w:p w14:paraId="634B073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马道村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2D3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41.7 </w:t>
            </w:r>
          </w:p>
        </w:tc>
      </w:tr>
      <w:tr w14:paraId="7861CF69">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A96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8F3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120°53′52.561″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716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32°14′46.010″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35A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石港镇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7B9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四港村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7A2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99.9 </w:t>
            </w:r>
          </w:p>
        </w:tc>
      </w:tr>
      <w:tr w14:paraId="127B4A2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0E1D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BF0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120°59′03.283″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252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32°07′50.329″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C53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AED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草庙村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F75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20.9 </w:t>
            </w:r>
          </w:p>
        </w:tc>
      </w:tr>
      <w:tr w14:paraId="5B520F8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BC8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E6F8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121°06′09.873″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F1D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32°09′35.796″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A65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845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华芦村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179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34.1 </w:t>
            </w:r>
          </w:p>
        </w:tc>
      </w:tr>
      <w:tr w14:paraId="44F4B12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7A3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863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121°02′49.141″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A76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32°09′32.961″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DB8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6F5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B543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25.3 </w:t>
            </w:r>
          </w:p>
        </w:tc>
      </w:tr>
      <w:tr w14:paraId="3AF924D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F4D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C2D6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121°02′36.607″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B43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32°09′29.562″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010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405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4D5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25.7 </w:t>
            </w:r>
          </w:p>
        </w:tc>
      </w:tr>
      <w:tr w14:paraId="4BDFD8E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8CC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3F1C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120°59′17.001″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89B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32°07′55.135″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497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0956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w:t>
            </w:r>
          </w:p>
          <w:p w14:paraId="3C3D7E7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居委会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FE8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50.7 </w:t>
            </w:r>
          </w:p>
        </w:tc>
      </w:tr>
      <w:tr w14:paraId="6401F30F">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F04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03F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120°59′05.509″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480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32°08′13.971″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435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C29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草庙村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75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83.0 </w:t>
            </w:r>
          </w:p>
        </w:tc>
      </w:tr>
      <w:tr w14:paraId="587B05A9">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F14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E34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121°00′39.535″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610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32°08′01.563″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8A5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664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亭东村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C98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108.1 </w:t>
            </w:r>
          </w:p>
        </w:tc>
      </w:tr>
      <w:tr w14:paraId="5EBCE9BD">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379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99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EDF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121°00′27.402″</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CC0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32°09′04.142″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B2EA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D7A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亭东村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985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25.1 </w:t>
            </w:r>
          </w:p>
        </w:tc>
      </w:tr>
      <w:tr w14:paraId="7055426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671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2C5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121°00′37.671″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7AC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32°09′07.682″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34F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D36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亭东村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661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50.2 </w:t>
            </w:r>
          </w:p>
        </w:tc>
      </w:tr>
      <w:tr w14:paraId="135FFA3C">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329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11E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121°00′47.344″</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B36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32°09′11.137″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F00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AC7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亭东村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5A9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23.9 </w:t>
            </w:r>
          </w:p>
        </w:tc>
      </w:tr>
      <w:tr w14:paraId="6899DEB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7E0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C17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121°01′16.016″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04E9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32°09′17.034″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FF9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AA1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C71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113.2 </w:t>
            </w:r>
          </w:p>
        </w:tc>
      </w:tr>
      <w:tr w14:paraId="548197B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AB1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152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120°58′55.023″</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C71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32°07′48.464″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3E5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C54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草庙村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6BE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29.8 </w:t>
            </w:r>
          </w:p>
        </w:tc>
      </w:tr>
      <w:tr w14:paraId="32D78A8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171C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099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121°01′17.379″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ACB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32°09′00.682″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89E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791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FB3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37.2 </w:t>
            </w:r>
          </w:p>
        </w:tc>
      </w:tr>
      <w:tr w14:paraId="5FA82596">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BDD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8DD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121°00′55.435″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181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32°09′12.114″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724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08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5A6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28.0 </w:t>
            </w:r>
          </w:p>
        </w:tc>
      </w:tr>
      <w:tr w14:paraId="2226C0CF">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26B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F6D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121°01′33.407″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3FB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32°06′36.527″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150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0DB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西禅寺村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CCC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45.2 </w:t>
            </w:r>
          </w:p>
        </w:tc>
      </w:tr>
      <w:tr w14:paraId="7D26A15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FBA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E35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121°02′23.887″</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4F8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32°08′59.204″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E1A1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401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6FE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217.8 </w:t>
            </w:r>
          </w:p>
        </w:tc>
      </w:tr>
      <w:tr w14:paraId="4593DEDA">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81E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807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121°02′17.466″</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522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32°09′23.129″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54D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西亭镇</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DC8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八总桥村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EC5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49.9 </w:t>
            </w:r>
          </w:p>
        </w:tc>
      </w:tr>
      <w:tr w14:paraId="049C07D6">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ED2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109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382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121°05′50.198″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B1C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32°03′07.902″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A19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金新街道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924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果园社区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B0F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30.8 </w:t>
            </w:r>
          </w:p>
        </w:tc>
      </w:tr>
      <w:tr w14:paraId="00F7CE80">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24C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C19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121°06′06.701″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B6B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32°04′39.935″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6C9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13B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港北村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074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32.9 </w:t>
            </w:r>
          </w:p>
        </w:tc>
      </w:tr>
      <w:tr w14:paraId="41CB01A3">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891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C4A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121°06′05.765″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49E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32°05′09.476″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7B6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5E3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城东村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315D4">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38.8 </w:t>
            </w:r>
          </w:p>
        </w:tc>
      </w:tr>
      <w:tr w14:paraId="76750A7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2DE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59AC">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121°02′36.755″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0F1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32°06′06.505″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80F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2DC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虹西村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8392">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20.1 </w:t>
            </w:r>
          </w:p>
        </w:tc>
      </w:tr>
      <w:tr w14:paraId="1CEC0912">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DEC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665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121°07′42.601″</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4F6E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32°06′18.497″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5A0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313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平桥镇村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B8E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42.2 </w:t>
            </w:r>
          </w:p>
        </w:tc>
      </w:tr>
      <w:tr w14:paraId="278C436B">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D8E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6F5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121°07′38.495″</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E0F3">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32°05′45.071″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3996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05D7">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平桥镇村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C5FE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20.8 </w:t>
            </w:r>
          </w:p>
        </w:tc>
      </w:tr>
      <w:tr w14:paraId="0C145E94">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24F1">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115</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F8A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121°06′00.668″</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C50A">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32°05′09.732″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9405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09C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城东村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3709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48.5 </w:t>
            </w:r>
          </w:p>
        </w:tc>
      </w:tr>
      <w:tr w14:paraId="11768615">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7B16">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9E2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121°06′17.179″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3EA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32°05′02.385″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944F">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881DB">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港北村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CE0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40.0 </w:t>
            </w:r>
          </w:p>
        </w:tc>
      </w:tr>
      <w:tr w14:paraId="602DAE87">
        <w:tblPrEx>
          <w:tblCellMar>
            <w:top w:w="0" w:type="dxa"/>
            <w:left w:w="108" w:type="dxa"/>
            <w:bottom w:w="0" w:type="dxa"/>
            <w:right w:w="108" w:type="dxa"/>
          </w:tblCellMar>
        </w:tblPrEx>
        <w:trPr>
          <w:trHeight w:val="468"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1A4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117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F92D">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121°06′58.669″</w:t>
            </w:r>
          </w:p>
        </w:tc>
        <w:tc>
          <w:tcPr>
            <w:tcW w:w="2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26C5">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32°06′12.995″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8CB8">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金沙街道</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F0B0">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平桥镇村</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1E19">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 xml:space="preserve">38.4 </w:t>
            </w:r>
          </w:p>
        </w:tc>
      </w:tr>
      <w:tr w14:paraId="0FCFAF2E">
        <w:tblPrEx>
          <w:tblCellMar>
            <w:top w:w="0" w:type="dxa"/>
            <w:left w:w="108" w:type="dxa"/>
            <w:bottom w:w="0" w:type="dxa"/>
            <w:right w:w="108" w:type="dxa"/>
          </w:tblCellMar>
        </w:tblPrEx>
        <w:trPr>
          <w:trHeight w:val="512" w:hRule="atLeast"/>
          <w:jc w:val="center"/>
        </w:trPr>
        <w:tc>
          <w:tcPr>
            <w:tcW w:w="83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CB1D">
            <w:pPr>
              <w:widowControl/>
              <w:autoSpaceDE/>
              <w:autoSpaceDN/>
              <w:snapToGrid/>
              <w:spacing w:line="420" w:lineRule="exact"/>
              <w:ind w:firstLine="0"/>
              <w:jc w:val="center"/>
              <w:textAlignment w:val="center"/>
              <w:rPr>
                <w:snapToGrid/>
                <w:color w:val="000000"/>
                <w:sz w:val="27"/>
                <w:szCs w:val="27"/>
              </w:rPr>
            </w:pPr>
            <w:r>
              <w:rPr>
                <w:rFonts w:hint="eastAsia"/>
                <w:b/>
                <w:bCs/>
                <w:snapToGrid/>
                <w:color w:val="000000"/>
                <w:sz w:val="27"/>
                <w:szCs w:val="27"/>
              </w:rPr>
              <w:t>合计</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196E">
            <w:pPr>
              <w:widowControl/>
              <w:autoSpaceDE/>
              <w:autoSpaceDN/>
              <w:snapToGrid/>
              <w:spacing w:line="420" w:lineRule="exact"/>
              <w:ind w:firstLine="0"/>
              <w:jc w:val="center"/>
              <w:textAlignment w:val="center"/>
              <w:rPr>
                <w:snapToGrid/>
                <w:color w:val="000000"/>
                <w:sz w:val="27"/>
                <w:szCs w:val="27"/>
              </w:rPr>
            </w:pPr>
            <w:r>
              <w:rPr>
                <w:rFonts w:hint="eastAsia"/>
                <w:snapToGrid/>
                <w:color w:val="000000"/>
                <w:sz w:val="27"/>
                <w:szCs w:val="27"/>
              </w:rPr>
              <w:t>7421.2</w:t>
            </w:r>
          </w:p>
        </w:tc>
      </w:tr>
    </w:tbl>
    <w:p w14:paraId="241331A6">
      <w:pPr>
        <w:autoSpaceDE/>
        <w:autoSpaceDN/>
        <w:snapToGrid/>
        <w:spacing w:line="420" w:lineRule="exact"/>
        <w:ind w:firstLine="0"/>
        <w:rPr>
          <w:rFonts w:eastAsia="仿宋_GB2312"/>
          <w:bCs/>
          <w:snapToGrid/>
          <w:color w:val="000000"/>
          <w:kern w:val="2"/>
          <w:szCs w:val="32"/>
        </w:rPr>
      </w:pPr>
    </w:p>
    <w:sectPr>
      <w:headerReference r:id="rId9" w:type="default"/>
      <w:footerReference r:id="rId11" w:type="default"/>
      <w:headerReference r:id="rId10" w:type="even"/>
      <w:footerReference r:id="rId12" w:type="even"/>
      <w:pgSz w:w="11906" w:h="16838"/>
      <w:pgMar w:top="1814" w:right="1531" w:bottom="1985" w:left="1531" w:header="720" w:footer="1474" w:gutter="0"/>
      <w:paperSrc w:first="15" w:other="15"/>
      <w:cols w:space="720" w:num="1"/>
      <w:docGrid w:type="linesAndChars" w:linePitch="590"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A362EA-976E-4151-93A6-94B90AEA6E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2" w:fontKey="{6C42ECE0-32F4-4D64-8E2B-A25395E1FA39}"/>
  </w:font>
  <w:font w:name="仿宋_GB2312">
    <w:panose1 w:val="02010609030101010101"/>
    <w:charset w:val="86"/>
    <w:family w:val="modern"/>
    <w:pitch w:val="default"/>
    <w:sig w:usb0="00000001" w:usb1="080E0000" w:usb2="00000000" w:usb3="00000000" w:csb0="00040000" w:csb1="00000000"/>
    <w:embedRegular r:id="rId3" w:fontKey="{5F2EFE41-C128-4964-9D20-A2503725EE2E}"/>
  </w:font>
  <w:font w:name="Arial">
    <w:panose1 w:val="020B0604020202020204"/>
    <w:charset w:val="00"/>
    <w:family w:val="swiss"/>
    <w:pitch w:val="default"/>
    <w:sig w:usb0="E0002EFF" w:usb1="C000785B" w:usb2="00000009" w:usb3="00000000" w:csb0="400001FF" w:csb1="FFFF0000"/>
    <w:embedRegular r:id="rId4" w:fontKey="{8B937794-0461-4AEC-8285-1BE40CF8ECBE}"/>
  </w:font>
  <w:font w:name="方正小标宋_GBK">
    <w:panose1 w:val="03000509000000000000"/>
    <w:charset w:val="86"/>
    <w:family w:val="script"/>
    <w:pitch w:val="default"/>
    <w:sig w:usb0="00000001" w:usb1="080E0000" w:usb2="00000000" w:usb3="00000000" w:csb0="00040000" w:csb1="00000000"/>
    <w:embedRegular r:id="rId5" w:fontKey="{A4ECBDE2-7C0B-40CC-B7AA-C68A759808B9}"/>
  </w:font>
  <w:font w:name="方正楷体_GBK">
    <w:panose1 w:val="03000509000000000000"/>
    <w:charset w:val="86"/>
    <w:family w:val="script"/>
    <w:pitch w:val="default"/>
    <w:sig w:usb0="00000001" w:usb1="080E0000" w:usb2="00000000" w:usb3="00000000" w:csb0="00040000" w:csb1="00000000"/>
    <w:embedRegular r:id="rId6" w:fontKey="{BC5E1E20-37B5-4141-9F6B-D5A4D9D1FBD2}"/>
  </w:font>
  <w:font w:name="方正黑体_GBK">
    <w:panose1 w:val="03000509000000000000"/>
    <w:charset w:val="86"/>
    <w:family w:val="script"/>
    <w:pitch w:val="default"/>
    <w:sig w:usb0="00000001" w:usb1="080E0000" w:usb2="00000000" w:usb3="00000000" w:csb0="00040000" w:csb1="00000000"/>
    <w:embedRegular r:id="rId7" w:fontKey="{F80301FE-D548-46A3-BD35-60C04F73EF7E}"/>
  </w:font>
  <w:font w:name="汉鼎简大宋">
    <w:altName w:val="宋体"/>
    <w:panose1 w:val="00000000000000000000"/>
    <w:charset w:val="86"/>
    <w:family w:val="modern"/>
    <w:pitch w:val="default"/>
    <w:sig w:usb0="00000000" w:usb1="00000000" w:usb2="00000010" w:usb3="00000000" w:csb0="00040000" w:csb1="00000000"/>
  </w:font>
  <w:font w:name="汉鼎简黑体">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8" w:fontKey="{CD2FCB2A-AC58-41C0-BAD9-21EBAFD65A41}"/>
  </w:font>
  <w:font w:name="微软雅黑">
    <w:panose1 w:val="020B0503020204020204"/>
    <w:charset w:val="86"/>
    <w:family w:val="swiss"/>
    <w:pitch w:val="default"/>
    <w:sig w:usb0="80000287" w:usb1="2ACF3C50" w:usb2="00000016" w:usb3="00000000" w:csb0="0004001F" w:csb1="00000000"/>
    <w:embedRegular r:id="rId9" w:fontKey="{A79E4B14-6A1A-4C18-B9FE-D5B07FE2BD79}"/>
  </w:font>
  <w:font w:name="方正仿宋_GB2312">
    <w:altName w:val="仿宋"/>
    <w:panose1 w:val="00000000000000000000"/>
    <w:charset w:val="86"/>
    <w:family w:val="auto"/>
    <w:pitch w:val="default"/>
    <w:sig w:usb0="00000000" w:usb1="00000000" w:usb2="00000012" w:usb3="00000000" w:csb0="00040001" w:csb1="00000000"/>
    <w:embedRegular r:id="rId10" w:fontKey="{906AF2D3-CB90-4FD7-A13C-75D14B7EDBC6}"/>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A95FA">
    <w:pPr>
      <w:tabs>
        <w:tab w:val="center" w:pos="4153"/>
        <w:tab w:val="right" w:pos="8306"/>
      </w:tabs>
      <w:jc w:val="left"/>
      <w:rPr>
        <w:rFonts w:eastAsia="仿宋_GB2312"/>
        <w:kern w:val="2"/>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posOffset>4925060</wp:posOffset>
              </wp:positionH>
              <wp:positionV relativeFrom="paragraph">
                <wp:posOffset>0</wp:posOffset>
              </wp:positionV>
              <wp:extent cx="66421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64210" cy="1828800"/>
                      </a:xfrm>
                      <a:prstGeom prst="rect">
                        <a:avLst/>
                      </a:prstGeom>
                      <a:noFill/>
                      <a:ln w="6350">
                        <a:noFill/>
                      </a:ln>
                      <a:effectLst/>
                    </wps:spPr>
                    <wps:txbx>
                      <w:txbxContent>
                        <w:p w14:paraId="73A75B5D">
                          <w:pPr>
                            <w:pStyle w:val="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7.8pt;margin-top:0pt;height:144pt;width:52.3pt;mso-position-horizontal-relative:margin;z-index:251661312;mso-width-relative:page;mso-height-relative:page;" filled="f" stroked="f" coordsize="21600,21600" o:gfxdata="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d9QK1gAAAAgBAAAPAAAAAAAAAAEAIAAAACIAAABkcnMv&#10;ZG93bnJldi54bWxQSwECFAAUAAAACACHTuJACwCQxT4CAABwBAAADgAAAAAAAAABACAAAAAlAQAA&#10;ZHJzL2Uyb0RvYy54bWxQSwUGAAAAAAYABgBZAQAA1QUAAAAA&#10;">
              <v:fill on="f" focussize="0,0"/>
              <v:stroke on="f" weight="0.5pt"/>
              <v:imagedata o:title=""/>
              <o:lock v:ext="edit" aspectratio="f"/>
              <v:textbox inset="0mm,0mm,0mm,0mm" style="mso-fit-shape-to-text:t;">
                <w:txbxContent>
                  <w:p w14:paraId="73A75B5D">
                    <w:pPr>
                      <w:pStyle w:val="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2942">
    <w:pPr>
      <w:tabs>
        <w:tab w:val="center" w:pos="4153"/>
        <w:tab w:val="right" w:pos="8306"/>
      </w:tabs>
      <w:jc w:val="left"/>
      <w:rPr>
        <w:rFonts w:eastAsia="仿宋_GB2312"/>
        <w:kern w:val="2"/>
        <w:sz w:val="18"/>
        <w:szCs w:val="32"/>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862AFD">
                          <w:pPr>
                            <w:pStyle w:val="8"/>
                          </w:pPr>
                          <w:r>
                            <w:t xml:space="preserve">— </w:t>
                          </w:r>
                          <w:r>
                            <w:fldChar w:fldCharType="begin"/>
                          </w:r>
                          <w:r>
                            <w:instrText xml:space="preserve"> PAGE  \* MERGEFORMAT </w:instrText>
                          </w:r>
                          <w:r>
                            <w:fldChar w:fldCharType="separate"/>
                          </w:r>
                          <w:r>
                            <w:t>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3A862AFD">
                    <w:pPr>
                      <w:pStyle w:val="8"/>
                    </w:pPr>
                    <w:r>
                      <w:t xml:space="preserve">— </w:t>
                    </w:r>
                    <w:r>
                      <w:fldChar w:fldCharType="begin"/>
                    </w:r>
                    <w:r>
                      <w:instrText xml:space="preserve"> PAGE  \* MERGEFORMAT </w:instrText>
                    </w:r>
                    <w:r>
                      <w:fldChar w:fldCharType="separate"/>
                    </w:r>
                    <w:r>
                      <w:t>34</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39B30">
    <w:pPr>
      <w:tabs>
        <w:tab w:val="center" w:pos="4153"/>
        <w:tab w:val="right" w:pos="8306"/>
      </w:tabs>
      <w:jc w:val="left"/>
      <w:rPr>
        <w:rFonts w:eastAsia="仿宋_GB2312"/>
        <w:kern w:val="2"/>
        <w:sz w:val="18"/>
        <w:szCs w:val="32"/>
      </w:rPr>
    </w:pPr>
    <w:r>
      <w:rPr>
        <w:rFonts w:eastAsia="仿宋_GB2312"/>
        <w:kern w:val="2"/>
        <w:sz w:val="18"/>
        <w:szCs w:val="32"/>
      </w:rPr>
      <mc:AlternateContent>
        <mc:Choice Requires="wps">
          <w:drawing>
            <wp:anchor distT="0" distB="0" distL="114300" distR="114300" simplePos="0" relativeHeight="251660288" behindDoc="0" locked="0" layoutInCell="1" allowOverlap="1">
              <wp:simplePos x="0" y="0"/>
              <wp:positionH relativeFrom="margin">
                <wp:posOffset>4483100</wp:posOffset>
              </wp:positionH>
              <wp:positionV relativeFrom="paragraph">
                <wp:posOffset>0</wp:posOffset>
              </wp:positionV>
              <wp:extent cx="113411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34110" cy="1828800"/>
                      </a:xfrm>
                      <a:prstGeom prst="rect">
                        <a:avLst/>
                      </a:prstGeom>
                      <a:noFill/>
                      <a:ln w="6350">
                        <a:noFill/>
                      </a:ln>
                      <a:effectLst/>
                    </wps:spPr>
                    <wps:txbx>
                      <w:txbxContent>
                        <w:p w14:paraId="7312A1CC">
                          <w:pPr>
                            <w:tabs>
                              <w:tab w:val="center" w:pos="4153"/>
                              <w:tab w:val="right" w:pos="8306"/>
                            </w:tabs>
                            <w:jc w:val="left"/>
                            <w:rPr>
                              <w:rFonts w:eastAsia="仿宋_GB2312"/>
                              <w:kern w:val="2"/>
                              <w:sz w:val="28"/>
                              <w:szCs w:val="28"/>
                            </w:rPr>
                          </w:pPr>
                          <w:r>
                            <w:rPr>
                              <w:rFonts w:eastAsia="仿宋_GB2312"/>
                              <w:kern w:val="2"/>
                              <w:sz w:val="28"/>
                              <w:szCs w:val="28"/>
                            </w:rPr>
                            <w:t xml:space="preserve">— </w:t>
                          </w:r>
                          <w:r>
                            <w:rPr>
                              <w:rFonts w:eastAsia="仿宋_GB2312"/>
                              <w:kern w:val="2"/>
                              <w:sz w:val="28"/>
                              <w:szCs w:val="28"/>
                            </w:rPr>
                            <w:fldChar w:fldCharType="begin"/>
                          </w:r>
                          <w:r>
                            <w:rPr>
                              <w:rFonts w:eastAsia="仿宋_GB2312"/>
                              <w:kern w:val="2"/>
                              <w:sz w:val="28"/>
                              <w:szCs w:val="28"/>
                            </w:rPr>
                            <w:instrText xml:space="preserve"> PAGE  \* MERGEFORMAT </w:instrText>
                          </w:r>
                          <w:r>
                            <w:rPr>
                              <w:rFonts w:eastAsia="仿宋_GB2312"/>
                              <w:kern w:val="2"/>
                              <w:sz w:val="28"/>
                              <w:szCs w:val="28"/>
                            </w:rPr>
                            <w:fldChar w:fldCharType="separate"/>
                          </w:r>
                          <w:r>
                            <w:rPr>
                              <w:rFonts w:eastAsia="仿宋_GB2312"/>
                              <w:kern w:val="2"/>
                              <w:sz w:val="28"/>
                              <w:szCs w:val="28"/>
                            </w:rPr>
                            <w:t>37</w:t>
                          </w:r>
                          <w:r>
                            <w:rPr>
                              <w:rFonts w:eastAsia="仿宋_GB2312"/>
                              <w:kern w:val="2"/>
                              <w:sz w:val="28"/>
                              <w:szCs w:val="28"/>
                            </w:rPr>
                            <w:fldChar w:fldCharType="end"/>
                          </w:r>
                          <w:r>
                            <w:rPr>
                              <w:rFonts w:eastAsia="仿宋_GB2312"/>
                              <w:kern w:val="2"/>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3pt;margin-top:0pt;height:144pt;width:89.3pt;mso-position-horizontal-relative:margin;z-index:251660288;mso-width-relative:page;mso-height-relative:page;" filled="f" stroked="f" coordsize="21600,21600" o:gfxdata="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TAyw1wAAAAgBAAAPAAAAAAAAAAEAIAAAACIAAABk&#10;cnMvZG93bnJldi54bWxQSwECFAAUAAAACACHTuJAIm7SX0ACAABzBAAADgAAAAAAAAABACAAAAAm&#10;AQAAZHJzL2Uyb0RvYy54bWxQSwUGAAAAAAYABgBZAQAA2AUAAAAA&#10;">
              <v:fill on="f" focussize="0,0"/>
              <v:stroke on="f" weight="0.5pt"/>
              <v:imagedata o:title=""/>
              <o:lock v:ext="edit" aspectratio="f"/>
              <v:textbox inset="0mm,0mm,0mm,0mm" style="mso-fit-shape-to-text:t;">
                <w:txbxContent>
                  <w:p w14:paraId="7312A1CC">
                    <w:pPr>
                      <w:tabs>
                        <w:tab w:val="center" w:pos="4153"/>
                        <w:tab w:val="right" w:pos="8306"/>
                      </w:tabs>
                      <w:jc w:val="left"/>
                      <w:rPr>
                        <w:rFonts w:eastAsia="仿宋_GB2312"/>
                        <w:kern w:val="2"/>
                        <w:sz w:val="28"/>
                        <w:szCs w:val="28"/>
                      </w:rPr>
                    </w:pPr>
                    <w:r>
                      <w:rPr>
                        <w:rFonts w:eastAsia="仿宋_GB2312"/>
                        <w:kern w:val="2"/>
                        <w:sz w:val="28"/>
                        <w:szCs w:val="28"/>
                      </w:rPr>
                      <w:t xml:space="preserve">— </w:t>
                    </w:r>
                    <w:r>
                      <w:rPr>
                        <w:rFonts w:eastAsia="仿宋_GB2312"/>
                        <w:kern w:val="2"/>
                        <w:sz w:val="28"/>
                        <w:szCs w:val="28"/>
                      </w:rPr>
                      <w:fldChar w:fldCharType="begin"/>
                    </w:r>
                    <w:r>
                      <w:rPr>
                        <w:rFonts w:eastAsia="仿宋_GB2312"/>
                        <w:kern w:val="2"/>
                        <w:sz w:val="28"/>
                        <w:szCs w:val="28"/>
                      </w:rPr>
                      <w:instrText xml:space="preserve"> PAGE  \* MERGEFORMAT </w:instrText>
                    </w:r>
                    <w:r>
                      <w:rPr>
                        <w:rFonts w:eastAsia="仿宋_GB2312"/>
                        <w:kern w:val="2"/>
                        <w:sz w:val="28"/>
                        <w:szCs w:val="28"/>
                      </w:rPr>
                      <w:fldChar w:fldCharType="separate"/>
                    </w:r>
                    <w:r>
                      <w:rPr>
                        <w:rFonts w:eastAsia="仿宋_GB2312"/>
                        <w:kern w:val="2"/>
                        <w:sz w:val="28"/>
                        <w:szCs w:val="28"/>
                      </w:rPr>
                      <w:t>37</w:t>
                    </w:r>
                    <w:r>
                      <w:rPr>
                        <w:rFonts w:eastAsia="仿宋_GB2312"/>
                        <w:kern w:val="2"/>
                        <w:sz w:val="28"/>
                        <w:szCs w:val="28"/>
                      </w:rPr>
                      <w:fldChar w:fldCharType="end"/>
                    </w:r>
                    <w:r>
                      <w:rPr>
                        <w:rFonts w:eastAsia="仿宋_GB2312"/>
                        <w:kern w:val="2"/>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4ED55">
    <w:pPr>
      <w:tabs>
        <w:tab w:val="center" w:pos="4153"/>
        <w:tab w:val="right" w:pos="8306"/>
      </w:tabs>
      <w:jc w:val="left"/>
      <w:rPr>
        <w:rFonts w:eastAsia="仿宋_GB2312"/>
        <w:kern w:val="2"/>
        <w:sz w:val="18"/>
        <w:szCs w:val="32"/>
      </w:rPr>
    </w:pPr>
    <w:r>
      <w:rPr>
        <w:rFonts w:eastAsia="仿宋_GB2312"/>
        <w:kern w:val="2"/>
        <w:sz w:val="18"/>
        <w:szCs w:val="32"/>
      </w:rPr>
      <mc:AlternateContent>
        <mc:Choice Requires="wps">
          <w:drawing>
            <wp:anchor distT="0" distB="0" distL="114300" distR="114300" simplePos="0" relativeHeight="251662336" behindDoc="0" locked="0" layoutInCell="1" allowOverlap="1">
              <wp:simplePos x="0" y="0"/>
              <wp:positionH relativeFrom="margin">
                <wp:posOffset>-24765</wp:posOffset>
              </wp:positionH>
              <wp:positionV relativeFrom="paragraph">
                <wp:posOffset>-178435</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02F757">
                          <w:pPr>
                            <w:tabs>
                              <w:tab w:val="center" w:pos="4153"/>
                              <w:tab w:val="right" w:pos="8306"/>
                            </w:tabs>
                            <w:ind w:firstLine="280" w:firstLineChars="100"/>
                            <w:jc w:val="left"/>
                            <w:rPr>
                              <w:rFonts w:eastAsia="仿宋_GB2312"/>
                              <w:kern w:val="2"/>
                              <w:sz w:val="28"/>
                              <w:szCs w:val="28"/>
                            </w:rPr>
                          </w:pPr>
                          <w:r>
                            <w:rPr>
                              <w:rFonts w:eastAsia="仿宋_GB2312"/>
                              <w:kern w:val="2"/>
                              <w:sz w:val="28"/>
                              <w:szCs w:val="28"/>
                            </w:rPr>
                            <w:t xml:space="preserve">— </w:t>
                          </w:r>
                          <w:r>
                            <w:rPr>
                              <w:rFonts w:eastAsia="仿宋_GB2312"/>
                              <w:kern w:val="2"/>
                              <w:sz w:val="28"/>
                              <w:szCs w:val="28"/>
                            </w:rPr>
                            <w:fldChar w:fldCharType="begin"/>
                          </w:r>
                          <w:r>
                            <w:rPr>
                              <w:rFonts w:eastAsia="仿宋_GB2312"/>
                              <w:kern w:val="2"/>
                              <w:sz w:val="28"/>
                              <w:szCs w:val="28"/>
                            </w:rPr>
                            <w:instrText xml:space="preserve"> PAGE  \* MERGEFORMAT </w:instrText>
                          </w:r>
                          <w:r>
                            <w:rPr>
                              <w:rFonts w:eastAsia="仿宋_GB2312"/>
                              <w:kern w:val="2"/>
                              <w:sz w:val="28"/>
                              <w:szCs w:val="28"/>
                            </w:rPr>
                            <w:fldChar w:fldCharType="separate"/>
                          </w:r>
                          <w:r>
                            <w:rPr>
                              <w:rFonts w:eastAsia="仿宋_GB2312"/>
                              <w:kern w:val="2"/>
                              <w:sz w:val="28"/>
                              <w:szCs w:val="28"/>
                            </w:rPr>
                            <w:t>38</w:t>
                          </w:r>
                          <w:r>
                            <w:rPr>
                              <w:rFonts w:eastAsia="仿宋_GB2312"/>
                              <w:kern w:val="2"/>
                              <w:sz w:val="28"/>
                              <w:szCs w:val="28"/>
                            </w:rPr>
                            <w:fldChar w:fldCharType="end"/>
                          </w:r>
                          <w:r>
                            <w:rPr>
                              <w:rFonts w:eastAsia="仿宋_GB2312"/>
                              <w:kern w:val="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5pt;margin-top:-14.05pt;height:144pt;width:144pt;mso-position-horizontal-relative:margin;mso-wrap-style:none;z-index:251662336;mso-width-relative:page;mso-height-relative:page;" filled="f" stroked="f" coordsize="21600,21600" o:gfxdata="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uJnj9cAAAAKAQAADwAAAAAAAAABACAAAAAiAAAAZHJzL2Rvd25y&#10;ZXYueG1sUEsBAhQAFAAAAAgAh07iQKW1u+M4AgAAcQQAAA4AAAAAAAAAAQAgAAAAJgEAAGRycy9l&#10;Mm9Eb2MueG1sUEsFBgAAAAAGAAYAWQEAANAFAAAAAA==&#10;">
              <v:fill on="f" focussize="0,0"/>
              <v:stroke on="f" weight="0.5pt"/>
              <v:imagedata o:title=""/>
              <o:lock v:ext="edit" aspectratio="f"/>
              <v:textbox inset="0mm,0mm,0mm,0mm" style="mso-fit-shape-to-text:t;">
                <w:txbxContent>
                  <w:p w14:paraId="3802F757">
                    <w:pPr>
                      <w:tabs>
                        <w:tab w:val="center" w:pos="4153"/>
                        <w:tab w:val="right" w:pos="8306"/>
                      </w:tabs>
                      <w:ind w:firstLine="280" w:firstLineChars="100"/>
                      <w:jc w:val="left"/>
                      <w:rPr>
                        <w:rFonts w:eastAsia="仿宋_GB2312"/>
                        <w:kern w:val="2"/>
                        <w:sz w:val="28"/>
                        <w:szCs w:val="28"/>
                      </w:rPr>
                    </w:pPr>
                    <w:r>
                      <w:rPr>
                        <w:rFonts w:eastAsia="仿宋_GB2312"/>
                        <w:kern w:val="2"/>
                        <w:sz w:val="28"/>
                        <w:szCs w:val="28"/>
                      </w:rPr>
                      <w:t xml:space="preserve">— </w:t>
                    </w:r>
                    <w:r>
                      <w:rPr>
                        <w:rFonts w:eastAsia="仿宋_GB2312"/>
                        <w:kern w:val="2"/>
                        <w:sz w:val="28"/>
                        <w:szCs w:val="28"/>
                      </w:rPr>
                      <w:fldChar w:fldCharType="begin"/>
                    </w:r>
                    <w:r>
                      <w:rPr>
                        <w:rFonts w:eastAsia="仿宋_GB2312"/>
                        <w:kern w:val="2"/>
                        <w:sz w:val="28"/>
                        <w:szCs w:val="28"/>
                      </w:rPr>
                      <w:instrText xml:space="preserve"> PAGE  \* MERGEFORMAT </w:instrText>
                    </w:r>
                    <w:r>
                      <w:rPr>
                        <w:rFonts w:eastAsia="仿宋_GB2312"/>
                        <w:kern w:val="2"/>
                        <w:sz w:val="28"/>
                        <w:szCs w:val="28"/>
                      </w:rPr>
                      <w:fldChar w:fldCharType="separate"/>
                    </w:r>
                    <w:r>
                      <w:rPr>
                        <w:rFonts w:eastAsia="仿宋_GB2312"/>
                        <w:kern w:val="2"/>
                        <w:sz w:val="28"/>
                        <w:szCs w:val="28"/>
                      </w:rPr>
                      <w:t>38</w:t>
                    </w:r>
                    <w:r>
                      <w:rPr>
                        <w:rFonts w:eastAsia="仿宋_GB2312"/>
                        <w:kern w:val="2"/>
                        <w:sz w:val="28"/>
                        <w:szCs w:val="28"/>
                      </w:rPr>
                      <w:fldChar w:fldCharType="end"/>
                    </w:r>
                    <w:r>
                      <w:rPr>
                        <w:rFonts w:eastAsia="仿宋_GB2312"/>
                        <w:kern w:val="2"/>
                        <w:sz w:val="28"/>
                        <w:szCs w:val="28"/>
                      </w:rPr>
                      <w:t xml:space="preserve"> —</w:t>
                    </w:r>
                  </w:p>
                </w:txbxContent>
              </v:textbox>
            </v:shape>
          </w:pict>
        </mc:Fallback>
      </mc:AlternateContent>
    </w:r>
    <w:r>
      <w:rPr>
        <w:rFonts w:eastAsia="仿宋_GB2312"/>
        <w:kern w:val="2"/>
        <w:sz w:val="18"/>
        <w:szCs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A15C6F">
                          <w:pPr>
                            <w:autoSpaceDE/>
                            <w:autoSpaceDN/>
                            <w:snapToGrid/>
                            <w:spacing w:line="240" w:lineRule="auto"/>
                            <w:ind w:firstLine="0"/>
                            <w:rPr>
                              <w:rFonts w:eastAsia="仿宋_GB2312"/>
                              <w:snapToGrid/>
                              <w:kern w:val="2"/>
                              <w:szCs w:val="32"/>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14:paraId="30A15C6F">
                    <w:pPr>
                      <w:autoSpaceDE/>
                      <w:autoSpaceDN/>
                      <w:snapToGrid/>
                      <w:spacing w:line="240" w:lineRule="auto"/>
                      <w:ind w:firstLine="0"/>
                      <w:rPr>
                        <w:rFonts w:eastAsia="仿宋_GB2312"/>
                        <w:snapToGrid/>
                        <w:kern w:val="2"/>
                        <w:szCs w:val="3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3C9C9">
    <w:pPr>
      <w:pStyle w:val="8"/>
      <w:ind w:left="320" w:leftChars="100" w:right="320" w:rightChars="100"/>
      <w:jc w:val="right"/>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3C9DDC">
                          <w:pPr>
                            <w:pStyle w:val="8"/>
                          </w:pPr>
                          <w:r>
                            <w:t xml:space="preserve">— </w:t>
                          </w:r>
                          <w:r>
                            <w:fldChar w:fldCharType="begin"/>
                          </w:r>
                          <w:r>
                            <w:instrText xml:space="preserve"> PAGE  \* MERGEFORMAT </w:instrText>
                          </w:r>
                          <w:r>
                            <w:fldChar w:fldCharType="separate"/>
                          </w:r>
                          <w:r>
                            <w:t>57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4E3C9DDC">
                    <w:pPr>
                      <w:pStyle w:val="8"/>
                    </w:pPr>
                    <w:r>
                      <w:t xml:space="preserve">— </w:t>
                    </w:r>
                    <w:r>
                      <w:fldChar w:fldCharType="begin"/>
                    </w:r>
                    <w:r>
                      <w:instrText xml:space="preserve"> PAGE  \* MERGEFORMAT </w:instrText>
                    </w:r>
                    <w:r>
                      <w:fldChar w:fldCharType="separate"/>
                    </w:r>
                    <w:r>
                      <w:t>57</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97332">
    <w:pPr>
      <w:pStyle w:val="8"/>
      <w:ind w:left="320" w:leftChars="100" w:right="320" w:rightChars="100"/>
      <w:jc w:val="both"/>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62E4B7">
                          <w:pPr>
                            <w:pStyle w:val="8"/>
                          </w:pPr>
                          <w:r>
                            <w:t xml:space="preserve">— </w:t>
                          </w:r>
                          <w:r>
                            <w:fldChar w:fldCharType="begin"/>
                          </w:r>
                          <w:r>
                            <w:instrText xml:space="preserve"> PAGE  \* MERGEFORMAT </w:instrText>
                          </w:r>
                          <w:r>
                            <w:fldChar w:fldCharType="separate"/>
                          </w:r>
                          <w:r>
                            <w:t>56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5D62E4B7">
                    <w:pPr>
                      <w:pStyle w:val="8"/>
                    </w:pPr>
                    <w:r>
                      <w:t xml:space="preserve">— </w:t>
                    </w:r>
                    <w:r>
                      <w:fldChar w:fldCharType="begin"/>
                    </w:r>
                    <w:r>
                      <w:instrText xml:space="preserve"> PAGE  \* MERGEFORMAT </w:instrText>
                    </w:r>
                    <w:r>
                      <w:fldChar w:fldCharType="separate"/>
                    </w:r>
                    <w:r>
                      <w:t>56</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76842">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800F3">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87F567"/>
    <w:multiLevelType w:val="singleLevel"/>
    <w:tmpl w:val="1887F567"/>
    <w:lvl w:ilvl="0" w:tentative="0">
      <w:start w:val="2"/>
      <w:numFmt w:val="chineseCounting"/>
      <w:suff w:val="space"/>
      <w:lvlText w:val="第%1条"/>
      <w:lvlJc w:val="left"/>
      <w:pPr>
        <w:ind w:left="568" w:firstLine="0"/>
      </w:pPr>
      <w:rPr>
        <w:rFonts w:hint="eastAsia"/>
      </w:rPr>
    </w:lvl>
  </w:abstractNum>
  <w:abstractNum w:abstractNumId="1">
    <w:nsid w:val="51CC5C9E"/>
    <w:multiLevelType w:val="singleLevel"/>
    <w:tmpl w:val="51CC5C9E"/>
    <w:lvl w:ilvl="0" w:tentative="0">
      <w:start w:val="10"/>
      <w:numFmt w:val="chineseCounting"/>
      <w:suff w:val="space"/>
      <w:lvlText w:val="第%1节"/>
      <w:lvlJc w:val="left"/>
      <w:pPr>
        <w:ind w:left="600" w:firstLine="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attachedTemplate r:id="rId1"/>
  <w:documentProtection w:enforcement="0"/>
  <w:defaultTabStop w:val="425"/>
  <w:evenAndOddHeaders w:val="1"/>
  <w:drawingGridHorizontalSpacing w:val="3"/>
  <w:drawingGridVerticalSpacing w:val="295"/>
  <w:noPunctuationKerning w:val="1"/>
  <w:characterSpacingControl w:val="compressPunctuation"/>
  <w:noLineBreaksAfter w:lang="zh-CN" w:val="([{·‘“〈《「『【〔〖（．［｛￡￥"/>
  <w:noLineBreaksBefore w:lang="zh-CN" w:val="!),.:;?]}¨·ˇˉ―‖’”…∶、。〃々〉》」』】〕〗！＂％＇），．：；？］｀｜｝～￠"/>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4NTBhMWI0NmRjNGFiNGJiNzYyNjg5NTU3Y2M5ZGQifQ=="/>
  </w:docVars>
  <w:rsids>
    <w:rsidRoot w:val="1E5C0704"/>
    <w:rsid w:val="00004491"/>
    <w:rsid w:val="000141A7"/>
    <w:rsid w:val="00026EC9"/>
    <w:rsid w:val="0003794B"/>
    <w:rsid w:val="0004799B"/>
    <w:rsid w:val="000523C7"/>
    <w:rsid w:val="00085B2E"/>
    <w:rsid w:val="00086865"/>
    <w:rsid w:val="00092103"/>
    <w:rsid w:val="00092509"/>
    <w:rsid w:val="000A0DB4"/>
    <w:rsid w:val="001236ED"/>
    <w:rsid w:val="001315D9"/>
    <w:rsid w:val="001506EF"/>
    <w:rsid w:val="001C63B2"/>
    <w:rsid w:val="001F5FB5"/>
    <w:rsid w:val="00245BF1"/>
    <w:rsid w:val="0025222B"/>
    <w:rsid w:val="0025543A"/>
    <w:rsid w:val="002B2388"/>
    <w:rsid w:val="002C52AB"/>
    <w:rsid w:val="002C67E8"/>
    <w:rsid w:val="00310770"/>
    <w:rsid w:val="00346883"/>
    <w:rsid w:val="0035559D"/>
    <w:rsid w:val="003659B7"/>
    <w:rsid w:val="00375267"/>
    <w:rsid w:val="00390A6E"/>
    <w:rsid w:val="003C7762"/>
    <w:rsid w:val="003D78FE"/>
    <w:rsid w:val="003F2C4E"/>
    <w:rsid w:val="00413219"/>
    <w:rsid w:val="0047108C"/>
    <w:rsid w:val="00494472"/>
    <w:rsid w:val="004A6953"/>
    <w:rsid w:val="004E4535"/>
    <w:rsid w:val="004E5B7E"/>
    <w:rsid w:val="004E7F81"/>
    <w:rsid w:val="004F5C29"/>
    <w:rsid w:val="00501DED"/>
    <w:rsid w:val="00514536"/>
    <w:rsid w:val="00523DDE"/>
    <w:rsid w:val="005376CE"/>
    <w:rsid w:val="005421C5"/>
    <w:rsid w:val="00544264"/>
    <w:rsid w:val="00561AB0"/>
    <w:rsid w:val="00594C94"/>
    <w:rsid w:val="005A0672"/>
    <w:rsid w:val="005C7B75"/>
    <w:rsid w:val="005D2133"/>
    <w:rsid w:val="005F1039"/>
    <w:rsid w:val="00613EE1"/>
    <w:rsid w:val="0062711A"/>
    <w:rsid w:val="00680F42"/>
    <w:rsid w:val="006A5F49"/>
    <w:rsid w:val="006A7186"/>
    <w:rsid w:val="006C67D5"/>
    <w:rsid w:val="006D05F9"/>
    <w:rsid w:val="006E59B5"/>
    <w:rsid w:val="006E6CA8"/>
    <w:rsid w:val="006F58DE"/>
    <w:rsid w:val="00712917"/>
    <w:rsid w:val="00737298"/>
    <w:rsid w:val="007518A1"/>
    <w:rsid w:val="007535B8"/>
    <w:rsid w:val="0075378D"/>
    <w:rsid w:val="007573BB"/>
    <w:rsid w:val="007A4692"/>
    <w:rsid w:val="007A66C9"/>
    <w:rsid w:val="007D5254"/>
    <w:rsid w:val="008067EF"/>
    <w:rsid w:val="00815853"/>
    <w:rsid w:val="00831A8D"/>
    <w:rsid w:val="00880C5F"/>
    <w:rsid w:val="008C0149"/>
    <w:rsid w:val="008E7D11"/>
    <w:rsid w:val="00904E45"/>
    <w:rsid w:val="00A27EE0"/>
    <w:rsid w:val="00A445C2"/>
    <w:rsid w:val="00A6221F"/>
    <w:rsid w:val="00A76B0B"/>
    <w:rsid w:val="00AB1867"/>
    <w:rsid w:val="00AB6AEF"/>
    <w:rsid w:val="00AC6056"/>
    <w:rsid w:val="00B006F4"/>
    <w:rsid w:val="00B55942"/>
    <w:rsid w:val="00B65B1F"/>
    <w:rsid w:val="00BE7835"/>
    <w:rsid w:val="00C92DDB"/>
    <w:rsid w:val="00D362CA"/>
    <w:rsid w:val="00D62949"/>
    <w:rsid w:val="00D751E3"/>
    <w:rsid w:val="00D76466"/>
    <w:rsid w:val="00D85E3A"/>
    <w:rsid w:val="00DA0C7B"/>
    <w:rsid w:val="00DC1B78"/>
    <w:rsid w:val="00DF0481"/>
    <w:rsid w:val="00E40AA8"/>
    <w:rsid w:val="00E45400"/>
    <w:rsid w:val="00E9721C"/>
    <w:rsid w:val="00EF686C"/>
    <w:rsid w:val="00F2362B"/>
    <w:rsid w:val="00F37990"/>
    <w:rsid w:val="00F42CF8"/>
    <w:rsid w:val="00F53AAD"/>
    <w:rsid w:val="00F80D1A"/>
    <w:rsid w:val="00FB22C9"/>
    <w:rsid w:val="00FC4942"/>
    <w:rsid w:val="00FE33C9"/>
    <w:rsid w:val="00FE64D8"/>
    <w:rsid w:val="00FF09BF"/>
    <w:rsid w:val="01877B89"/>
    <w:rsid w:val="01B00EAA"/>
    <w:rsid w:val="01B34309"/>
    <w:rsid w:val="01E66FA5"/>
    <w:rsid w:val="02823997"/>
    <w:rsid w:val="02AB3D4B"/>
    <w:rsid w:val="02B063CF"/>
    <w:rsid w:val="02CC51A2"/>
    <w:rsid w:val="036B7222"/>
    <w:rsid w:val="03A74512"/>
    <w:rsid w:val="04003C23"/>
    <w:rsid w:val="042B5143"/>
    <w:rsid w:val="043D4E77"/>
    <w:rsid w:val="04697A1A"/>
    <w:rsid w:val="04E62E18"/>
    <w:rsid w:val="04F96FF0"/>
    <w:rsid w:val="05045994"/>
    <w:rsid w:val="056D7096"/>
    <w:rsid w:val="059A73BF"/>
    <w:rsid w:val="061749E5"/>
    <w:rsid w:val="0639341C"/>
    <w:rsid w:val="064C314F"/>
    <w:rsid w:val="067B601D"/>
    <w:rsid w:val="068E6DDC"/>
    <w:rsid w:val="06A25465"/>
    <w:rsid w:val="06A74829"/>
    <w:rsid w:val="06EC048E"/>
    <w:rsid w:val="07181283"/>
    <w:rsid w:val="074309F6"/>
    <w:rsid w:val="07FD6DF7"/>
    <w:rsid w:val="07FE5210"/>
    <w:rsid w:val="080812F8"/>
    <w:rsid w:val="08852948"/>
    <w:rsid w:val="08862D93"/>
    <w:rsid w:val="08DD09D6"/>
    <w:rsid w:val="093D1475"/>
    <w:rsid w:val="09862E1C"/>
    <w:rsid w:val="0A0D7099"/>
    <w:rsid w:val="0AB6328D"/>
    <w:rsid w:val="0AE0030A"/>
    <w:rsid w:val="0AF85654"/>
    <w:rsid w:val="0B3D39AE"/>
    <w:rsid w:val="0BAA1044"/>
    <w:rsid w:val="0C445650"/>
    <w:rsid w:val="0C723640"/>
    <w:rsid w:val="0CC92DD2"/>
    <w:rsid w:val="0D4F1296"/>
    <w:rsid w:val="0D692839"/>
    <w:rsid w:val="0D7F3E0A"/>
    <w:rsid w:val="0DA87805"/>
    <w:rsid w:val="0DC425D7"/>
    <w:rsid w:val="0DDD6D83"/>
    <w:rsid w:val="0DEF71E2"/>
    <w:rsid w:val="0E6179B4"/>
    <w:rsid w:val="0F113188"/>
    <w:rsid w:val="0FB11CED"/>
    <w:rsid w:val="0FC226D4"/>
    <w:rsid w:val="0FDA17CC"/>
    <w:rsid w:val="0FE10DAC"/>
    <w:rsid w:val="1017657C"/>
    <w:rsid w:val="102B0279"/>
    <w:rsid w:val="102B64CB"/>
    <w:rsid w:val="1065714F"/>
    <w:rsid w:val="11333889"/>
    <w:rsid w:val="1194423F"/>
    <w:rsid w:val="11D54941"/>
    <w:rsid w:val="120B3232"/>
    <w:rsid w:val="127C300E"/>
    <w:rsid w:val="127C4DBC"/>
    <w:rsid w:val="12D270D2"/>
    <w:rsid w:val="12FB2185"/>
    <w:rsid w:val="13737F6D"/>
    <w:rsid w:val="13AF4D1D"/>
    <w:rsid w:val="13BF31B2"/>
    <w:rsid w:val="141A488D"/>
    <w:rsid w:val="14263231"/>
    <w:rsid w:val="14302302"/>
    <w:rsid w:val="144C6FE7"/>
    <w:rsid w:val="14BB6070"/>
    <w:rsid w:val="15047114"/>
    <w:rsid w:val="15293414"/>
    <w:rsid w:val="15764B30"/>
    <w:rsid w:val="157B3AAB"/>
    <w:rsid w:val="15B605E5"/>
    <w:rsid w:val="15E52610"/>
    <w:rsid w:val="15F07F9B"/>
    <w:rsid w:val="15FD3F36"/>
    <w:rsid w:val="167C538B"/>
    <w:rsid w:val="168406E3"/>
    <w:rsid w:val="16BC1C2B"/>
    <w:rsid w:val="16D36374"/>
    <w:rsid w:val="16EA0980"/>
    <w:rsid w:val="17252B55"/>
    <w:rsid w:val="174C7453"/>
    <w:rsid w:val="185F425B"/>
    <w:rsid w:val="18A706B9"/>
    <w:rsid w:val="18D3325C"/>
    <w:rsid w:val="194F322A"/>
    <w:rsid w:val="19626ACC"/>
    <w:rsid w:val="19924EC5"/>
    <w:rsid w:val="1AC8277F"/>
    <w:rsid w:val="1AD87250"/>
    <w:rsid w:val="1AF44089"/>
    <w:rsid w:val="1B140288"/>
    <w:rsid w:val="1BA64C58"/>
    <w:rsid w:val="1BCA4DEA"/>
    <w:rsid w:val="1C224C26"/>
    <w:rsid w:val="1C304F0F"/>
    <w:rsid w:val="1CE7377A"/>
    <w:rsid w:val="1D4B1F5B"/>
    <w:rsid w:val="1D807E56"/>
    <w:rsid w:val="1D8E7656"/>
    <w:rsid w:val="1DD22EE6"/>
    <w:rsid w:val="1E51534F"/>
    <w:rsid w:val="1E5C0704"/>
    <w:rsid w:val="1E8E0351"/>
    <w:rsid w:val="1E9E60BA"/>
    <w:rsid w:val="1EFF62E5"/>
    <w:rsid w:val="1F026649"/>
    <w:rsid w:val="1FC57DA2"/>
    <w:rsid w:val="1FFB2068"/>
    <w:rsid w:val="1FFC12EA"/>
    <w:rsid w:val="2039253E"/>
    <w:rsid w:val="20717F2A"/>
    <w:rsid w:val="20D34741"/>
    <w:rsid w:val="20D83B05"/>
    <w:rsid w:val="20E97AC1"/>
    <w:rsid w:val="20FF1092"/>
    <w:rsid w:val="21091F11"/>
    <w:rsid w:val="21110DC5"/>
    <w:rsid w:val="21486EDD"/>
    <w:rsid w:val="215A09BE"/>
    <w:rsid w:val="217E28FF"/>
    <w:rsid w:val="21BD08E8"/>
    <w:rsid w:val="21DE514B"/>
    <w:rsid w:val="231F5822"/>
    <w:rsid w:val="23580F2E"/>
    <w:rsid w:val="239F4DAE"/>
    <w:rsid w:val="23AC3027"/>
    <w:rsid w:val="245636BF"/>
    <w:rsid w:val="24961D0D"/>
    <w:rsid w:val="24B2466D"/>
    <w:rsid w:val="24C22B02"/>
    <w:rsid w:val="24D9609E"/>
    <w:rsid w:val="25537BFE"/>
    <w:rsid w:val="256516E0"/>
    <w:rsid w:val="259C15A5"/>
    <w:rsid w:val="259C77F7"/>
    <w:rsid w:val="25E84569"/>
    <w:rsid w:val="263A27A9"/>
    <w:rsid w:val="265211CF"/>
    <w:rsid w:val="268C3628"/>
    <w:rsid w:val="269C3827"/>
    <w:rsid w:val="26AF5308"/>
    <w:rsid w:val="27433CA3"/>
    <w:rsid w:val="27464C37"/>
    <w:rsid w:val="27502850"/>
    <w:rsid w:val="276A122F"/>
    <w:rsid w:val="27781B9E"/>
    <w:rsid w:val="28107C62"/>
    <w:rsid w:val="28414686"/>
    <w:rsid w:val="287A1946"/>
    <w:rsid w:val="28AF339E"/>
    <w:rsid w:val="28E31299"/>
    <w:rsid w:val="2944442E"/>
    <w:rsid w:val="29AB625B"/>
    <w:rsid w:val="29DA08EE"/>
    <w:rsid w:val="29F64FFC"/>
    <w:rsid w:val="2A0239A1"/>
    <w:rsid w:val="2A444C1C"/>
    <w:rsid w:val="2A7169E6"/>
    <w:rsid w:val="2A922F77"/>
    <w:rsid w:val="2AC31382"/>
    <w:rsid w:val="2BD45038"/>
    <w:rsid w:val="2BE94E19"/>
    <w:rsid w:val="2C366CC8"/>
    <w:rsid w:val="2C9A6113"/>
    <w:rsid w:val="2CD85845"/>
    <w:rsid w:val="2CD94261"/>
    <w:rsid w:val="2CE43832"/>
    <w:rsid w:val="2D7E3C87"/>
    <w:rsid w:val="2DB96A6D"/>
    <w:rsid w:val="2DCC67A0"/>
    <w:rsid w:val="2E8250B1"/>
    <w:rsid w:val="2F4A02C4"/>
    <w:rsid w:val="2F8F217B"/>
    <w:rsid w:val="2FA15A0A"/>
    <w:rsid w:val="2FB83480"/>
    <w:rsid w:val="301D32E3"/>
    <w:rsid w:val="303643A5"/>
    <w:rsid w:val="306E35F3"/>
    <w:rsid w:val="306F4498"/>
    <w:rsid w:val="30C419B0"/>
    <w:rsid w:val="30D14C7E"/>
    <w:rsid w:val="31163769"/>
    <w:rsid w:val="31A11CF2"/>
    <w:rsid w:val="31EA5447"/>
    <w:rsid w:val="31ED4F37"/>
    <w:rsid w:val="32026C34"/>
    <w:rsid w:val="324E3C27"/>
    <w:rsid w:val="32B751CE"/>
    <w:rsid w:val="332D5F33"/>
    <w:rsid w:val="3369683F"/>
    <w:rsid w:val="33747C08"/>
    <w:rsid w:val="347436ED"/>
    <w:rsid w:val="350B22A4"/>
    <w:rsid w:val="352B668E"/>
    <w:rsid w:val="35571045"/>
    <w:rsid w:val="35812566"/>
    <w:rsid w:val="35951B6D"/>
    <w:rsid w:val="359F479A"/>
    <w:rsid w:val="35AB313F"/>
    <w:rsid w:val="35E14DB3"/>
    <w:rsid w:val="36093C3C"/>
    <w:rsid w:val="3639581A"/>
    <w:rsid w:val="364F4412"/>
    <w:rsid w:val="36B72581"/>
    <w:rsid w:val="378756D1"/>
    <w:rsid w:val="37D72911"/>
    <w:rsid w:val="37F963E3"/>
    <w:rsid w:val="38421382"/>
    <w:rsid w:val="38A5656B"/>
    <w:rsid w:val="38B30C88"/>
    <w:rsid w:val="3982065B"/>
    <w:rsid w:val="39C62C3D"/>
    <w:rsid w:val="39E5074B"/>
    <w:rsid w:val="39F350B4"/>
    <w:rsid w:val="3A1E0383"/>
    <w:rsid w:val="3AAC1615"/>
    <w:rsid w:val="3AB02FA5"/>
    <w:rsid w:val="3ADC0EBB"/>
    <w:rsid w:val="3B021AE7"/>
    <w:rsid w:val="3B457B92"/>
    <w:rsid w:val="3BE54CEF"/>
    <w:rsid w:val="3C711228"/>
    <w:rsid w:val="3DC56D68"/>
    <w:rsid w:val="3E385982"/>
    <w:rsid w:val="3ED5122D"/>
    <w:rsid w:val="3EFE69D5"/>
    <w:rsid w:val="3F4F0FDF"/>
    <w:rsid w:val="3FBF43B6"/>
    <w:rsid w:val="3FC62A22"/>
    <w:rsid w:val="40093EB5"/>
    <w:rsid w:val="40EC4E08"/>
    <w:rsid w:val="41120516"/>
    <w:rsid w:val="41320BB8"/>
    <w:rsid w:val="417D0085"/>
    <w:rsid w:val="41A01FC6"/>
    <w:rsid w:val="41D43A1D"/>
    <w:rsid w:val="41DA04D7"/>
    <w:rsid w:val="41FF0A9A"/>
    <w:rsid w:val="424566C9"/>
    <w:rsid w:val="424C7A58"/>
    <w:rsid w:val="42813BA5"/>
    <w:rsid w:val="4420119C"/>
    <w:rsid w:val="44286547"/>
    <w:rsid w:val="4439400C"/>
    <w:rsid w:val="44663053"/>
    <w:rsid w:val="449844B0"/>
    <w:rsid w:val="44986F84"/>
    <w:rsid w:val="45230F44"/>
    <w:rsid w:val="45A51959"/>
    <w:rsid w:val="461F5BA6"/>
    <w:rsid w:val="463B22BD"/>
    <w:rsid w:val="467B6B5D"/>
    <w:rsid w:val="46E93AC7"/>
    <w:rsid w:val="47541888"/>
    <w:rsid w:val="47B916EB"/>
    <w:rsid w:val="47F858F1"/>
    <w:rsid w:val="47FB2640"/>
    <w:rsid w:val="48335942"/>
    <w:rsid w:val="48713F36"/>
    <w:rsid w:val="48AC1250"/>
    <w:rsid w:val="48EA3374"/>
    <w:rsid w:val="49211C3E"/>
    <w:rsid w:val="49303C2F"/>
    <w:rsid w:val="49667651"/>
    <w:rsid w:val="496B2EB9"/>
    <w:rsid w:val="497026F8"/>
    <w:rsid w:val="49AA1C33"/>
    <w:rsid w:val="49EF5898"/>
    <w:rsid w:val="4A233794"/>
    <w:rsid w:val="4A365275"/>
    <w:rsid w:val="4A633B41"/>
    <w:rsid w:val="4A78579D"/>
    <w:rsid w:val="4AB16FF2"/>
    <w:rsid w:val="4AC05487"/>
    <w:rsid w:val="4AE03E13"/>
    <w:rsid w:val="4AE60E63"/>
    <w:rsid w:val="4AEC21B0"/>
    <w:rsid w:val="4AF55130"/>
    <w:rsid w:val="4B0F323B"/>
    <w:rsid w:val="4B257098"/>
    <w:rsid w:val="4BB724D0"/>
    <w:rsid w:val="4BF760C8"/>
    <w:rsid w:val="4BFB3CC6"/>
    <w:rsid w:val="4C0A0767"/>
    <w:rsid w:val="4C871DB8"/>
    <w:rsid w:val="4C934C01"/>
    <w:rsid w:val="4CA4512A"/>
    <w:rsid w:val="4CC732A2"/>
    <w:rsid w:val="4D665E71"/>
    <w:rsid w:val="4DAC647D"/>
    <w:rsid w:val="4DC268AA"/>
    <w:rsid w:val="4DF711BF"/>
    <w:rsid w:val="4E2B2C17"/>
    <w:rsid w:val="4E516B22"/>
    <w:rsid w:val="4E9133C2"/>
    <w:rsid w:val="4EB250E6"/>
    <w:rsid w:val="4EE70C49"/>
    <w:rsid w:val="4F4E12B3"/>
    <w:rsid w:val="4F710AFD"/>
    <w:rsid w:val="507765E7"/>
    <w:rsid w:val="50F25C6E"/>
    <w:rsid w:val="510A745C"/>
    <w:rsid w:val="512E144B"/>
    <w:rsid w:val="51340035"/>
    <w:rsid w:val="5164091A"/>
    <w:rsid w:val="519805C3"/>
    <w:rsid w:val="5217598C"/>
    <w:rsid w:val="522602C5"/>
    <w:rsid w:val="52CD2703"/>
    <w:rsid w:val="53487DC7"/>
    <w:rsid w:val="53B8319F"/>
    <w:rsid w:val="53C953AC"/>
    <w:rsid w:val="53CB2ED2"/>
    <w:rsid w:val="53D578AD"/>
    <w:rsid w:val="53DA1367"/>
    <w:rsid w:val="54445489"/>
    <w:rsid w:val="54716316"/>
    <w:rsid w:val="55456CB4"/>
    <w:rsid w:val="55C0458D"/>
    <w:rsid w:val="56150435"/>
    <w:rsid w:val="568D47B4"/>
    <w:rsid w:val="569A4274"/>
    <w:rsid w:val="569C19A7"/>
    <w:rsid w:val="570566FB"/>
    <w:rsid w:val="57583514"/>
    <w:rsid w:val="578F06BB"/>
    <w:rsid w:val="57FA3D86"/>
    <w:rsid w:val="5814296E"/>
    <w:rsid w:val="58CB127E"/>
    <w:rsid w:val="592B7F6F"/>
    <w:rsid w:val="593E7CA2"/>
    <w:rsid w:val="596040BD"/>
    <w:rsid w:val="5988716F"/>
    <w:rsid w:val="5999137D"/>
    <w:rsid w:val="59D21B82"/>
    <w:rsid w:val="5A587B93"/>
    <w:rsid w:val="5A6279C1"/>
    <w:rsid w:val="5ABC17C7"/>
    <w:rsid w:val="5AC16DDD"/>
    <w:rsid w:val="5B594356"/>
    <w:rsid w:val="5B841BB9"/>
    <w:rsid w:val="5B856C8C"/>
    <w:rsid w:val="5BA54009"/>
    <w:rsid w:val="5BB311C3"/>
    <w:rsid w:val="5BED775E"/>
    <w:rsid w:val="5C315178"/>
    <w:rsid w:val="5C451348"/>
    <w:rsid w:val="5D2418A5"/>
    <w:rsid w:val="5D840AFA"/>
    <w:rsid w:val="5D881E34"/>
    <w:rsid w:val="5DBC388C"/>
    <w:rsid w:val="5E1B4A56"/>
    <w:rsid w:val="5E3478C6"/>
    <w:rsid w:val="5E443FAD"/>
    <w:rsid w:val="5E590FF1"/>
    <w:rsid w:val="5E6D4B86"/>
    <w:rsid w:val="5E8A16E8"/>
    <w:rsid w:val="5EA54320"/>
    <w:rsid w:val="5EF07C91"/>
    <w:rsid w:val="5F245B8C"/>
    <w:rsid w:val="5F296CFF"/>
    <w:rsid w:val="5F9745B0"/>
    <w:rsid w:val="5FC77BFC"/>
    <w:rsid w:val="604C6393"/>
    <w:rsid w:val="60905891"/>
    <w:rsid w:val="60EA0710"/>
    <w:rsid w:val="6109503A"/>
    <w:rsid w:val="612726B6"/>
    <w:rsid w:val="613A73B9"/>
    <w:rsid w:val="628801E0"/>
    <w:rsid w:val="62955F1A"/>
    <w:rsid w:val="63952BB5"/>
    <w:rsid w:val="64202DC6"/>
    <w:rsid w:val="648B3FB8"/>
    <w:rsid w:val="64A86918"/>
    <w:rsid w:val="64CC0858"/>
    <w:rsid w:val="64E262CE"/>
    <w:rsid w:val="64ED07CF"/>
    <w:rsid w:val="64F97173"/>
    <w:rsid w:val="650D3CB3"/>
    <w:rsid w:val="653F54CE"/>
    <w:rsid w:val="65493C57"/>
    <w:rsid w:val="65956E9C"/>
    <w:rsid w:val="659F5F6D"/>
    <w:rsid w:val="65BC24E5"/>
    <w:rsid w:val="66236B9E"/>
    <w:rsid w:val="66681859"/>
    <w:rsid w:val="66BA2932"/>
    <w:rsid w:val="66FB71D3"/>
    <w:rsid w:val="677F7E04"/>
    <w:rsid w:val="679E362F"/>
    <w:rsid w:val="67F85E08"/>
    <w:rsid w:val="68183EBB"/>
    <w:rsid w:val="687E455F"/>
    <w:rsid w:val="688B4586"/>
    <w:rsid w:val="68CF0917"/>
    <w:rsid w:val="69234FDE"/>
    <w:rsid w:val="69D36B2E"/>
    <w:rsid w:val="6A294057"/>
    <w:rsid w:val="6A445335"/>
    <w:rsid w:val="6A6E23B2"/>
    <w:rsid w:val="6A7A2B04"/>
    <w:rsid w:val="6B786017"/>
    <w:rsid w:val="6C3311BD"/>
    <w:rsid w:val="6C5E090E"/>
    <w:rsid w:val="6C615D2A"/>
    <w:rsid w:val="6C7E28D2"/>
    <w:rsid w:val="6CD258B0"/>
    <w:rsid w:val="6D4107B4"/>
    <w:rsid w:val="6DB23647"/>
    <w:rsid w:val="6DC5678C"/>
    <w:rsid w:val="6DEA1D4F"/>
    <w:rsid w:val="6E3000AA"/>
    <w:rsid w:val="6E731D44"/>
    <w:rsid w:val="6E7D7067"/>
    <w:rsid w:val="6EA168B2"/>
    <w:rsid w:val="6EB74EAF"/>
    <w:rsid w:val="6EF47329"/>
    <w:rsid w:val="6F0F587A"/>
    <w:rsid w:val="6F751AEC"/>
    <w:rsid w:val="70457711"/>
    <w:rsid w:val="70D07922"/>
    <w:rsid w:val="710A103E"/>
    <w:rsid w:val="71183F98"/>
    <w:rsid w:val="714479C8"/>
    <w:rsid w:val="717209D9"/>
    <w:rsid w:val="71B52674"/>
    <w:rsid w:val="71ED3BB7"/>
    <w:rsid w:val="721970A7"/>
    <w:rsid w:val="723932A5"/>
    <w:rsid w:val="724A7260"/>
    <w:rsid w:val="72A526E9"/>
    <w:rsid w:val="734C0DB6"/>
    <w:rsid w:val="73C53E7A"/>
    <w:rsid w:val="74A0585D"/>
    <w:rsid w:val="74A964C0"/>
    <w:rsid w:val="7547547A"/>
    <w:rsid w:val="76774D15"/>
    <w:rsid w:val="76E063E5"/>
    <w:rsid w:val="77130569"/>
    <w:rsid w:val="77674410"/>
    <w:rsid w:val="77AA4697"/>
    <w:rsid w:val="77F5251C"/>
    <w:rsid w:val="78454752"/>
    <w:rsid w:val="7883171E"/>
    <w:rsid w:val="788A6608"/>
    <w:rsid w:val="78C25DA2"/>
    <w:rsid w:val="78C7270E"/>
    <w:rsid w:val="794C1B10"/>
    <w:rsid w:val="797B2DFF"/>
    <w:rsid w:val="79A036D3"/>
    <w:rsid w:val="79C46EB6"/>
    <w:rsid w:val="79C63670"/>
    <w:rsid w:val="7A173ECC"/>
    <w:rsid w:val="7A3031E0"/>
    <w:rsid w:val="7A5F5873"/>
    <w:rsid w:val="7A64169C"/>
    <w:rsid w:val="7AC8166A"/>
    <w:rsid w:val="7AF95CC7"/>
    <w:rsid w:val="7AFF2A50"/>
    <w:rsid w:val="7B0A57DF"/>
    <w:rsid w:val="7B152B01"/>
    <w:rsid w:val="7B2B1A66"/>
    <w:rsid w:val="7B340AAD"/>
    <w:rsid w:val="7B762E74"/>
    <w:rsid w:val="7B783090"/>
    <w:rsid w:val="7B9D6653"/>
    <w:rsid w:val="7BBA7205"/>
    <w:rsid w:val="7CA26617"/>
    <w:rsid w:val="7CA67A11"/>
    <w:rsid w:val="7CD460A4"/>
    <w:rsid w:val="7CE46EBA"/>
    <w:rsid w:val="7D0C268E"/>
    <w:rsid w:val="7D1312C2"/>
    <w:rsid w:val="7D366D5F"/>
    <w:rsid w:val="7D9F66B2"/>
    <w:rsid w:val="7DCC321F"/>
    <w:rsid w:val="7DE1316F"/>
    <w:rsid w:val="7E5F5E41"/>
    <w:rsid w:val="7E8835EA"/>
    <w:rsid w:val="7ECB34D7"/>
    <w:rsid w:val="7FC05006"/>
    <w:rsid w:val="7FCA37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snapToGrid w:val="0"/>
      <w:spacing w:line="590" w:lineRule="atLeast"/>
      <w:ind w:firstLine="624"/>
      <w:jc w:val="both"/>
    </w:pPr>
    <w:rPr>
      <w:rFonts w:ascii="Times New Roman" w:hAnsi="Times New Roman" w:eastAsia="方正仿宋_GBK" w:cs="Times New Roman"/>
      <w:snapToGrid w:val="0"/>
      <w:sz w:val="32"/>
      <w:lang w:val="en-US" w:eastAsia="zh-CN" w:bidi="ar-SA"/>
    </w:rPr>
  </w:style>
  <w:style w:type="paragraph" w:styleId="3">
    <w:name w:val="heading 1"/>
    <w:basedOn w:val="1"/>
    <w:next w:val="1"/>
    <w:link w:val="35"/>
    <w:qFormat/>
    <w:uiPriority w:val="0"/>
    <w:pPr>
      <w:keepNext/>
      <w:keepLines/>
      <w:spacing w:before="340" w:after="330" w:line="578" w:lineRule="atLeast"/>
      <w:outlineLvl w:val="0"/>
    </w:pPr>
    <w:rPr>
      <w:kern w:val="44"/>
      <w:sz w:val="44"/>
    </w:rPr>
  </w:style>
  <w:style w:type="paragraph" w:styleId="4">
    <w:name w:val="heading 2"/>
    <w:next w:val="1"/>
    <w:link w:val="33"/>
    <w:qFormat/>
    <w:uiPriority w:val="9"/>
    <w:pPr>
      <w:keepNext/>
      <w:keepLines/>
      <w:widowControl w:val="0"/>
      <w:snapToGrid w:val="0"/>
      <w:spacing w:line="590" w:lineRule="exact"/>
      <w:jc w:val="both"/>
      <w:outlineLvl w:val="1"/>
    </w:pPr>
    <w:rPr>
      <w:rFonts w:ascii="黑体" w:hAnsi="黑体" w:eastAsia="黑体" w:cs="黑体"/>
      <w:bCs/>
      <w:color w:val="000000"/>
      <w:sz w:val="32"/>
      <w:szCs w:val="32"/>
      <w:lang w:val="en-US" w:eastAsia="zh-CN" w:bidi="ar-SA"/>
    </w:rPr>
  </w:style>
  <w:style w:type="paragraph" w:styleId="2">
    <w:name w:val="heading 3"/>
    <w:basedOn w:val="1"/>
    <w:next w:val="1"/>
    <w:link w:val="34"/>
    <w:qFormat/>
    <w:uiPriority w:val="0"/>
    <w:pPr>
      <w:spacing w:line="590" w:lineRule="exact"/>
      <w:ind w:firstLine="640" w:firstLineChars="200"/>
      <w:outlineLvl w:val="2"/>
    </w:pPr>
    <w:rPr>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adjustRightInd w:val="0"/>
      <w:snapToGrid/>
      <w:ind w:firstLine="0"/>
      <w:jc w:val="left"/>
    </w:pPr>
    <w:rPr>
      <w:spacing w:val="-25"/>
    </w:rPr>
  </w:style>
  <w:style w:type="paragraph" w:styleId="6">
    <w:name w:val="annotation text"/>
    <w:basedOn w:val="1"/>
    <w:link w:val="31"/>
    <w:qFormat/>
    <w:uiPriority w:val="0"/>
    <w:pPr>
      <w:autoSpaceDE/>
      <w:autoSpaceDN/>
      <w:snapToGrid/>
      <w:spacing w:line="240" w:lineRule="auto"/>
      <w:ind w:firstLine="0"/>
      <w:jc w:val="left"/>
    </w:pPr>
    <w:rPr>
      <w:rFonts w:eastAsia="仿宋_GB2312"/>
      <w:snapToGrid/>
      <w:color w:val="000000"/>
      <w:szCs w:val="32"/>
    </w:rPr>
  </w:style>
  <w:style w:type="paragraph" w:styleId="7">
    <w:name w:val="Balloon Text"/>
    <w:basedOn w:val="1"/>
    <w:link w:val="32"/>
    <w:qFormat/>
    <w:uiPriority w:val="0"/>
    <w:pPr>
      <w:spacing w:line="240" w:lineRule="auto"/>
    </w:pPr>
    <w:rPr>
      <w:sz w:val="18"/>
      <w:szCs w:val="18"/>
    </w:rPr>
  </w:style>
  <w:style w:type="paragraph" w:styleId="8">
    <w:name w:val="footer"/>
    <w:basedOn w:val="1"/>
    <w:qFormat/>
    <w:uiPriority w:val="0"/>
    <w:pPr>
      <w:tabs>
        <w:tab w:val="center" w:pos="4153"/>
        <w:tab w:val="right" w:pos="8306"/>
      </w:tabs>
      <w:spacing w:line="400" w:lineRule="atLeast"/>
      <w:ind w:firstLine="0"/>
      <w:jc w:val="center"/>
    </w:pPr>
    <w:rPr>
      <w:sz w:val="28"/>
    </w:rPr>
  </w:style>
  <w:style w:type="paragraph" w:styleId="9">
    <w:name w:val="header"/>
    <w:basedOn w:val="1"/>
    <w:qFormat/>
    <w:uiPriority w:val="0"/>
    <w:pPr>
      <w:pBdr>
        <w:bottom w:val="single" w:color="auto" w:sz="6" w:space="1"/>
      </w:pBdr>
      <w:tabs>
        <w:tab w:val="center" w:pos="4153"/>
        <w:tab w:val="right" w:pos="8306"/>
      </w:tabs>
      <w:spacing w:line="240" w:lineRule="atLeast"/>
      <w:jc w:val="center"/>
    </w:pPr>
    <w:rPr>
      <w:sz w:val="18"/>
    </w:rPr>
  </w:style>
  <w:style w:type="paragraph" w:styleId="10">
    <w:name w:val="Normal (Web)"/>
    <w:basedOn w:val="1"/>
    <w:qFormat/>
    <w:uiPriority w:val="0"/>
    <w:pPr>
      <w:spacing w:before="100" w:beforeAutospacing="1" w:after="100" w:afterAutospacing="1"/>
      <w:jc w:val="left"/>
    </w:pPr>
    <w:rPr>
      <w:sz w:val="24"/>
    </w:rPr>
  </w:style>
  <w:style w:type="paragraph" w:styleId="11">
    <w:name w:val="Title"/>
    <w:basedOn w:val="1"/>
    <w:qFormat/>
    <w:uiPriority w:val="0"/>
    <w:pPr>
      <w:jc w:val="center"/>
      <w:outlineLvl w:val="0"/>
    </w:pPr>
    <w:rPr>
      <w:rFonts w:ascii="Arial" w:hAnsi="Arial"/>
      <w:b/>
    </w:rPr>
  </w:style>
  <w:style w:type="table" w:styleId="13">
    <w:name w:val="Table Grid"/>
    <w:basedOn w:val="12"/>
    <w:qFormat/>
    <w:uiPriority w:val="0"/>
    <w:pPr>
      <w:widowControl w:val="0"/>
      <w:autoSpaceDE w:val="0"/>
      <w:autoSpaceDN w:val="0"/>
      <w:snapToGrid w:val="0"/>
      <w:spacing w:line="590" w:lineRule="atLeast"/>
      <w:ind w:firstLine="624"/>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page number"/>
    <w:basedOn w:val="14"/>
    <w:qFormat/>
    <w:uiPriority w:val="0"/>
  </w:style>
  <w:style w:type="paragraph" w:customStyle="1" w:styleId="17">
    <w:name w:val="标题1"/>
    <w:basedOn w:val="1"/>
    <w:next w:val="1"/>
    <w:qFormat/>
    <w:uiPriority w:val="0"/>
    <w:pPr>
      <w:tabs>
        <w:tab w:val="left" w:pos="9193"/>
        <w:tab w:val="left" w:pos="9827"/>
      </w:tabs>
      <w:spacing w:line="700" w:lineRule="atLeast"/>
      <w:ind w:firstLine="0"/>
      <w:jc w:val="center"/>
    </w:pPr>
    <w:rPr>
      <w:rFonts w:eastAsia="方正小标宋_GBK"/>
      <w:sz w:val="44"/>
    </w:rPr>
  </w:style>
  <w:style w:type="paragraph" w:customStyle="1" w:styleId="18">
    <w:name w:val="红线"/>
    <w:basedOn w:val="3"/>
    <w:qFormat/>
    <w:uiPriority w:val="0"/>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19">
    <w:name w:val="标题2"/>
    <w:basedOn w:val="1"/>
    <w:next w:val="1"/>
    <w:qFormat/>
    <w:uiPriority w:val="0"/>
    <w:pPr>
      <w:ind w:firstLine="0"/>
      <w:jc w:val="center"/>
    </w:pPr>
    <w:rPr>
      <w:rFonts w:eastAsia="方正楷体_GBK"/>
    </w:rPr>
  </w:style>
  <w:style w:type="paragraph" w:customStyle="1" w:styleId="20">
    <w:name w:val="标题3"/>
    <w:basedOn w:val="1"/>
    <w:next w:val="1"/>
    <w:qFormat/>
    <w:uiPriority w:val="0"/>
    <w:rPr>
      <w:rFonts w:eastAsia="方正黑体_GBK"/>
    </w:rPr>
  </w:style>
  <w:style w:type="paragraph" w:customStyle="1" w:styleId="21">
    <w:name w:val="密级"/>
    <w:basedOn w:val="1"/>
    <w:qFormat/>
    <w:uiPriority w:val="0"/>
    <w:pPr>
      <w:adjustRightInd w:val="0"/>
      <w:snapToGrid/>
      <w:spacing w:line="425" w:lineRule="atLeast"/>
      <w:ind w:firstLine="0"/>
      <w:jc w:val="right"/>
    </w:pPr>
    <w:rPr>
      <w:rFonts w:ascii="黑体" w:eastAsia="黑体"/>
      <w:sz w:val="30"/>
    </w:rPr>
  </w:style>
  <w:style w:type="paragraph" w:customStyle="1" w:styleId="22">
    <w:name w:val="主题词"/>
    <w:basedOn w:val="1"/>
    <w:qFormat/>
    <w:uiPriority w:val="0"/>
    <w:pPr>
      <w:adjustRightInd w:val="0"/>
      <w:snapToGrid/>
      <w:spacing w:line="240" w:lineRule="atLeast"/>
      <w:ind w:firstLine="0"/>
      <w:jc w:val="left"/>
    </w:pPr>
    <w:rPr>
      <w:rFonts w:ascii="方正黑体_GBK" w:eastAsia="方正黑体_GBK"/>
    </w:rPr>
  </w:style>
  <w:style w:type="paragraph" w:customStyle="1" w:styleId="23">
    <w:name w:val="抄送栏"/>
    <w:basedOn w:val="1"/>
    <w:qFormat/>
    <w:uiPriority w:val="0"/>
    <w:pPr>
      <w:adjustRightInd w:val="0"/>
      <w:snapToGrid/>
      <w:spacing w:line="454" w:lineRule="atLeast"/>
      <w:ind w:left="1310" w:right="357" w:hanging="953"/>
    </w:pPr>
  </w:style>
  <w:style w:type="paragraph" w:customStyle="1" w:styleId="24">
    <w:name w:val="线型"/>
    <w:basedOn w:val="23"/>
    <w:qFormat/>
    <w:uiPriority w:val="0"/>
    <w:pPr>
      <w:spacing w:line="240" w:lineRule="auto"/>
      <w:ind w:left="0" w:firstLine="0"/>
      <w:jc w:val="center"/>
    </w:pPr>
    <w:rPr>
      <w:sz w:val="21"/>
    </w:rPr>
  </w:style>
  <w:style w:type="paragraph" w:customStyle="1" w:styleId="25">
    <w:name w:val="印发栏"/>
    <w:basedOn w:val="5"/>
    <w:qFormat/>
    <w:uiPriority w:val="0"/>
    <w:pPr>
      <w:tabs>
        <w:tab w:val="right" w:pos="8465"/>
      </w:tabs>
      <w:spacing w:line="454" w:lineRule="atLeast"/>
      <w:ind w:left="357" w:right="357"/>
    </w:pPr>
    <w:rPr>
      <w:spacing w:val="0"/>
    </w:rPr>
  </w:style>
  <w:style w:type="paragraph" w:customStyle="1" w:styleId="26">
    <w:name w:val="印数"/>
    <w:basedOn w:val="25"/>
    <w:qFormat/>
    <w:uiPriority w:val="0"/>
    <w:pPr>
      <w:spacing w:line="400" w:lineRule="atLeast"/>
      <w:ind w:left="0" w:right="0"/>
      <w:jc w:val="right"/>
    </w:pPr>
  </w:style>
  <w:style w:type="paragraph" w:customStyle="1" w:styleId="27">
    <w:name w:val="附件栏"/>
    <w:basedOn w:val="1"/>
    <w:qFormat/>
    <w:uiPriority w:val="0"/>
  </w:style>
  <w:style w:type="paragraph" w:customStyle="1" w:styleId="28">
    <w:name w:val="文头"/>
    <w:basedOn w:val="1"/>
    <w:qFormat/>
    <w:uiPriority w:val="0"/>
    <w:pPr>
      <w:tabs>
        <w:tab w:val="left" w:pos="6663"/>
      </w:tabs>
      <w:spacing w:after="800" w:line="1500" w:lineRule="atLeast"/>
      <w:ind w:left="511" w:right="227" w:hanging="284"/>
      <w:jc w:val="distribute"/>
    </w:pPr>
    <w:rPr>
      <w:rFonts w:ascii="汉鼎简大宋" w:eastAsia="汉鼎简大宋"/>
      <w:b/>
      <w:color w:val="FF0000"/>
      <w:w w:val="62"/>
      <w:sz w:val="140"/>
    </w:rPr>
  </w:style>
  <w:style w:type="paragraph" w:customStyle="1" w:styleId="29">
    <w:name w:val="紧急程度"/>
    <w:basedOn w:val="21"/>
    <w:qFormat/>
    <w:uiPriority w:val="0"/>
    <w:pPr>
      <w:spacing w:line="397" w:lineRule="atLeast"/>
    </w:pPr>
    <w:rPr>
      <w:rFonts w:ascii="汉鼎简黑体" w:hAnsi="汉鼎简黑体" w:eastAsia="汉鼎简黑体"/>
      <w:sz w:val="32"/>
    </w:rPr>
  </w:style>
  <w:style w:type="paragraph" w:customStyle="1" w:styleId="30">
    <w:name w:val="样式 主题词 + 段后: 8.85 磅 行距: 固定值 26 磅"/>
    <w:basedOn w:val="22"/>
    <w:qFormat/>
    <w:uiPriority w:val="0"/>
    <w:pPr>
      <w:spacing w:after="177" w:line="520" w:lineRule="exact"/>
    </w:pPr>
    <w:rPr>
      <w:rFonts w:cs="宋体"/>
      <w:bCs/>
    </w:rPr>
  </w:style>
  <w:style w:type="character" w:customStyle="1" w:styleId="31">
    <w:name w:val="批注文字 Char"/>
    <w:basedOn w:val="14"/>
    <w:link w:val="6"/>
    <w:qFormat/>
    <w:uiPriority w:val="0"/>
    <w:rPr>
      <w:rFonts w:eastAsia="仿宋_GB2312"/>
      <w:color w:val="000000"/>
      <w:sz w:val="32"/>
      <w:szCs w:val="32"/>
    </w:rPr>
  </w:style>
  <w:style w:type="character" w:customStyle="1" w:styleId="32">
    <w:name w:val="批注框文本 Char"/>
    <w:basedOn w:val="14"/>
    <w:link w:val="7"/>
    <w:qFormat/>
    <w:uiPriority w:val="0"/>
    <w:rPr>
      <w:rFonts w:eastAsia="方正仿宋_GBK"/>
      <w:snapToGrid w:val="0"/>
      <w:sz w:val="18"/>
      <w:szCs w:val="18"/>
    </w:rPr>
  </w:style>
  <w:style w:type="character" w:customStyle="1" w:styleId="33">
    <w:name w:val="标题 2 Char"/>
    <w:link w:val="4"/>
    <w:qFormat/>
    <w:uiPriority w:val="0"/>
    <w:rPr>
      <w:rFonts w:ascii="黑体" w:hAnsi="黑体" w:eastAsia="黑体" w:cs="黑体"/>
      <w:bCs/>
      <w:color w:val="000000"/>
      <w:kern w:val="0"/>
      <w:sz w:val="32"/>
      <w:szCs w:val="32"/>
      <w:lang w:val="en-US" w:eastAsia="zh-CN" w:bidi="ar-SA"/>
    </w:rPr>
  </w:style>
  <w:style w:type="character" w:customStyle="1" w:styleId="34">
    <w:name w:val="标题 3 Char"/>
    <w:link w:val="2"/>
    <w:qFormat/>
    <w:uiPriority w:val="0"/>
    <w:rPr>
      <w:szCs w:val="32"/>
    </w:rPr>
  </w:style>
  <w:style w:type="character" w:customStyle="1" w:styleId="35">
    <w:name w:val="标题 1 Char"/>
    <w:link w:val="3"/>
    <w:qFormat/>
    <w:uiPriority w:val="0"/>
    <w:rPr>
      <w:rFonts w:ascii="Times New Roman" w:hAnsi="Times New Roman"/>
      <w:kern w:val="44"/>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WeChat%20Files\xuwenyi001\FileStorage\File\2022-03\&#21335;&#36890;&#24066;&#20154;&#27665;&#25919;&#24220;&#24120;&#21153;&#20250;&#35758;&#20250;&#35758;&#26448;&#26009;&#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af7d0673-791b-4b9b-8076-a35c54c250e0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1B2621AF</paraID>
      <start>9</start>
      <end>10</end>
      <status>ignored</status>
      <modifiedWord/>
      <trackRevisions>false</trackRevisions>
    </reviewItem>
    <reviewItem>
      <errorID>63e0678f-731d-4380-ade5-6ec1b7ea3f5d</errorID>
      <errorWord>农业部</errorWord>
      <group>L1_Knowledge</group>
      <groupName>知识性问题</groupName>
      <ability>L2_Knowledge</ability>
      <abilityName>其他知识</abilityName>
      <candidateList>
        <item>农业农村部</item>
      </candidateList>
      <explain/>
      <paraID>2B3FD761</paraID>
      <start>28</start>
      <end>31</end>
      <status>ignored</status>
      <modifiedWord/>
      <trackRevisions>false</trackRevisions>
    </reviewItem>
    <reviewItem>
      <errorID>b0a61c0b-537a-4a70-9963-283e0729e911</errorID>
      <errorWord>农业部</errorWord>
      <group>L1_Knowledge</group>
      <groupName>知识性问题</groupName>
      <ability>L2_Organization</ability>
      <abilityName>机构检查</abilityName>
      <candidateList>
        <item>农业农村部</item>
      </candidateList>
      <explain>机关单位全简称表述错误</explain>
      <paraID>1601A2AE</paraID>
      <start>260</start>
      <end>263</end>
      <status>ignored</status>
      <modifiedWord/>
      <trackRevisions>false</trackRevisions>
    </reviewItem>
    <reviewItem>
      <errorID>5e39a161-ec06-43e4-92b4-04cdf6745469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4DBE76F6</paraID>
      <start>37</start>
      <end>38</end>
      <status>ignored</status>
      <modifiedWord/>
      <trackRevisions>false</trackRevisions>
    </reviewItem>
    <reviewItem>
      <errorID>3e5ef2aa-38fc-4599-909d-f77ebc417d69</errorID>
      <errorWord>农业部</errorWord>
      <group>L1_Knowledge</group>
      <groupName>知识性问题</groupName>
      <ability>L2_Knowledge</ability>
      <abilityName>其他知识</abilityName>
      <candidateList>
        <item>农业农村部</item>
      </candidateList>
      <explain/>
      <paraID>5433135A</paraID>
      <start>28</start>
      <end>31</end>
      <status>ignored</status>
      <modifiedWord/>
      <trackRevisions>false</trackRevisions>
    </reviewItem>
    <reviewItem>
      <errorID>9e32c1f0-13cd-4d0d-8625-e35de1f2e1c0</errorID>
      <errorWord>农业部</errorWord>
      <group>L1_Knowledge</group>
      <groupName>知识性问题</groupName>
      <ability>L2_Organization</ability>
      <abilityName>机构检查</abilityName>
      <candidateList>
        <item>农业农村部</item>
      </candidateList>
      <explain>机关单位全简称表述错误</explain>
      <paraID>54E37E14</paraID>
      <start>183</start>
      <end>186</end>
      <status>ignored</status>
      <modifiedWord/>
      <trackRevisions>false</trackRevisions>
    </reviewItem>
    <reviewItem>
      <errorID>f4b48c2d-28d5-4362-bd07-1efa50634024</errorID>
      <errorWord>农业部</errorWord>
      <group>L1_Knowledge</group>
      <groupName>知识性问题</groupName>
      <ability>L2_Knowledge</ability>
      <abilityName>其他知识</abilityName>
      <candidateList>
        <item>农业农村部</item>
      </candidateList>
      <explain/>
      <paraID>2489BE9E</paraID>
      <start>1</start>
      <end>4</end>
      <status>ignored</status>
      <modifiedWord/>
      <trackRevisions>false</trackRevisions>
    </reviewItem>
    <reviewItem>
      <errorID>ffdf823a-3108-4f9e-ae6f-3ec2bd5f6774</errorID>
      <errorWord>农业部</errorWord>
      <group>L1_Knowledge</group>
      <groupName>知识性问题</groupName>
      <ability>L2_Knowledge</ability>
      <abilityName>其他知识</abilityName>
      <candidateList>
        <item>农业农村部</item>
      </candidateList>
      <explain/>
      <paraID>7CE5F89E</paraID>
      <start>1</start>
      <end>4</end>
      <status>ignored</status>
      <modifiedWord/>
      <trackRevisions>false</trackRevisions>
    </reviewItem>
    <reviewItem>
      <errorID>2f42d48f-41d1-4f85-85bd-4dde0333b437</errorID>
      <errorWord>农业部</errorWord>
      <group>L1_Knowledge</group>
      <groupName>知识性问题</groupName>
      <ability>L2_Knowledge</ability>
      <abilityName>其他知识</abilityName>
      <candidateList>
        <item>农业农村部</item>
      </candidateList>
      <explain/>
      <paraID>6BBA8A94</paraID>
      <start>0</start>
      <end>3</end>
      <status>ignored</status>
      <modifiedWord/>
      <trackRevisions>false</trackRevisions>
    </reviewItem>
    <reviewItem>
      <errorID>6f34b93e-707d-4c79-84d2-a01476e6c6f0</errorID>
      <errorWord>农业部</errorWord>
      <group>L1_Knowledge</group>
      <groupName>知识性问题</groupName>
      <ability>L2_Knowledge</ability>
      <abilityName>其他知识</abilityName>
      <candidateList>
        <item>农业农村部</item>
      </candidateList>
      <explain/>
      <paraID>767DE324</paraID>
      <start>0</start>
      <end>3</end>
      <status>ignored</status>
      <modifiedWord/>
      <trackRevisions>false</trackRevisions>
    </reviewItem>
    <reviewItem>
      <errorID>e2c6325c-6975-4ea3-8868-413dd542d4d9</errorID>
      <errorWord>农业部</errorWord>
      <group>L1_Knowledge</group>
      <groupName>知识性问题</groupName>
      <ability>L2_Knowledge</ability>
      <abilityName>其他知识</abilityName>
      <candidateList>
        <item>农业农村部</item>
      </candidateList>
      <explain/>
      <paraID>7657F33D</paraID>
      <start>0</start>
      <end>3</end>
      <status>ignored</status>
      <modifiedWord/>
      <trackRevisions>false</trackRevisions>
    </reviewItem>
    <reviewItem>
      <errorID>4a6b817d-fc36-43b6-a0d5-52c616af92ae</errorID>
      <errorWord>农业部</errorWord>
      <group>L1_Knowledge</group>
      <groupName>知识性问题</groupName>
      <ability>L2_Knowledge</ability>
      <abilityName>其他知识</abilityName>
      <candidateList>
        <item>农业农村部</item>
      </candidateList>
      <explain/>
      <paraID>5C9E304B</paraID>
      <start>0</start>
      <end>3</end>
      <status>ignored</status>
      <modifiedWord/>
      <trackRevisions>false</trackRevisions>
    </reviewItem>
    <reviewItem>
      <errorID>9ed5ed9d-ce09-4e0a-b941-8aa8b2426a3d</errorID>
      <errorWord>农业部</errorWord>
      <group>L1_Knowledge</group>
      <groupName>知识性问题</groupName>
      <ability>L2_Knowledge</ability>
      <abilityName>其他知识</abilityName>
      <candidateList>
        <item>农业农村部</item>
      </candidateList>
      <explain/>
      <paraID>39592000</paraID>
      <start>0</start>
      <end>3</end>
      <status>ignored</status>
      <modifiedWord/>
      <trackRevisions>false</trackRevisions>
    </reviewItem>
    <reviewItem>
      <errorID>fbfa32f7-c13d-4999-8795-f77a76260d3f</errorID>
      <errorWord>农业部</errorWord>
      <group>L1_Knowledge</group>
      <groupName>知识性问题</groupName>
      <ability>L2_Knowledge</ability>
      <abilityName>其他知识</abilityName>
      <candidateList>
        <item>农业农村部</item>
      </candidateList>
      <explain/>
      <paraID>1AC83875</paraID>
      <start>49</start>
      <end>52</end>
      <status>ignored</status>
      <modifiedWord/>
      <trackRevisions>false</trackRevisions>
    </reviewItem>
    <reviewItem>
      <errorID>4f66cf75-46e1-4cea-bf66-34da48d389d2</errorID>
      <errorWord>思想和党的二十大</errorWord>
      <group>L1_Word</group>
      <groupName>字词问题</groupName>
      <ability>L2_Typo</ability>
      <abilityName>字词错误</abilityName>
      <candidateList>
        <item>思想、党的二十大</item>
      </candidateList>
      <explain/>
      <paraID>678BBFEB</paraID>
      <start>15</start>
      <end>23</end>
      <status>ignored</status>
      <modifiedWord/>
      <trackRevisions>false</trackRevisions>
    </reviewItem>
    <reviewItem>
      <errorID>da43e157-a992-4acb-9124-d3b65f041b20</errorID>
      <errorWord>使用</errorWord>
      <group>L1_Grammar</group>
      <groupName>语法问题</groupName>
      <ability>L2_Grammar</ability>
      <abilityName>语法错误</abilityName>
      <candidateList>
        <item>采取</item>
      </candidateList>
      <explain>“使用～措施”搭配不当，建议修改为“采取～措施”。</explain>
      <paraID>22851A14</paraID>
      <start>90</start>
      <end>92</end>
      <status>ignored</status>
      <modifiedWord/>
      <trackRevisions>false</trackRevisions>
    </reviewItem>
    <reviewItem>
      <errorID>671de2f2-dcc9-45f7-8553-b89e2378760d</errorID>
      <errorWord>年平</errorWord>
      <group>L1_Word</group>
      <groupName>字词问题</groupName>
      <ability>L2_Typo</ability>
      <abilityName>字词错误</abilityName>
      <candidateList>
        <item>平均</item>
      </candidateList>
      <explain/>
      <paraID> 57AF505</paraID>
      <start>107</start>
      <end>109</end>
      <status>ignored</status>
      <modifiedWord/>
      <trackRevisions>false</trackRevisions>
    </reviewItem>
    <reviewItem>
      <errorID>27ecf811-872c-445e-b485-69196138a685</errorID>
      <errorWord>年平</errorWord>
      <group>L1_Word</group>
      <groupName>字词问题</groupName>
      <ability>L2_Typo</ability>
      <abilityName>字词错误</abilityName>
      <candidateList>
        <item>年均</item>
      </candidateList>
      <explain/>
      <paraID>15F83AFA</paraID>
      <start>140</start>
      <end>142</end>
      <status>ignored</status>
      <modifiedWord/>
      <trackRevisions>false</trackRevisions>
    </reviewItem>
    <reviewItem>
      <errorID>269d1518-caf4-4675-9e00-7b48e9dda623</errorID>
      <errorWord>年平</errorWord>
      <group>L1_Word</group>
      <groupName>字词问题</groupName>
      <ability>L2_Typo</ability>
      <abilityName>字词错误</abilityName>
      <candidateList>
        <item>年均</item>
      </candidateList>
      <explain/>
      <paraID>15F83AFA</paraID>
      <start>149</start>
      <end>151</end>
      <status>ignored</status>
      <modifiedWord/>
      <trackRevisions>false</trackRevisions>
    </reviewItem>
    <reviewItem>
      <errorID>4006f92e-e0f7-4204-a676-f5fdf0977dd2</errorID>
      <errorWord>年平</errorWord>
      <group>L1_Word</group>
      <groupName>字词问题</groupName>
      <ability>L2_Typo</ability>
      <abilityName>字词错误</abilityName>
      <candidateList>
        <item>年均</item>
      </candidateList>
      <explain/>
      <paraID>15F83AFA</paraID>
      <start>173</start>
      <end>175</end>
      <status>ignored</status>
      <modifiedWord/>
      <trackRevisions>false</trackRevisions>
    </reviewItem>
    <reviewItem>
      <errorID>f56c34e1-3457-410e-9892-02ad4563384d</errorID>
      <errorWord>年平</errorWord>
      <group>L1_Word</group>
      <groupName>字词问题</groupName>
      <ability>L2_Typo</ability>
      <abilityName>字词错误</abilityName>
      <candidateList>
        <item>年均</item>
      </candidateList>
      <explain/>
      <paraID>15F83AFA</paraID>
      <start>182</start>
      <end>184</end>
      <status>ignored</status>
      <modifiedWord/>
      <trackRevisions>false</trackRevisions>
    </reviewItem>
    <reviewItem>
      <errorID>ee2ee8fa-1249-43aa-aac4-a3e98ac4416f</errorID>
      <errorWord>做出</errorWord>
      <group>L1_Word</group>
      <groupName>字词问题</groupName>
      <ability>L2_Typo</ability>
      <abilityName>字词错误</abilityName>
      <candidateList>
        <item>作出</item>
      </candidateList>
      <explain/>
      <paraID>653F6D77</paraID>
      <start>311</start>
      <end>313</end>
      <status>ignored</status>
      <modifiedWord/>
      <trackRevisions>false</trackRevisions>
    </reviewItem>
    <reviewItem>
      <errorID>81e7a734-a2fd-4daa-be2e-b55a44e98507</errorID>
      <errorWord>农业部</errorWord>
      <group>L1_Knowledge</group>
      <groupName>知识性问题</groupName>
      <ability>L2_Knowledge</ability>
      <abilityName>其他知识</abilityName>
      <candidateList>
        <item>农业农村部</item>
      </candidateList>
      <explain/>
      <paraID>1E8BA38C</paraID>
      <start>0</start>
      <end>3</end>
      <status>ignored</status>
      <modifiedWord/>
      <trackRevisions>false</trackRevisions>
    </reviewItem>
    <reviewItem>
      <errorID>9a2e9e4e-9d23-4521-9c34-7eddb350efa8</errorID>
      <errorWord>农业部</errorWord>
      <group>L1_Knowledge</group>
      <groupName>知识性问题</groupName>
      <ability>L2_Knowledge</ability>
      <abilityName>其他知识</abilityName>
      <candidateList>
        <item>农业农村部</item>
      </candidateList>
      <explain/>
      <paraID>7CD7F9BE</paraID>
      <start>2</start>
      <end>5</end>
      <status>ignored</status>
      <modifiedWord/>
      <trackRevisions>false</trackRevisions>
    </reviewItem>
    <reviewItem>
      <errorID>e06cff03-4b34-4047-b6fe-e7387243bd29</errorID>
      <errorWord>农业部</errorWord>
      <group>L1_Knowledge</group>
      <groupName>知识性问题</groupName>
      <ability>L2_Knowledge</ability>
      <abilityName>其他知识</abilityName>
      <candidateList>
        <item>农业农村部</item>
      </candidateList>
      <explain/>
      <paraID> 12AB8A3</paraID>
      <start>2</start>
      <end>5</end>
      <status>ignored</status>
      <modifiedWord/>
      <trackRevisions>false</trackRevisions>
    </reviewItem>
    <reviewItem>
      <errorID>451ea17f-d3a5-4f84-b98b-214d73b087b1</errorID>
      <errorWord>农业部</errorWord>
      <group>L1_Knowledge</group>
      <groupName>知识性问题</groupName>
      <ability>L2_Knowledge</ability>
      <abilityName>其他知识</abilityName>
      <candidateList>
        <item>农业农村部</item>
      </candidateList>
      <explain/>
      <paraID>42E50ADE</paraID>
      <start>2</start>
      <end>5</end>
      <status>ignored</status>
      <modifiedWord/>
      <trackRevisions>false</trackRevisions>
    </reviewItem>
    <reviewItem>
      <errorID>e5694d18-d57f-498f-8443-adef66eeb3f9</errorID>
      <errorWord>法制化</errorWord>
      <group>L1_Word</group>
      <groupName>字词问题</groupName>
      <ability>L2_Typo</ability>
      <abilityName>字词错误</abilityName>
      <candidateList>
        <item>法治化</item>
      </candidateList>
      <explain/>
      <paraID>5EA6B4DB</paraID>
      <start>99</start>
      <end>102</end>
      <status>ignored</status>
      <modifiedWord/>
      <trackRevisions>false</trackRevisions>
    </reviewItem>
    <reviewItem>
      <errorID>46ce4654-84d6-4db8-a875-2fee68ff1474</errorID>
      <errorWord>农业部</errorWord>
      <group>L1_Knowledge</group>
      <groupName>知识性问题</groupName>
      <ability>L2_Knowledge</ability>
      <abilityName>其他知识</abilityName>
      <candidateList>
        <item>农业农村部</item>
      </candidateList>
      <explain/>
      <paraID>5EA6B4DB</paraID>
      <start>278</start>
      <end>281</end>
      <status>ignored</status>
      <modifiedWord/>
      <trackRevisions>false</trackRevisions>
    </reviewItem>
    <reviewItem>
      <errorID>6aa19c2f-9c3a-49d7-94fa-09ea0470a3e1</errorID>
      <errorWord>法制化</errorWord>
      <group>L1_Word</group>
      <groupName>字词问题</groupName>
      <ability>L2_Typo</ability>
      <abilityName>字词错误</abilityName>
      <candidateList>
        <item>法治化</item>
      </candidateList>
      <explain/>
      <paraID>6619A625</paraID>
      <start>96</start>
      <end>99</end>
      <status>ignored</status>
      <modifiedWord/>
      <trackRevisions>false</trackRevisions>
    </reviewItem>
    <reviewItem>
      <errorID>69fd48d7-0bda-4ef9-84ba-091eb5bfa28f</errorID>
      <errorWord>如海</errorWord>
      <group>L1_Word</group>
      <groupName>字词问题</groupName>
      <ability>L2_Typo</ability>
      <abilityName>字词错误</abilityName>
      <candidateList>
        <item>入海</item>
      </candidateList>
      <explain/>
      <paraID>26492268</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CB978B-3643-4BDC-908B-F30006CB53D0}">
  <ds:schemaRefs/>
</ds:datastoreItem>
</file>

<file path=docProps/app.xml><?xml version="1.0" encoding="utf-8"?>
<Properties xmlns="http://schemas.openxmlformats.org/officeDocument/2006/extended-properties" xmlns:vt="http://schemas.openxmlformats.org/officeDocument/2006/docPropsVTypes">
  <Template>南通市人民政府常务会议会议材料模板</Template>
  <Company>Sky123.Org</Company>
  <Pages>56</Pages>
  <Words>15237</Words>
  <Characters>17539</Characters>
  <Lines>235</Lines>
  <Paragraphs>66</Paragraphs>
  <TotalTime>30</TotalTime>
  <ScaleCrop>false</ScaleCrop>
  <LinksUpToDate>false</LinksUpToDate>
  <CharactersWithSpaces>17663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2022-03-08T03:38:00Z</dcterms:created>
  <dc:creator>HP</dc:creator>
  <cp:lastModifiedBy>陆茜茜</cp:lastModifiedBy>
  <cp:lastPrinted>2026-04-15T03:14:00Z</cp:lastPrinted>
  <dcterms:modified xsi:type="dcterms:W3CDTF">2026-04-16T06:53:34Z</dcterms:modified>
  <dc:title>南通市人民政府文件</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03D01B6F86764FFE8ACB894135AB5C2E_13</vt:lpwstr>
  </property>
  <property fmtid="{D5CDD505-2E9C-101B-9397-08002B2CF9AE}" pid="3" name="KSOProductBuildVer">
    <vt:lpwstr>2052-12.1.0.25225</vt:lpwstr>
  </property>
  <property fmtid="{D5CDD505-2E9C-101B-9397-08002B2CF9AE}" pid="4" name="KSOTemplateDocerSaveRecord">
    <vt:lpwstr>eyJoZGlkIjoiMzdmODgwZTZjOTZjYzQ4MDg0NDM1NzU3ZGE4MGYwY2EiLCJ1c2VySWQiOiI3MzcyMDkwODUifQ==</vt:lpwstr>
  </property>
</Properties>
</file>