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64449">
      <w:pPr>
        <w:spacing w:line="590" w:lineRule="exact"/>
        <w:jc w:val="center"/>
        <w:rPr>
          <w:rFonts w:ascii="Times New Roman" w:hAnsi="Times New Roman" w:eastAsia="方正小标宋_GBK" w:cs="Times New Roman"/>
          <w:position w:val="2"/>
          <w:sz w:val="44"/>
          <w:szCs w:val="44"/>
        </w:rPr>
      </w:pPr>
      <w:r>
        <w:rPr>
          <w:rFonts w:ascii="Times New Roman" w:hAnsi="Times New Roman" w:eastAsia="方正小标宋_GBK" w:cs="Times New Roman"/>
          <w:position w:val="2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position w:val="2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 w:cs="Times New Roman"/>
          <w:position w:val="2"/>
          <w:sz w:val="44"/>
          <w:szCs w:val="44"/>
        </w:rPr>
        <w:t>年南通市通州区东西部协作工作要点</w:t>
      </w:r>
    </w:p>
    <w:p w14:paraId="5E94E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position w:val="2"/>
          <w:sz w:val="44"/>
          <w:szCs w:val="44"/>
          <w:lang w:eastAsia="zh-CN"/>
        </w:rPr>
      </w:pPr>
      <w:r>
        <w:rPr>
          <w:rFonts w:hint="eastAsia" w:ascii="方正楷体_GBK" w:hAnsi="方正楷体_GBK" w:eastAsia="方正楷体_GBK" w:cs="方正楷体_GBK"/>
          <w:position w:val="2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position w:val="2"/>
          <w:sz w:val="32"/>
          <w:szCs w:val="32"/>
          <w:lang w:val="en-US" w:eastAsia="zh-CN"/>
        </w:rPr>
        <w:t>征求意见稿</w:t>
      </w:r>
      <w:r>
        <w:rPr>
          <w:rFonts w:hint="eastAsia" w:ascii="方正楷体_GBK" w:hAnsi="方正楷体_GBK" w:eastAsia="方正楷体_GBK" w:cs="方正楷体_GBK"/>
          <w:position w:val="2"/>
          <w:sz w:val="32"/>
          <w:szCs w:val="32"/>
          <w:lang w:eastAsia="zh-CN"/>
        </w:rPr>
        <w:t>）</w:t>
      </w:r>
    </w:p>
    <w:p w14:paraId="5FB82ADB">
      <w:pPr>
        <w:overflowPunct w:val="0"/>
        <w:spacing w:line="590" w:lineRule="exact"/>
        <w:ind w:firstLine="632" w:firstLineChars="200"/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</w:p>
    <w:p w14:paraId="57E6FB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Times New Roman" w:hAnsi="Times New Roman" w:eastAsia="方正仿宋_GBK" w:cs="Times New Roman"/>
          <w:positio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为高质量做好苏陕、苏青东西部协作工作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，根据党中央、国务院决策部署和省委、省政府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工作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要求，结合工作实际，制定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本年度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工作要点。</w:t>
      </w:r>
    </w:p>
    <w:p w14:paraId="6BFB60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position w:val="2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position w:val="2"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position w:val="2"/>
          <w:sz w:val="32"/>
          <w:szCs w:val="32"/>
          <w:lang w:val="en-US" w:eastAsia="zh-CN"/>
        </w:rPr>
        <w:t>特色产业提升行动</w:t>
      </w:r>
    </w:p>
    <w:p w14:paraId="3822F2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Times New Roman" w:hAnsi="Times New Roman" w:eastAsia="方正仿宋_GBK" w:cs="Times New Roman"/>
          <w:positio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通过“强龙头、补链条、兴业态、塑品牌”，助力特色产业链条延伸、产加销融合，着力做好“土特产”文章，强化联农带农，助力群众增收致富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。</w:t>
      </w:r>
    </w:p>
    <w:p w14:paraId="706271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助推特色产业全链发展。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助推镇巴腊肉、中药材、茶叶、菌类、富硒食品，尖扎牦牛、藏羊、乳制品、冷水鱼等产业链式发展，帮助开展品种培优、品质提升、品牌打造，助力做优生产基地、做强精深加工，协助补齐物流仓储保鲜溯源环节。〔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责任单位：区发展和改革委员会、区农业农村局、区商务局、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highlight w:val="none"/>
          <w:lang w:val="en-US" w:eastAsia="zh-CN"/>
        </w:rPr>
        <w:t>区供销总社、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区对口帮扶镇巴联络组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等按职责分工负责（以下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区对口帮扶镇巴联络组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均为责任单位，不再列出）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〕</w:t>
      </w:r>
    </w:p>
    <w:p w14:paraId="7CE782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助力农文旅融合发展。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助力镇巴县、尖扎县乡村农文旅融合发展，组织文旅企业帮助整合乡村农文旅资源、创新产品业态、开发消费场景，帮助打造特色乡村和农文旅线路，协助开展推介引流活动，组团参加协作地区文旅品牌节庆活动。组织直播团队走进协作地区开展直播活动，深化苏陕“四方结对”、苏青“1+3+X”共建宜居宜业和美乡村工作。发挥“苏超”赛事平台作用，融合开展交往交流、文化展演、旅游推介、消费帮扶、产业合作等活动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（责任单位：区农业农村局、区文化广电和旅游局、区教育体育局、区融媒体中心等按职责分工负责）</w:t>
      </w:r>
    </w:p>
    <w:p w14:paraId="54A555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科技赋能特色产业发展。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组织农业科技专家根据镇巴县、尖扎县需求开展调研指导，交流特色种植养殖、农产品精深加工、数字农业等科技创新经验，帮助引进推广农业新品种新技术。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（责任单位：区科学技术局、区农业农村局等按职责分工负责）</w:t>
      </w:r>
    </w:p>
    <w:p w14:paraId="4053B2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position w:val="2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position w:val="2"/>
          <w:sz w:val="32"/>
          <w:szCs w:val="32"/>
        </w:rPr>
        <w:t>二、</w:t>
      </w:r>
      <w:r>
        <w:rPr>
          <w:rFonts w:hint="eastAsia" w:ascii="Times New Roman" w:hAnsi="Times New Roman" w:eastAsia="方正黑体_GBK" w:cs="Times New Roman"/>
          <w:position w:val="2"/>
          <w:sz w:val="32"/>
          <w:szCs w:val="32"/>
          <w:lang w:val="en-US" w:eastAsia="zh-CN"/>
        </w:rPr>
        <w:t>产业集群打造行动</w:t>
      </w:r>
    </w:p>
    <w:p w14:paraId="0E292C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结合镇巴县、尖扎县资源基础和优势产业发展重点，深化产业链协作，合作共建产业园区，开展产业对接活动，助力打造特色产业集群，提升带动就业能力。</w:t>
      </w:r>
    </w:p>
    <w:p w14:paraId="1F4A57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深化产业链协作。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围绕镇巴县、尖扎县资源禀赋和产业发展重点，突出强链补链延链，根据协作地区需求，开展“链上同行·产业赋能”活动。引导通州企业围绕镇巴县中医药、生态茶、富硒农产、文旅康养等特色领域，以及尖扎县新能源、绿色算力、高原特色种养、沿黄文旅等优势领域开展交流合作。做好第十届丝博会、第27届青洽会参会参展工作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（责任单位：区发展和改革委员会、区商务局、区农业农村局、区工商联等按职责分工负责）</w:t>
      </w:r>
    </w:p>
    <w:p w14:paraId="5B73C9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深化园区合作共建。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推广苏陕共建“区中园”经验做法，通过主导产业共谋、园区建设共推、经管人才共育、信息资源共享，推动提升园区合作共建综合效益。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（责任单位：区发展和改革委员会、区商务局等按职责分工负责）</w:t>
      </w:r>
    </w:p>
    <w:p w14:paraId="6FD491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position w:val="2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方正黑体_GBK" w:cs="Times New Roman"/>
          <w:position w:val="2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position w:val="2"/>
          <w:sz w:val="32"/>
          <w:szCs w:val="32"/>
          <w:lang w:val="en-US" w:eastAsia="zh-CN"/>
        </w:rPr>
        <w:t>消费帮扶增收行动</w:t>
      </w:r>
    </w:p>
    <w:p w14:paraId="4320C4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坚持政府引导、市场主导，持续开展协作帮扶促消费专项工作，共建生产基地、打造帮扶品牌、拓展销售渠道，推动消费帮扶提质扩量。</w:t>
      </w:r>
    </w:p>
    <w:p w14:paraId="7354E1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落实政府帮扶机制。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落实政府采购、工会经费等支持政策，组织各级劳模、职工等赴镇巴县、尖扎县符合条件的疗休养基地开展疗休养，运营好消费帮扶专区专馆专柜和电商平台。探索利用电商平台数据优势，分析市场偏好和需求，指导协作地区调整农产品种植养殖结构、开发多元产品。组织区融媒体中心播出宣传镇巴县、尖扎县农文旅产品的公益节目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（责任单位：区发展和改革委员会、区财政局、区商务局、区农业农村局、区融媒体中心、区总工会等按职责分工负责）</w:t>
      </w:r>
    </w:p>
    <w:p w14:paraId="23D24C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拓展深化产销对接。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开展消费帮扶新春、金秋行动，积极参加第五届江苏对口支援协作合作地区特色产品交易会、“江苏供销市集”及全国脱贫地区优质特色粮油产品展销会等产销对接活动。持续推进协作帮扶促消费，优化采购主体和需求清单，会同镇巴县、尖扎县优化产品及生产经营主体清单，协同开展采购主体和生产主体对接活动。依托供销系统直供配送网络，在镇巴县、尖扎县设立农产品直供基地，探索开展订单农业。协调农业龙头企业赴镇巴县、尖扎县考察对接精深加工和原料供应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（责任单位：区发展和改革委员会、区财政局、区农业农村局、区商务局、区总工会、区供销总社等按职责分工负责）</w:t>
      </w:r>
    </w:p>
    <w:p w14:paraId="7B45E5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position w:val="2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_GBK" w:cs="Times New Roman"/>
          <w:position w:val="2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position w:val="2"/>
          <w:sz w:val="32"/>
          <w:szCs w:val="32"/>
          <w:lang w:val="en-US" w:eastAsia="zh-CN"/>
        </w:rPr>
        <w:t>劳务协作提质行动</w:t>
      </w:r>
    </w:p>
    <w:p w14:paraId="3D486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1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推行“培训+就业”、“招工+就业”、“线上+线下”、“服务+管理”劳务协作新模式，深化协作帮扶促就业专项工作，提升劳务输转组织化程度，助推就业规模扩容、就业质量提升。</w:t>
      </w:r>
    </w:p>
    <w:p w14:paraId="437278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强化劳务品牌矩阵打造。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联合镇巴县、尖扎县遴选确定一批重点劳务品牌，开展共建共育，以防止返贫致贫监测对象为重点，强化技能培训，扩大带动就业规模。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（责任单位：区人力资源和社会保障局等按职责分工负责）</w:t>
      </w:r>
    </w:p>
    <w:p w14:paraId="49F8A7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强化校企合作订单培养。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紧盯产业发展需求，依托重点企业稳岗就业，组织遴选一批稳岗就业重点企业，建立重点企业用工需求清单，协同镇巴县、尖扎县开展校企合作，推动开展订单培养定向就业。实施就业援助行动，突出大龄劳动力和新成长劳动力等重点群体，加强技能培训和就业服务。支持培育乡村工匠、建设振兴工坊，促进就地就近稳定就业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（责任单位：区教育体育局、区发展和改革委员会、区人力资源和社会保障局、区农业农村局等按职责分工负责）</w:t>
      </w:r>
    </w:p>
    <w:p w14:paraId="356F24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强化劳务协作精准对接。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举办劳务协作专场招聘、实行“点对点”送工、开展订单式培训等措施，实现信息协同、服务协同、培训协同，健全培训、输出、服务、维权服务体系，提升劳务输出组织化程度和定向就业成功率。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（责任单位：区人力资源和社会保障局等按职责分工负责）</w:t>
      </w:r>
    </w:p>
    <w:p w14:paraId="776F4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positio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方正黑体_GBK" w:cs="Times New Roman"/>
          <w:position w:val="2"/>
          <w:sz w:val="32"/>
          <w:szCs w:val="32"/>
          <w:lang w:val="en-US" w:eastAsia="zh-CN"/>
        </w:rPr>
        <w:t>医教帮扶提效行动</w:t>
      </w:r>
    </w:p>
    <w:p w14:paraId="47C86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深化医院学校结对帮扶，重点打造优势专业和科室，帮助培育培养骨干队伍，推动优质资源扩容下沉，助力提升公共服务水平。</w:t>
      </w:r>
    </w:p>
    <w:p w14:paraId="3F9805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深化教育帮扶。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深化学校结对帮扶合作，支持开展教育人才双向挂职培训，开展远程教研、协同备课和教学观摩，推动优质教育资源共建共享、工作互帮互促、经验互学互鉴。做好教育人才“组团式”帮扶镇巴县、尖扎县普高、职高工作，助力培育一批示范标杆学校。深化高校间学科建设、人才培养、关键技术科研攻关等合作。支持高校、企业跨省开展产教融合、政校企合作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（责任单位：区教育体育局等按职责分工负责）</w:t>
      </w:r>
    </w:p>
    <w:p w14:paraId="7EE56D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深化医疗帮扶。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围绕专科建设、人才培养等重点任务，提高医疗协作综合效益。紧扣群众医疗需求和疾病谱差异，发挥援派医疗人才作用，通过“专家驻点带教+后方医院支撑”、“以院包科+学科共建”等方式，帮助受帮扶医院重点培育1-2个专科。深化远程医疗协作，开展远程影像诊断、病理会诊、多学科联合诊疗，拓展远程手术指导、术后康复随访等功能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（责任单位：区卫生健康委员会等按职责分工负责）</w:t>
      </w:r>
    </w:p>
    <w:p w14:paraId="025135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Times New Roman" w:hAnsi="Times New Roman" w:eastAsia="方正黑体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position w:val="2"/>
          <w:sz w:val="32"/>
          <w:szCs w:val="32"/>
          <w:lang w:val="en-US" w:eastAsia="zh-CN"/>
        </w:rPr>
        <w:t>社会帮扶深化行动</w:t>
      </w:r>
    </w:p>
    <w:p w14:paraId="30F8E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提升社会力量参与组织化程度，广泛动员引导社会力量积极参与东西部协作，帮助补齐民生短板，增进民生福祉。</w:t>
      </w:r>
    </w:p>
    <w:p w14:paraId="13C9FC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深化社会组织帮扶。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擦亮“苏社有为共振兴”公益品牌，引导社会组织参与助力乡村振兴行动，帮助对接实施一批乡村振兴公益项目。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（责任单位：区民政局等按职责分工负责）</w:t>
      </w:r>
    </w:p>
    <w:p w14:paraId="545A9F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深化民营企业帮扶。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做好“万企兴万村”倾斜支持国家乡村振兴重点帮扶县工作，引导民营企业履行社会责任，落实帮扶措施，开展助医助学、实施帮扶项目、参与消费帮扶。深化企村帮扶，根据协作地需求，助力城市儿童友好建设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（责任单位：区发展和改革委员会、区工商联、区妇联等按职责分工负责）</w:t>
      </w:r>
    </w:p>
    <w:p w14:paraId="7A9BAB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深化品牌公益帮扶。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扩大“心佑工程”筛查范围，优化“异地手术+本地康复”流程。升级“光明行”行动，推进“白内障动态清零”，拓展眼底病筛查治疗。持续深化“银发生辉·银龄行动”，组织银发人才赴镇巴县、尖扎县开展服务活动。实施“苏青银铃行动”，招募老年志愿者围绕医疗、康复、护理等开展智力帮扶。支持开展“医路畅行”暖心项目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（责任单位：区委老干部局、区民政局、区卫生健康委员会、区妇联等按职责分工负责）</w:t>
      </w:r>
    </w:p>
    <w:p w14:paraId="19B42D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hint="eastAsia" w:ascii="Times New Roman" w:hAnsi="Times New Roman" w:eastAsia="方正黑体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position w:val="2"/>
          <w:sz w:val="32"/>
          <w:szCs w:val="32"/>
          <w:lang w:val="en-US" w:eastAsia="zh-CN"/>
        </w:rPr>
        <w:t>优势互补共赢行动</w:t>
      </w:r>
    </w:p>
    <w:p w14:paraId="0F58D8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positio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着眼服务构建全国统一大市场，坚持优势互补、共赢发展，共推高质量发展，更好服务全国发展大局。</w:t>
      </w:r>
    </w:p>
    <w:p w14:paraId="58F8D5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ascii="Times New Roman" w:hAnsi="Times New Roman" w:eastAsia="方正楷体_GBK" w:cs="Times New Roman"/>
          <w:position w:val="2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共同服务构建全国统一大市场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采取“江苏企业+协作地资源”、“江苏研发+协作地制造”、“江苏总部+协作地基地”、“江苏市场+协作地产品”等合作方式，深化优势互补、合作共赢。结合协作地区绿电、算力、场景等优势，加强“西电东送”、“东数西算”等合作，促进产品技术和应用场景有效对接。引导我区企业对接、积极参与镇巴县、尖扎县“十五五”重大项目、重大工程，实现协作共赢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</w:rPr>
        <w:t>（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责任单位：区发展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改革委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员会、区科技局、区商务局、区数据局</w:t>
      </w:r>
      <w:bookmarkStart w:id="0" w:name="_GoBack"/>
      <w:bookmarkEnd w:id="0"/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等按职责分工负责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</w:rPr>
        <w:t>）</w:t>
      </w:r>
    </w:p>
    <w:p w14:paraId="18B4F0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ascii="Times New Roman" w:hAnsi="Times New Roman" w:eastAsia="方正仿宋_GBK" w:cs="Times New Roman"/>
          <w:position w:val="2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共推生态环境保护。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聚焦青藏高原、黄河流域生态保护和高质量发展，围绕污染治理、生态安全屏障建设、生物多样性保护、生态环境监测、野生植物迁地保护等开展业务交流与合作，助力镇巴县、尖扎县提升环境管理水平、打造生态文明高地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</w:rPr>
        <w:t>（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通州生态环境局、通州自然资源和规划局等按职责分工负责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</w:rPr>
        <w:t>）</w:t>
      </w:r>
    </w:p>
    <w:p w14:paraId="277C5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Times New Roman" w:hAnsi="Times New Roman" w:eastAsia="方正仿宋_GBK" w:cs="Times New Roman"/>
          <w:position w:val="2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position w:val="2"/>
          <w:sz w:val="32"/>
          <w:szCs w:val="32"/>
          <w:lang w:val="en-US" w:eastAsia="zh-CN"/>
        </w:rPr>
        <w:t>八、强化组织保障</w:t>
      </w:r>
    </w:p>
    <w:p w14:paraId="515D5A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textAlignment w:val="auto"/>
        <w:rPr>
          <w:rFonts w:ascii="Times New Roman" w:hAnsi="Times New Roman" w:eastAsia="方正楷体_GBK" w:cs="Times New Roman"/>
          <w:position w:val="2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加强组织领导。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各级党委、政府专题研究部署，主要负责同志亲自过问，分管负责同志具体推进，层层压实责任，确保高质量完成年度各项目标任务。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将东西部协作工作列为党委、政府会议重要议题进行专题研究部署。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适时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召开区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对口支援协作合作工作专班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会议、全区工作会议，研究部署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具体工作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落实协作双方定期会商制度，重在解决问题，不能过频过繁、不搞形式主义。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</w:rPr>
        <w:t>（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责任单位：区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对口支援协作合作工作专班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成员单位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按职责分工负责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</w:rPr>
        <w:t>）</w:t>
      </w:r>
    </w:p>
    <w:p w14:paraId="26A92E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Times New Roman" w:hAnsi="Times New Roman" w:eastAsia="方正楷体_GBK" w:cs="Times New Roman"/>
          <w:position w:val="2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 xml:space="preserve">19. 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强化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协调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推进。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完善区级统筹、部门协同、镇（街道）抓落实、社会参与的工作机制，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牵头单位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加强统筹谋划和协调衔接，落实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年初部署、按月监测、按季调度、年度评估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推进机制。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各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成员单位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根据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职责分工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强化工作部署和业务指导，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镇巴联络组加强工作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推进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共同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eastAsia="zh-CN"/>
        </w:rPr>
        <w:t>打造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eastAsia="zh-CN"/>
        </w:rPr>
        <w:t>品牌和示范标杆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深化学校、医院、村镇、企村和社会组织等领域结对帮扶。做好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年度东西部协作考核反馈问题整改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和2026年度东西部协作考核评价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工作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及时总结宣传东西部协作工作成效、经验做法和典型案例，加强互学互鉴，营造良好氛围，引导社会各界积极参与。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（责任单位：区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对口支援协作合作工作专班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成员单位按职责分工负责）</w:t>
      </w:r>
    </w:p>
    <w:p w14:paraId="7B03BA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ascii="Times New Roman" w:hAnsi="Times New Roman" w:eastAsia="方正楷体_GBK" w:cs="Times New Roman"/>
          <w:position w:val="2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20. 强化政策保障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加强与镇巴县、尖扎县对接沟通，及时筹集并拨付年度财政性协作资金。配合镇巴县、尖扎县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拟定资金分配方案，论证遴选协作项目，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协助加强协作资金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项目管理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推动健全协作项目长效管理机制</w:t>
      </w:r>
      <w:r>
        <w:rPr>
          <w:rFonts w:ascii="Times New Roman" w:hAnsi="Times New Roman" w:eastAsia="方正仿宋_GBK" w:cs="Times New Roman"/>
          <w:position w:val="2"/>
          <w:sz w:val="32"/>
          <w:szCs w:val="32"/>
        </w:rPr>
        <w:t>。继续选派干部人才开展帮扶工作，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保持帮扶力度不减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</w:rPr>
        <w:t>。做好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镇巴县、尖扎县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</w:rPr>
        <w:t>来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通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</w:rPr>
        <w:t>挂职干部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</w:rPr>
        <w:t>交流学习专业技术人才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position w:val="2"/>
          <w:sz w:val="32"/>
          <w:szCs w:val="32"/>
        </w:rPr>
        <w:t>管理服务工作。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</w:rPr>
        <w:t>（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责任单位：区委组织部，区发展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改革委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员会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、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区教育体育局、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区财政局、区人力资源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社会保障局、区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农业农村</w:t>
      </w:r>
      <w:r>
        <w:rPr>
          <w:rFonts w:ascii="Times New Roman" w:hAnsi="Times New Roman" w:eastAsia="方正楷体_GBK" w:cs="Times New Roman"/>
          <w:position w:val="2"/>
          <w:sz w:val="32"/>
          <w:szCs w:val="32"/>
        </w:rPr>
        <w:t>局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  <w:lang w:val="en-US" w:eastAsia="zh-CN"/>
        </w:rPr>
        <w:t>区卫生健康委员会等按职责分工负责</w:t>
      </w:r>
      <w:r>
        <w:rPr>
          <w:rFonts w:hint="eastAsia" w:ascii="Times New Roman" w:hAnsi="Times New Roman" w:eastAsia="方正楷体_GBK" w:cs="Times New Roman"/>
          <w:position w:val="2"/>
          <w:sz w:val="32"/>
          <w:szCs w:val="32"/>
        </w:rPr>
        <w:t>）</w:t>
      </w:r>
    </w:p>
    <w:p w14:paraId="696E153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footerReference r:id="rId3" w:type="default"/>
      <w:pgSz w:w="11906" w:h="16838"/>
      <w:pgMar w:top="2041" w:right="1474" w:bottom="1928" w:left="1587" w:header="851" w:footer="1247" w:gutter="0"/>
      <w:cols w:space="0" w:num="1"/>
      <w:docGrid w:type="linesAndChars" w:linePitch="323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469A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A7ECA">
                          <w:pPr>
                            <w:pStyle w:val="2"/>
                            <w:ind w:left="252" w:leftChars="120" w:right="252" w:rightChars="1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Tymtf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6A7ECA">
                    <w:pPr>
                      <w:pStyle w:val="2"/>
                      <w:ind w:left="252" w:leftChars="120" w:right="252" w:rightChars="1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7FD5E"/>
    <w:multiLevelType w:val="singleLevel"/>
    <w:tmpl w:val="92D7FD5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6CD54A3"/>
    <w:multiLevelType w:val="singleLevel"/>
    <w:tmpl w:val="D6CD54A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YmQyODlmZmY5NGVhNTI2YWNkZGI4Nzg5ZTVkNzUifQ=="/>
  </w:docVars>
  <w:rsids>
    <w:rsidRoot w:val="009D265C"/>
    <w:rsid w:val="003F2ACD"/>
    <w:rsid w:val="005C575F"/>
    <w:rsid w:val="00765D45"/>
    <w:rsid w:val="009D265C"/>
    <w:rsid w:val="00A47A19"/>
    <w:rsid w:val="00A54E5C"/>
    <w:rsid w:val="00C60E18"/>
    <w:rsid w:val="00D4637A"/>
    <w:rsid w:val="00F97D48"/>
    <w:rsid w:val="00FC5DB9"/>
    <w:rsid w:val="017957B2"/>
    <w:rsid w:val="04CE3CF8"/>
    <w:rsid w:val="0B1426D2"/>
    <w:rsid w:val="0B481FE1"/>
    <w:rsid w:val="0C540633"/>
    <w:rsid w:val="0C811B58"/>
    <w:rsid w:val="1138486F"/>
    <w:rsid w:val="19075272"/>
    <w:rsid w:val="1EA161F8"/>
    <w:rsid w:val="27AC0BAC"/>
    <w:rsid w:val="2A7E3970"/>
    <w:rsid w:val="2AD37883"/>
    <w:rsid w:val="2CC802C1"/>
    <w:rsid w:val="2D2F2CFF"/>
    <w:rsid w:val="2D460049"/>
    <w:rsid w:val="31E06010"/>
    <w:rsid w:val="33BE4EB0"/>
    <w:rsid w:val="35E14DB3"/>
    <w:rsid w:val="3C463BC1"/>
    <w:rsid w:val="3C763F1E"/>
    <w:rsid w:val="3D09495B"/>
    <w:rsid w:val="3F88629F"/>
    <w:rsid w:val="40B90D90"/>
    <w:rsid w:val="44872FC9"/>
    <w:rsid w:val="47092A57"/>
    <w:rsid w:val="48DE4DA9"/>
    <w:rsid w:val="4EC82708"/>
    <w:rsid w:val="4F82709B"/>
    <w:rsid w:val="50C667E3"/>
    <w:rsid w:val="513F6364"/>
    <w:rsid w:val="557E56D6"/>
    <w:rsid w:val="574637B9"/>
    <w:rsid w:val="5C0D0AE7"/>
    <w:rsid w:val="5C2A6D31"/>
    <w:rsid w:val="5EAC1B52"/>
    <w:rsid w:val="5FA727C4"/>
    <w:rsid w:val="63D74F7B"/>
    <w:rsid w:val="655824E0"/>
    <w:rsid w:val="68FD36D6"/>
    <w:rsid w:val="69821ED6"/>
    <w:rsid w:val="6C6B4DFB"/>
    <w:rsid w:val="704020FA"/>
    <w:rsid w:val="7072734E"/>
    <w:rsid w:val="76D40F13"/>
    <w:rsid w:val="7BAE4A29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首行缩进 21"/>
    <w:basedOn w:val="1"/>
    <w:qFormat/>
    <w:uiPriority w:val="0"/>
    <w:pPr>
      <w:spacing w:line="360" w:lineRule="auto"/>
      <w:ind w:firstLine="420" w:firstLineChars="200"/>
    </w:pPr>
    <w:rPr>
      <w:rFonts w:eastAsia="方正仿宋简体"/>
      <w:sz w:val="24"/>
      <w:szCs w:val="32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4168</Words>
  <Characters>4188</Characters>
  <Lines>73</Lines>
  <Paragraphs>20</Paragraphs>
  <TotalTime>301</TotalTime>
  <ScaleCrop>false</ScaleCrop>
  <LinksUpToDate>false</LinksUpToDate>
  <CharactersWithSpaces>4190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2023-06-05T02:48:00Z</dcterms:created>
  <dc:creator>NTKO</dc:creator>
  <cp:lastModifiedBy>卡卡</cp:lastModifiedBy>
  <cp:lastPrinted>2026-04-20T03:20:28Z</cp:lastPrinted>
  <dcterms:modified xsi:type="dcterms:W3CDTF">2026-04-20T03:39:50Z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7C452ED9F57B48948B4F30CDFE1D97D0_13</vt:lpwstr>
  </property>
  <property fmtid="{D5CDD505-2E9C-101B-9397-08002B2CF9AE}" pid="4" name="KSOTemplateDocerSaveRecord">
    <vt:lpwstr>eyJoZGlkIjoiZGYwYmQyODlmZmY5NGVhNTI2YWNkZGI4Nzg5ZTVkNzUiLCJ1c2VySWQiOiIyNzIyMjIzMzMifQ==</vt:lpwstr>
  </property>
</Properties>
</file>