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5939C">
      <w:pPr>
        <w:spacing w:line="360" w:lineRule="auto"/>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2403A58E">
      <w:pPr>
        <w:jc w:val="center"/>
        <w:rPr>
          <w:rFonts w:asciiTheme="minorEastAsia" w:hAnsiTheme="minorEastAsia" w:eastAsiaTheme="minorEastAsia" w:cstheme="minorEastAsia"/>
          <w:b/>
          <w:bCs/>
          <w:sz w:val="32"/>
          <w:szCs w:val="32"/>
        </w:rPr>
      </w:pPr>
    </w:p>
    <w:p w14:paraId="2A828996">
      <w:pPr>
        <w:spacing w:line="360" w:lineRule="auto"/>
        <w:ind w:left="720" w:hanging="720" w:hangingChars="150"/>
        <w:jc w:val="center"/>
        <w:rPr>
          <w:rFonts w:hint="eastAsia" w:asciiTheme="minorEastAsia" w:hAnsiTheme="minorEastAsia" w:eastAsiaTheme="minorEastAsia" w:cstheme="minorEastAsia"/>
          <w:bCs/>
          <w:sz w:val="48"/>
          <w:szCs w:val="48"/>
          <w:highlight w:val="none"/>
          <w:lang w:val="en-US" w:eastAsia="zh-CN"/>
        </w:rPr>
      </w:pPr>
      <w:r>
        <w:rPr>
          <w:rFonts w:hint="eastAsia" w:asciiTheme="minorEastAsia" w:hAnsiTheme="minorEastAsia" w:eastAsiaTheme="minorEastAsia" w:cstheme="minorEastAsia"/>
          <w:bCs/>
          <w:sz w:val="48"/>
          <w:szCs w:val="48"/>
          <w:highlight w:val="none"/>
          <w:lang w:val="en-US" w:eastAsia="zh-CN"/>
        </w:rPr>
        <w:t>通州区应急水源地自控系统及监控安防</w:t>
      </w:r>
    </w:p>
    <w:p w14:paraId="24E8EA8F">
      <w:pPr>
        <w:spacing w:line="360" w:lineRule="auto"/>
        <w:ind w:left="720" w:hanging="720" w:hangingChars="150"/>
        <w:jc w:val="center"/>
        <w:rPr>
          <w:rFonts w:ascii="Calibri" w:hAnsi="Calibri" w:eastAsia="方正魏碑简体"/>
          <w:bCs/>
          <w:w w:val="96"/>
          <w:sz w:val="48"/>
          <w:szCs w:val="48"/>
          <w:highlight w:val="none"/>
        </w:rPr>
      </w:pPr>
      <w:r>
        <w:rPr>
          <w:rFonts w:hint="eastAsia" w:asciiTheme="minorEastAsia" w:hAnsiTheme="minorEastAsia" w:eastAsiaTheme="minorEastAsia" w:cstheme="minorEastAsia"/>
          <w:bCs/>
          <w:sz w:val="48"/>
          <w:szCs w:val="48"/>
          <w:highlight w:val="none"/>
          <w:lang w:val="en-US" w:eastAsia="zh-CN"/>
        </w:rPr>
        <w:t>改造升级</w:t>
      </w:r>
      <w:r>
        <w:rPr>
          <w:rFonts w:hint="eastAsia" w:ascii="Calibri" w:hAnsi="Calibri"/>
          <w:sz w:val="48"/>
          <w:szCs w:val="48"/>
          <w:highlight w:val="none"/>
        </w:rPr>
        <w:t>采购及安装项目</w:t>
      </w:r>
    </w:p>
    <w:p w14:paraId="30D613E3">
      <w:pPr>
        <w:spacing w:line="800" w:lineRule="exact"/>
        <w:jc w:val="center"/>
        <w:rPr>
          <w:rFonts w:asciiTheme="minorEastAsia" w:hAnsiTheme="minorEastAsia" w:eastAsiaTheme="minorEastAsia" w:cstheme="minorEastAsia"/>
          <w:bCs/>
          <w:sz w:val="48"/>
          <w:szCs w:val="48"/>
          <w:highlight w:val="none"/>
        </w:rPr>
      </w:pPr>
    </w:p>
    <w:p w14:paraId="4B66FED4">
      <w:pPr>
        <w:spacing w:line="360" w:lineRule="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p>
    <w:p w14:paraId="2BE09DF6">
      <w:pPr>
        <w:spacing w:line="360" w:lineRule="auto"/>
        <w:jc w:val="center"/>
        <w:rPr>
          <w:rFonts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pPr>
    </w:p>
    <w:p w14:paraId="444B3D8D">
      <w:pPr>
        <w:spacing w:line="360" w:lineRule="auto"/>
        <w:jc w:val="center"/>
        <w:rPr>
          <w:rFonts w:asciiTheme="minorEastAsia" w:hAnsiTheme="minorEastAsia" w:eastAsiaTheme="minorEastAsia" w:cstheme="minorEastAsia"/>
          <w:bCs/>
          <w:color w:val="0D0D0D" w:themeColor="text1" w:themeTint="F2"/>
          <w:sz w:val="32"/>
          <w:szCs w:val="32"/>
          <w:highlight w:val="none"/>
          <w14:textFill>
            <w14:solidFill>
              <w14:schemeClr w14:val="tx1">
                <w14:lumMod w14:val="95000"/>
                <w14:lumOff w14:val="5000"/>
              </w14:schemeClr>
            </w14:solidFill>
          </w14:textFill>
        </w:rPr>
      </w:pPr>
    </w:p>
    <w:p w14:paraId="025479E5">
      <w:pPr>
        <w:spacing w:line="360" w:lineRule="auto"/>
        <w:jc w:val="center"/>
        <w:rPr>
          <w:rFonts w:asciiTheme="minorEastAsia" w:hAnsiTheme="minorEastAsia" w:eastAsiaTheme="minorEastAsia" w:cstheme="minorEastAsia"/>
          <w:bCs/>
          <w:color w:val="0D0D0D" w:themeColor="text1" w:themeTint="F2"/>
          <w:sz w:val="52"/>
          <w:szCs w:val="52"/>
          <w:highlight w:val="none"/>
          <w14:textFill>
            <w14:solidFill>
              <w14:schemeClr w14:val="tx1">
                <w14:lumMod w14:val="95000"/>
                <w14:lumOff w14:val="5000"/>
              </w14:schemeClr>
            </w14:solidFill>
          </w14:textFill>
        </w:rPr>
      </w:pPr>
    </w:p>
    <w:p w14:paraId="5893C764">
      <w:pPr>
        <w:spacing w:line="360" w:lineRule="auto"/>
        <w:jc w:val="center"/>
        <w:rPr>
          <w:rFonts w:asciiTheme="minorEastAsia" w:hAnsiTheme="minorEastAsia" w:eastAsiaTheme="minorEastAsia" w:cstheme="minorEastAsia"/>
          <w:bCs/>
          <w:color w:val="0D0D0D" w:themeColor="text1" w:themeTint="F2"/>
          <w:sz w:val="52"/>
          <w:szCs w:val="52"/>
          <w:highlight w:val="none"/>
          <w14:textFill>
            <w14:solidFill>
              <w14:schemeClr w14:val="tx1">
                <w14:lumMod w14:val="95000"/>
                <w14:lumOff w14:val="5000"/>
              </w14:schemeClr>
            </w14:solidFill>
          </w14:textFill>
        </w:rPr>
      </w:pPr>
    </w:p>
    <w:p w14:paraId="230F727B">
      <w:pPr>
        <w:spacing w:line="700" w:lineRule="exact"/>
        <w:jc w:val="center"/>
        <w:rPr>
          <w:rFonts w:asciiTheme="minorEastAsia" w:hAnsiTheme="minorEastAsia" w:eastAsiaTheme="minorEastAsia" w:cstheme="minorEastAsia"/>
          <w:bCs/>
          <w:color w:val="0D0D0D" w:themeColor="text1" w:themeTint="F2"/>
          <w:sz w:val="72"/>
          <w:szCs w:val="7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72"/>
          <w:szCs w:val="72"/>
          <w:highlight w:val="none"/>
          <w14:textFill>
            <w14:solidFill>
              <w14:schemeClr w14:val="tx1">
                <w14:lumMod w14:val="95000"/>
                <w14:lumOff w14:val="5000"/>
              </w14:schemeClr>
            </w14:solidFill>
          </w14:textFill>
        </w:rPr>
        <w:t>招标文件</w:t>
      </w:r>
    </w:p>
    <w:p w14:paraId="7F2EEEC1">
      <w:pPr>
        <w:spacing w:line="500" w:lineRule="exact"/>
        <w:jc w:val="center"/>
        <w:rPr>
          <w:rFonts w:hint="eastAsia" w:asciiTheme="minorEastAsia" w:hAnsiTheme="minorEastAsia" w:eastAsiaTheme="minorEastAsia" w:cstheme="minorEastAsia"/>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（资格后审）</w:t>
      </w:r>
      <w:r>
        <w:rPr>
          <w:rFonts w:hint="eastAsia" w:asciiTheme="minorEastAsia" w:hAnsiTheme="minorEastAsia" w:eastAsiaTheme="minorEastAsia" w:cstheme="minorEastAsia"/>
          <w:bCs/>
          <w:color w:val="0D0D0D" w:themeColor="text1" w:themeTint="F2"/>
          <w:sz w:val="28"/>
          <w:szCs w:val="28"/>
          <w:highlight w:val="none"/>
          <w:lang w:eastAsia="zh-CN"/>
          <w14:textFill>
            <w14:solidFill>
              <w14:schemeClr w14:val="tx1">
                <w14:lumMod w14:val="95000"/>
                <w14:lumOff w14:val="5000"/>
              </w14:schemeClr>
            </w14:solidFill>
          </w14:textFill>
        </w:rPr>
        <w:t>第二次</w:t>
      </w:r>
    </w:p>
    <w:p w14:paraId="5362D21C">
      <w:pPr>
        <w:spacing w:line="360" w:lineRule="auto"/>
        <w:rPr>
          <w:rFonts w:asciiTheme="minorEastAsia" w:hAnsiTheme="minorEastAsia" w:eastAsiaTheme="minorEastAsia" w:cstheme="minorEastAsia"/>
          <w:color w:val="0D0D0D" w:themeColor="text1" w:themeTint="F2"/>
          <w:sz w:val="32"/>
          <w:szCs w:val="32"/>
          <w:highlight w:val="none"/>
          <w14:textFill>
            <w14:solidFill>
              <w14:schemeClr w14:val="tx1">
                <w14:lumMod w14:val="95000"/>
                <w14:lumOff w14:val="5000"/>
              </w14:schemeClr>
            </w14:solidFill>
          </w14:textFill>
        </w:rPr>
      </w:pPr>
    </w:p>
    <w:p w14:paraId="6E688A45">
      <w:pPr>
        <w:spacing w:line="360" w:lineRule="auto"/>
        <w:rPr>
          <w:rFonts w:asciiTheme="minorEastAsia" w:hAnsiTheme="minorEastAsia" w:eastAsiaTheme="minorEastAsia" w:cstheme="minorEastAsia"/>
          <w:color w:val="0D0D0D" w:themeColor="text1" w:themeTint="F2"/>
          <w:sz w:val="32"/>
          <w:szCs w:val="32"/>
          <w:highlight w:val="none"/>
          <w14:textFill>
            <w14:solidFill>
              <w14:schemeClr w14:val="tx1">
                <w14:lumMod w14:val="95000"/>
                <w14:lumOff w14:val="5000"/>
              </w14:schemeClr>
            </w14:solidFill>
          </w14:textFill>
        </w:rPr>
      </w:pPr>
    </w:p>
    <w:p w14:paraId="70E1522C">
      <w:pPr>
        <w:spacing w:line="360" w:lineRule="auto"/>
        <w:rPr>
          <w:rFonts w:asciiTheme="minorEastAsia" w:hAnsiTheme="minorEastAsia" w:eastAsiaTheme="minorEastAsia" w:cstheme="minorEastAsia"/>
          <w:color w:val="0D0D0D" w:themeColor="text1" w:themeTint="F2"/>
          <w:sz w:val="32"/>
          <w:szCs w:val="32"/>
          <w:highlight w:val="none"/>
          <w14:textFill>
            <w14:solidFill>
              <w14:schemeClr w14:val="tx1">
                <w14:lumMod w14:val="95000"/>
                <w14:lumOff w14:val="5000"/>
              </w14:schemeClr>
            </w14:solidFill>
          </w14:textFill>
        </w:rPr>
      </w:pPr>
    </w:p>
    <w:p w14:paraId="413B0E2A">
      <w:pPr>
        <w:spacing w:line="360" w:lineRule="auto"/>
        <w:rPr>
          <w:rFonts w:asciiTheme="minorEastAsia" w:hAnsiTheme="minorEastAsia" w:eastAsiaTheme="minorEastAsia" w:cstheme="minorEastAsia"/>
          <w:color w:val="0D0D0D" w:themeColor="text1" w:themeTint="F2"/>
          <w:sz w:val="32"/>
          <w:szCs w:val="32"/>
          <w:highlight w:val="none"/>
          <w14:textFill>
            <w14:solidFill>
              <w14:schemeClr w14:val="tx1">
                <w14:lumMod w14:val="95000"/>
                <w14:lumOff w14:val="5000"/>
              </w14:schemeClr>
            </w14:solidFill>
          </w14:textFill>
        </w:rPr>
      </w:pPr>
    </w:p>
    <w:p w14:paraId="61E4C149">
      <w:pPr>
        <w:spacing w:line="360" w:lineRule="auto"/>
        <w:rPr>
          <w:rFonts w:asciiTheme="minorEastAsia" w:hAnsiTheme="minorEastAsia" w:eastAsiaTheme="minorEastAsia" w:cstheme="minorEastAsia"/>
          <w:color w:val="0D0D0D" w:themeColor="text1" w:themeTint="F2"/>
          <w:sz w:val="32"/>
          <w:szCs w:val="32"/>
          <w:highlight w:val="none"/>
          <w14:textFill>
            <w14:solidFill>
              <w14:schemeClr w14:val="tx1">
                <w14:lumMod w14:val="95000"/>
                <w14:lumOff w14:val="5000"/>
              </w14:schemeClr>
            </w14:solidFill>
          </w14:textFill>
        </w:rPr>
      </w:pPr>
    </w:p>
    <w:p w14:paraId="5DB464A2">
      <w:pPr>
        <w:pStyle w:val="2"/>
        <w:rPr>
          <w:highlight w:val="none"/>
        </w:rPr>
      </w:pPr>
    </w:p>
    <w:p w14:paraId="6FFA63B7">
      <w:pPr>
        <w:pStyle w:val="31"/>
        <w:rPr>
          <w:rFonts w:hint="default"/>
          <w:highlight w:val="none"/>
        </w:rPr>
      </w:pPr>
    </w:p>
    <w:p w14:paraId="2D437100">
      <w:pPr>
        <w:spacing w:line="560" w:lineRule="exact"/>
        <w:jc w:val="center"/>
        <w:rPr>
          <w:rFonts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招标人: 南通市通州区水务有限公司</w:t>
      </w:r>
    </w:p>
    <w:p w14:paraId="1EBB0CB0">
      <w:pPr>
        <w:pStyle w:val="2"/>
        <w:spacing w:after="0" w:line="560" w:lineRule="exact"/>
        <w:jc w:val="center"/>
        <w:rPr>
          <w:rFonts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招标代理：南通市通州天元建设监理咨询有限公司</w:t>
      </w:r>
    </w:p>
    <w:p w14:paraId="6A7FF76E">
      <w:pPr>
        <w:spacing w:line="560" w:lineRule="exact"/>
        <w:jc w:val="center"/>
        <w:rPr>
          <w:rFonts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Cs/>
          <w:color w:val="0D0D0D" w:themeColor="text1" w:themeTint="F2"/>
          <w:sz w:val="28"/>
          <w:szCs w:val="28"/>
          <w:highlight w:val="none"/>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月</w:t>
      </w:r>
    </w:p>
    <w:p w14:paraId="6852D268">
      <w:pPr>
        <w:pStyle w:val="31"/>
        <w:rPr>
          <w:rFonts w:hint="default"/>
          <w:highlight w:val="none"/>
        </w:rPr>
      </w:pPr>
    </w:p>
    <w:p w14:paraId="06278B71">
      <w:pPr>
        <w:jc w:val="center"/>
        <w:rPr>
          <w:rFonts w:ascii="宋体" w:hAnsi="宋体"/>
          <w:sz w:val="44"/>
          <w:szCs w:val="44"/>
          <w:highlight w:val="none"/>
        </w:rPr>
      </w:pPr>
      <w:r>
        <w:rPr>
          <w:rFonts w:hint="eastAsia" w:ascii="宋体" w:hAnsi="宋体" w:cs="宋体"/>
          <w:sz w:val="44"/>
          <w:szCs w:val="44"/>
          <w:highlight w:val="none"/>
        </w:rPr>
        <w:t>招标文件备案表</w:t>
      </w:r>
    </w:p>
    <w:tbl>
      <w:tblPr>
        <w:tblStyle w:val="23"/>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2F46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7114E1F6">
            <w:pPr>
              <w:jc w:val="center"/>
              <w:rPr>
                <w:rFonts w:ascii="宋体" w:hAnsi="Calibri" w:cs="宋体"/>
                <w:color w:val="0C0C0C"/>
                <w:sz w:val="28"/>
                <w:szCs w:val="28"/>
                <w:highlight w:val="none"/>
              </w:rPr>
            </w:pPr>
          </w:p>
          <w:p w14:paraId="581A70FA">
            <w:pPr>
              <w:jc w:val="center"/>
              <w:rPr>
                <w:rFonts w:ascii="宋体" w:hAnsi="宋体" w:cs="宋体"/>
                <w:color w:val="0C0C0C"/>
                <w:sz w:val="28"/>
                <w:szCs w:val="28"/>
                <w:highlight w:val="none"/>
              </w:rPr>
            </w:pPr>
          </w:p>
          <w:p w14:paraId="17674928">
            <w:pPr>
              <w:pStyle w:val="16"/>
              <w:rPr>
                <w:highlight w:val="none"/>
              </w:rPr>
            </w:pPr>
          </w:p>
          <w:p w14:paraId="347B08D0">
            <w:pPr>
              <w:jc w:val="center"/>
              <w:rPr>
                <w:rFonts w:ascii="宋体" w:hAnsi="Calibri" w:cs="宋体"/>
                <w:color w:val="0C0C0C"/>
                <w:sz w:val="28"/>
                <w:szCs w:val="28"/>
                <w:highlight w:val="none"/>
              </w:rPr>
            </w:pPr>
            <w:r>
              <w:rPr>
                <w:rFonts w:hint="eastAsia" w:ascii="宋体" w:hAnsi="宋体" w:cs="宋体"/>
                <w:color w:val="0C0C0C"/>
                <w:sz w:val="28"/>
                <w:szCs w:val="28"/>
                <w:highlight w:val="none"/>
              </w:rPr>
              <w:t xml:space="preserve">    编制人：</w:t>
            </w:r>
          </w:p>
          <w:p w14:paraId="21535786">
            <w:pPr>
              <w:jc w:val="center"/>
              <w:rPr>
                <w:rFonts w:ascii="宋体" w:hAnsi="Calibri" w:cs="宋体"/>
                <w:color w:val="0C0C0C"/>
                <w:sz w:val="28"/>
                <w:szCs w:val="28"/>
                <w:highlight w:val="none"/>
              </w:rPr>
            </w:pPr>
          </w:p>
          <w:p w14:paraId="31B3A5AA">
            <w:pPr>
              <w:snapToGrid w:val="0"/>
              <w:jc w:val="center"/>
              <w:rPr>
                <w:rFonts w:ascii="宋体" w:hAnsi="Calibri" w:cs="宋体"/>
                <w:color w:val="0C0C0C"/>
                <w:sz w:val="28"/>
                <w:szCs w:val="28"/>
                <w:highlight w:val="none"/>
              </w:rPr>
            </w:pPr>
            <w:r>
              <w:rPr>
                <w:rFonts w:hint="eastAsia" w:ascii="宋体" w:hAnsi="宋体" w:cs="宋体"/>
                <w:color w:val="0C0C0C"/>
                <w:sz w:val="28"/>
                <w:szCs w:val="28"/>
                <w:highlight w:val="none"/>
              </w:rPr>
              <w:t xml:space="preserve">               日期：</w:t>
            </w:r>
            <w:r>
              <w:rPr>
                <w:rFonts w:ascii="宋体" w:hAnsi="宋体" w:cs="宋体"/>
                <w:color w:val="0C0C0C"/>
                <w:sz w:val="28"/>
                <w:szCs w:val="28"/>
                <w:highlight w:val="none"/>
              </w:rPr>
              <w:t>20</w:t>
            </w:r>
            <w:r>
              <w:rPr>
                <w:rFonts w:hint="eastAsia" w:ascii="宋体" w:hAnsi="宋体" w:cs="宋体"/>
                <w:color w:val="0C0C0C"/>
                <w:sz w:val="28"/>
                <w:szCs w:val="28"/>
                <w:highlight w:val="none"/>
              </w:rPr>
              <w:t>25年</w:t>
            </w:r>
            <w:r>
              <w:rPr>
                <w:rFonts w:hint="eastAsia" w:ascii="宋体" w:hAnsi="宋体" w:cs="宋体"/>
                <w:color w:val="0C0C0C"/>
                <w:sz w:val="28"/>
                <w:szCs w:val="28"/>
                <w:highlight w:val="none"/>
                <w:lang w:val="en-US" w:eastAsia="zh-CN"/>
              </w:rPr>
              <w:t>8</w:t>
            </w:r>
            <w:r>
              <w:rPr>
                <w:rFonts w:hint="eastAsia" w:ascii="宋体" w:hAnsi="宋体" w:cs="宋体"/>
                <w:color w:val="0C0C0C"/>
                <w:sz w:val="28"/>
                <w:szCs w:val="28"/>
                <w:highlight w:val="none"/>
              </w:rPr>
              <w:t>月　日</w:t>
            </w:r>
          </w:p>
        </w:tc>
      </w:tr>
      <w:tr w14:paraId="4873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733A3DB1">
            <w:pPr>
              <w:rPr>
                <w:rFonts w:ascii="宋体" w:hAnsi="Calibri" w:cs="宋体"/>
                <w:color w:val="0C0C0C"/>
                <w:sz w:val="28"/>
                <w:szCs w:val="28"/>
                <w:highlight w:val="none"/>
              </w:rPr>
            </w:pPr>
          </w:p>
          <w:p w14:paraId="3380E90E">
            <w:pPr>
              <w:rPr>
                <w:rFonts w:ascii="宋体" w:hAnsi="宋体" w:cs="宋体"/>
                <w:color w:val="0C0C0C"/>
                <w:sz w:val="28"/>
                <w:szCs w:val="28"/>
                <w:highlight w:val="none"/>
              </w:rPr>
            </w:pPr>
          </w:p>
          <w:p w14:paraId="0BED2493">
            <w:pPr>
              <w:rPr>
                <w:rFonts w:ascii="宋体" w:hAnsi="宋体" w:cs="宋体"/>
                <w:color w:val="0C0C0C"/>
                <w:sz w:val="28"/>
                <w:szCs w:val="28"/>
                <w:highlight w:val="none"/>
              </w:rPr>
            </w:pPr>
          </w:p>
          <w:p w14:paraId="6C3CC4A3">
            <w:pPr>
              <w:rPr>
                <w:rFonts w:ascii="宋体" w:hAnsi="Calibri" w:cs="宋体"/>
                <w:color w:val="0C0C0C"/>
                <w:sz w:val="28"/>
                <w:szCs w:val="28"/>
                <w:highlight w:val="none"/>
              </w:rPr>
            </w:pPr>
            <w:r>
              <w:rPr>
                <w:rFonts w:hint="eastAsia" w:ascii="宋体" w:hAnsi="宋体" w:cs="宋体"/>
                <w:color w:val="0C0C0C"/>
                <w:sz w:val="28"/>
                <w:szCs w:val="28"/>
                <w:highlight w:val="none"/>
              </w:rPr>
              <w:t>招标代理：</w:t>
            </w:r>
            <w:r>
              <w:rPr>
                <w:rFonts w:ascii="宋体" w:hAnsi="宋体" w:cs="宋体"/>
                <w:color w:val="0C0C0C"/>
                <w:sz w:val="28"/>
                <w:szCs w:val="28"/>
                <w:highlight w:val="none"/>
              </w:rPr>
              <w:t>(</w:t>
            </w:r>
            <w:r>
              <w:rPr>
                <w:rFonts w:hint="eastAsia" w:ascii="宋体" w:hAnsi="宋体" w:cs="宋体"/>
                <w:color w:val="0C0C0C"/>
                <w:sz w:val="28"/>
                <w:szCs w:val="28"/>
                <w:highlight w:val="none"/>
              </w:rPr>
              <w:t>盖章</w:t>
            </w:r>
            <w:r>
              <w:rPr>
                <w:rFonts w:ascii="宋体" w:hAnsi="宋体" w:cs="宋体"/>
                <w:color w:val="0C0C0C"/>
                <w:sz w:val="28"/>
                <w:szCs w:val="28"/>
                <w:highlight w:val="none"/>
              </w:rPr>
              <w:t xml:space="preserve">)           </w:t>
            </w:r>
            <w:r>
              <w:rPr>
                <w:rFonts w:hint="eastAsia" w:ascii="宋体" w:hAnsi="宋体" w:cs="宋体"/>
                <w:color w:val="0C0C0C"/>
                <w:sz w:val="28"/>
                <w:szCs w:val="28"/>
                <w:highlight w:val="none"/>
              </w:rPr>
              <w:t xml:space="preserve">  法定代表人（印鉴或签字）：</w:t>
            </w:r>
          </w:p>
          <w:p w14:paraId="1AF3E698">
            <w:pPr>
              <w:ind w:firstLine="3780" w:firstLineChars="1350"/>
              <w:rPr>
                <w:rFonts w:ascii="宋体" w:hAnsi="Calibri" w:cs="宋体"/>
                <w:color w:val="0C0C0C"/>
                <w:sz w:val="28"/>
                <w:szCs w:val="28"/>
                <w:highlight w:val="none"/>
              </w:rPr>
            </w:pPr>
          </w:p>
          <w:p w14:paraId="6987AE4F">
            <w:pPr>
              <w:ind w:firstLine="3780" w:firstLineChars="1350"/>
              <w:rPr>
                <w:rFonts w:ascii="宋体" w:hAnsi="Calibri" w:cs="宋体"/>
                <w:color w:val="0C0C0C"/>
                <w:sz w:val="28"/>
                <w:szCs w:val="28"/>
                <w:highlight w:val="none"/>
              </w:rPr>
            </w:pPr>
          </w:p>
          <w:p w14:paraId="67785B46">
            <w:pPr>
              <w:snapToGrid w:val="0"/>
              <w:ind w:firstLine="4060" w:firstLineChars="1450"/>
              <w:rPr>
                <w:rFonts w:ascii="宋体" w:hAnsi="宋体" w:cs="宋体"/>
                <w:color w:val="0C0C0C"/>
                <w:sz w:val="28"/>
                <w:szCs w:val="28"/>
                <w:highlight w:val="none"/>
              </w:rPr>
            </w:pPr>
            <w:r>
              <w:rPr>
                <w:rFonts w:hint="eastAsia" w:ascii="宋体" w:hAnsi="宋体" w:cs="宋体"/>
                <w:color w:val="0C0C0C"/>
                <w:sz w:val="28"/>
                <w:szCs w:val="28"/>
                <w:highlight w:val="none"/>
              </w:rPr>
              <w:t>日期：</w:t>
            </w:r>
            <w:r>
              <w:rPr>
                <w:rFonts w:ascii="宋体" w:hAnsi="宋体" w:cs="宋体"/>
                <w:color w:val="0C0C0C"/>
                <w:sz w:val="28"/>
                <w:szCs w:val="28"/>
                <w:highlight w:val="none"/>
              </w:rPr>
              <w:t>2</w:t>
            </w:r>
            <w:r>
              <w:rPr>
                <w:rFonts w:hint="eastAsia" w:ascii="宋体" w:hAnsi="宋体" w:cs="宋体"/>
                <w:color w:val="0C0C0C"/>
                <w:sz w:val="28"/>
                <w:szCs w:val="28"/>
                <w:highlight w:val="none"/>
              </w:rPr>
              <w:t>025年</w:t>
            </w:r>
            <w:r>
              <w:rPr>
                <w:rFonts w:hint="eastAsia" w:ascii="宋体" w:hAnsi="宋体" w:cs="宋体"/>
                <w:color w:val="0C0C0C"/>
                <w:sz w:val="28"/>
                <w:szCs w:val="28"/>
                <w:highlight w:val="none"/>
                <w:lang w:val="en-US" w:eastAsia="zh-CN"/>
              </w:rPr>
              <w:t>8</w:t>
            </w:r>
            <w:r>
              <w:rPr>
                <w:rFonts w:hint="eastAsia" w:ascii="宋体" w:hAnsi="宋体" w:cs="宋体"/>
                <w:color w:val="0C0C0C"/>
                <w:sz w:val="28"/>
                <w:szCs w:val="28"/>
                <w:highlight w:val="none"/>
              </w:rPr>
              <w:t>月　日</w:t>
            </w:r>
          </w:p>
          <w:p w14:paraId="72A655C0">
            <w:pPr>
              <w:snapToGrid w:val="0"/>
              <w:ind w:firstLine="3500" w:firstLineChars="1250"/>
              <w:rPr>
                <w:rFonts w:ascii="宋体" w:hAnsi="Calibri" w:cs="宋体"/>
                <w:color w:val="0C0C0C"/>
                <w:sz w:val="28"/>
                <w:szCs w:val="28"/>
                <w:highlight w:val="none"/>
              </w:rPr>
            </w:pPr>
          </w:p>
          <w:p w14:paraId="7A3A3F2D">
            <w:pPr>
              <w:snapToGrid w:val="0"/>
              <w:ind w:firstLine="3500" w:firstLineChars="1250"/>
              <w:rPr>
                <w:rFonts w:ascii="宋体" w:hAnsi="Calibri" w:cs="宋体"/>
                <w:color w:val="0C0C0C"/>
                <w:sz w:val="28"/>
                <w:szCs w:val="28"/>
                <w:highlight w:val="none"/>
              </w:rPr>
            </w:pPr>
          </w:p>
        </w:tc>
      </w:tr>
      <w:tr w14:paraId="107C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79F38F18">
            <w:pPr>
              <w:rPr>
                <w:rFonts w:ascii="宋体" w:hAnsi="Calibri" w:cs="宋体"/>
                <w:color w:val="0C0C0C"/>
                <w:sz w:val="28"/>
                <w:szCs w:val="28"/>
                <w:highlight w:val="none"/>
              </w:rPr>
            </w:pPr>
          </w:p>
          <w:p w14:paraId="4BE4F08E">
            <w:pPr>
              <w:rPr>
                <w:rFonts w:ascii="宋体" w:hAnsi="Calibri" w:cs="宋体"/>
                <w:color w:val="0C0C0C"/>
                <w:sz w:val="28"/>
                <w:szCs w:val="28"/>
                <w:highlight w:val="none"/>
              </w:rPr>
            </w:pPr>
          </w:p>
          <w:p w14:paraId="34F18BF4">
            <w:pPr>
              <w:pStyle w:val="16"/>
              <w:rPr>
                <w:highlight w:val="none"/>
              </w:rPr>
            </w:pPr>
          </w:p>
          <w:p w14:paraId="5068B030">
            <w:pPr>
              <w:rPr>
                <w:rFonts w:ascii="宋体" w:hAnsi="宋体" w:cs="宋体"/>
                <w:color w:val="0C0C0C"/>
                <w:sz w:val="28"/>
                <w:szCs w:val="28"/>
                <w:highlight w:val="none"/>
              </w:rPr>
            </w:pPr>
            <w:r>
              <w:rPr>
                <w:rFonts w:hint="eastAsia" w:ascii="宋体" w:hAnsi="宋体" w:cs="宋体"/>
                <w:color w:val="0C0C0C"/>
                <w:sz w:val="28"/>
                <w:szCs w:val="28"/>
                <w:highlight w:val="none"/>
              </w:rPr>
              <w:t>招标人（盖章）              法定代表人（印鉴或签字）：　</w:t>
            </w:r>
          </w:p>
          <w:p w14:paraId="0B911A6E">
            <w:pPr>
              <w:ind w:firstLine="4060" w:firstLineChars="1450"/>
              <w:rPr>
                <w:rFonts w:ascii="宋体" w:hAnsi="Calibri" w:cs="宋体"/>
                <w:color w:val="0C0C0C"/>
                <w:sz w:val="28"/>
                <w:szCs w:val="28"/>
                <w:highlight w:val="none"/>
              </w:rPr>
            </w:pPr>
            <w:r>
              <w:rPr>
                <w:rFonts w:hint="eastAsia" w:ascii="宋体" w:hAnsi="宋体" w:cs="宋体"/>
                <w:color w:val="0C0C0C"/>
                <w:sz w:val="28"/>
                <w:szCs w:val="28"/>
                <w:highlight w:val="none"/>
              </w:rPr>
              <w:t>其委托代理人（签字）：</w:t>
            </w:r>
          </w:p>
          <w:p w14:paraId="482F7ACC">
            <w:pPr>
              <w:rPr>
                <w:rFonts w:ascii="宋体" w:hAnsi="Calibri" w:cs="宋体"/>
                <w:color w:val="0C0C0C"/>
                <w:sz w:val="28"/>
                <w:szCs w:val="28"/>
                <w:highlight w:val="none"/>
              </w:rPr>
            </w:pPr>
          </w:p>
          <w:p w14:paraId="58108EE9">
            <w:pPr>
              <w:ind w:firstLine="4200" w:firstLineChars="1500"/>
              <w:rPr>
                <w:rFonts w:ascii="宋体" w:hAnsi="宋体" w:cs="宋体"/>
                <w:color w:val="0C0C0C"/>
                <w:sz w:val="28"/>
                <w:szCs w:val="28"/>
                <w:highlight w:val="none"/>
              </w:rPr>
            </w:pPr>
            <w:r>
              <w:rPr>
                <w:rFonts w:hint="eastAsia" w:ascii="宋体" w:hAnsi="宋体" w:cs="宋体"/>
                <w:color w:val="0C0C0C"/>
                <w:sz w:val="28"/>
                <w:szCs w:val="28"/>
                <w:highlight w:val="none"/>
              </w:rPr>
              <w:t>日期：</w:t>
            </w:r>
            <w:r>
              <w:rPr>
                <w:rFonts w:ascii="宋体" w:hAnsi="宋体" w:cs="宋体"/>
                <w:color w:val="0C0C0C"/>
                <w:sz w:val="28"/>
                <w:szCs w:val="28"/>
                <w:highlight w:val="none"/>
              </w:rPr>
              <w:t>2</w:t>
            </w:r>
            <w:r>
              <w:rPr>
                <w:rFonts w:hint="eastAsia" w:ascii="宋体" w:hAnsi="宋体" w:cs="宋体"/>
                <w:color w:val="0C0C0C"/>
                <w:sz w:val="28"/>
                <w:szCs w:val="28"/>
                <w:highlight w:val="none"/>
              </w:rPr>
              <w:t>025年</w:t>
            </w:r>
            <w:r>
              <w:rPr>
                <w:rFonts w:hint="eastAsia" w:ascii="宋体" w:hAnsi="宋体" w:cs="宋体"/>
                <w:color w:val="0C0C0C"/>
                <w:sz w:val="28"/>
                <w:szCs w:val="28"/>
                <w:highlight w:val="none"/>
                <w:lang w:val="en-US" w:eastAsia="zh-CN"/>
              </w:rPr>
              <w:t>8</w:t>
            </w:r>
            <w:r>
              <w:rPr>
                <w:rFonts w:hint="eastAsia" w:ascii="宋体" w:hAnsi="宋体" w:cs="宋体"/>
                <w:color w:val="0C0C0C"/>
                <w:sz w:val="28"/>
                <w:szCs w:val="28"/>
                <w:highlight w:val="none"/>
              </w:rPr>
              <w:t>月　日</w:t>
            </w:r>
          </w:p>
          <w:p w14:paraId="52C0671A">
            <w:pPr>
              <w:ind w:firstLine="3500" w:firstLineChars="1250"/>
              <w:rPr>
                <w:rFonts w:ascii="宋体" w:hAnsi="Calibri" w:cs="宋体"/>
                <w:color w:val="0C0C0C"/>
                <w:sz w:val="28"/>
                <w:szCs w:val="28"/>
                <w:highlight w:val="none"/>
              </w:rPr>
            </w:pPr>
          </w:p>
        </w:tc>
      </w:tr>
    </w:tbl>
    <w:p w14:paraId="548D9D1F">
      <w:pPr>
        <w:pStyle w:val="31"/>
        <w:rPr>
          <w:rFonts w:hint="default"/>
          <w:highlight w:val="none"/>
        </w:rPr>
      </w:pPr>
    </w:p>
    <w:p w14:paraId="2AF81D15">
      <w:pPr>
        <w:pStyle w:val="54"/>
        <w:widowControl/>
        <w:numPr>
          <w:ilvl w:val="0"/>
          <w:numId w:val="2"/>
        </w:numPr>
        <w:spacing w:line="310" w:lineRule="atLeast"/>
        <w:ind w:firstLineChars="0"/>
        <w:jc w:val="center"/>
        <w:rPr>
          <w:rFonts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bookmarkStart w:id="0" w:name="OLE_LINK1"/>
      <w:bookmarkStart w:id="1" w:name="OLE_LINK2"/>
      <w:r>
        <w:rPr>
          <w:rFonts w:hint="eastAsia" w:asciiTheme="minorEastAsia" w:hAnsiTheme="minorEastAsia" w:eastAsiaTheme="minorEastAsia" w:cstheme="minorEastAsia"/>
          <w:b/>
          <w:bCs/>
          <w:color w:val="0D0D0D" w:themeColor="text1" w:themeTint="F2"/>
          <w:sz w:val="32"/>
          <w:szCs w:val="32"/>
          <w:highlight w:val="none"/>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t>招标公告</w:t>
      </w:r>
    </w:p>
    <w:p w14:paraId="1764EF7F">
      <w:pPr>
        <w:spacing w:line="400" w:lineRule="exact"/>
        <w:jc w:val="center"/>
        <w:rPr>
          <w:rFonts w:asciiTheme="minorEastAsia" w:hAnsiTheme="minorEastAsia" w:eastAsiaTheme="minorEastAsia" w:cstheme="minorEastAsia"/>
          <w:bCs/>
          <w:color w:val="0D0D0D" w:themeColor="text1" w:themeTint="F2"/>
          <w:kern w:val="0"/>
          <w:sz w:val="28"/>
          <w:szCs w:val="28"/>
          <w:highlight w:val="none"/>
          <w14:textFill>
            <w14:solidFill>
              <w14:schemeClr w14:val="tx1">
                <w14:lumMod w14:val="95000"/>
                <w14:lumOff w14:val="5000"/>
              </w14:schemeClr>
            </w14:solidFill>
          </w14:textFill>
        </w:rPr>
      </w:pPr>
      <w:bookmarkStart w:id="2" w:name="OLE_LINK5"/>
      <w:bookmarkStart w:id="3" w:name="OLE_LINK8"/>
      <w:bookmarkStart w:id="4" w:name="OLE_LINK6"/>
      <w:bookmarkStart w:id="5" w:name="OLE_LINK7"/>
      <w:bookmarkStart w:id="6" w:name="OLE_LINK9"/>
      <w:r>
        <w:rPr>
          <w:rFonts w:hint="eastAsia" w:asciiTheme="minorEastAsia" w:hAnsiTheme="minorEastAsia" w:eastAsiaTheme="minorEastAsia" w:cstheme="minorEastAsia"/>
          <w:bCs/>
          <w:color w:val="0D0D0D" w:themeColor="text1" w:themeTint="F2"/>
          <w:kern w:val="0"/>
          <w:sz w:val="28"/>
          <w:szCs w:val="28"/>
          <w:highlight w:val="none"/>
          <w:lang w:val="en-US" w:eastAsia="zh-CN"/>
          <w14:textFill>
            <w14:solidFill>
              <w14:schemeClr w14:val="tx1">
                <w14:lumMod w14:val="95000"/>
                <w14:lumOff w14:val="5000"/>
              </w14:schemeClr>
            </w14:solidFill>
          </w14:textFill>
        </w:rPr>
        <w:t>通州区应急水源地自控系统及监控安防改造升级</w:t>
      </w:r>
      <w:r>
        <w:rPr>
          <w:rFonts w:hint="eastAsia" w:asciiTheme="minorEastAsia" w:hAnsiTheme="minorEastAsia" w:eastAsiaTheme="minorEastAsia" w:cstheme="minorEastAsia"/>
          <w:bCs/>
          <w:color w:val="0D0D0D" w:themeColor="text1" w:themeTint="F2"/>
          <w:kern w:val="0"/>
          <w:sz w:val="28"/>
          <w:szCs w:val="28"/>
          <w:highlight w:val="none"/>
          <w14:textFill>
            <w14:solidFill>
              <w14:schemeClr w14:val="tx1">
                <w14:lumMod w14:val="95000"/>
                <w14:lumOff w14:val="5000"/>
              </w14:schemeClr>
            </w14:solidFill>
          </w14:textFill>
        </w:rPr>
        <w:t>采购及安装</w:t>
      </w:r>
      <w:r>
        <w:rPr>
          <w:rFonts w:asciiTheme="minorEastAsia" w:hAnsiTheme="minorEastAsia" w:eastAsiaTheme="minorEastAsia" w:cstheme="minorEastAsia"/>
          <w:bCs/>
          <w:color w:val="0D0D0D" w:themeColor="text1" w:themeTint="F2"/>
          <w:kern w:val="0"/>
          <w:sz w:val="28"/>
          <w:szCs w:val="28"/>
          <w:highlight w:val="none"/>
          <w14:textFill>
            <w14:solidFill>
              <w14:schemeClr w14:val="tx1">
                <w14:lumMod w14:val="95000"/>
                <w14:lumOff w14:val="5000"/>
              </w14:schemeClr>
            </w14:solidFill>
          </w14:textFill>
        </w:rPr>
        <w:t>项目</w:t>
      </w:r>
    </w:p>
    <w:p w14:paraId="507CF8AD">
      <w:pPr>
        <w:spacing w:line="400" w:lineRule="exact"/>
        <w:jc w:val="center"/>
        <w:rPr>
          <w:rFonts w:hint="eastAsia" w:asciiTheme="minorEastAsia" w:hAnsiTheme="minorEastAsia" w:eastAsiaTheme="minorEastAsia" w:cstheme="minorEastAsia"/>
          <w:bCs/>
          <w:color w:val="0D0D0D" w:themeColor="text1" w:themeTint="F2"/>
          <w:kern w:val="0"/>
          <w:sz w:val="28"/>
          <w:szCs w:val="28"/>
          <w:highlight w:val="no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kern w:val="0"/>
          <w:sz w:val="28"/>
          <w:szCs w:val="28"/>
          <w:highlight w:val="none"/>
          <w14:textFill>
            <w14:solidFill>
              <w14:schemeClr w14:val="tx1">
                <w14:lumMod w14:val="95000"/>
                <w14:lumOff w14:val="5000"/>
              </w14:schemeClr>
            </w14:solidFill>
          </w14:textFill>
        </w:rPr>
        <w:t>招标公告（资格后审）</w:t>
      </w:r>
      <w:r>
        <w:rPr>
          <w:rFonts w:hint="eastAsia" w:asciiTheme="minorEastAsia" w:hAnsiTheme="minorEastAsia" w:eastAsiaTheme="minorEastAsia" w:cstheme="minorEastAsia"/>
          <w:bCs/>
          <w:color w:val="0D0D0D" w:themeColor="text1" w:themeTint="F2"/>
          <w:kern w:val="0"/>
          <w:sz w:val="28"/>
          <w:szCs w:val="28"/>
          <w:highlight w:val="none"/>
          <w:lang w:eastAsia="zh-CN"/>
          <w14:textFill>
            <w14:solidFill>
              <w14:schemeClr w14:val="tx1">
                <w14:lumMod w14:val="95000"/>
                <w14:lumOff w14:val="5000"/>
              </w14:schemeClr>
            </w14:solidFill>
          </w14:textFill>
        </w:rPr>
        <w:t>第二次</w:t>
      </w:r>
    </w:p>
    <w:p w14:paraId="45C5491B">
      <w:pPr>
        <w:widowControl/>
        <w:spacing w:line="40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一、</w:t>
      </w:r>
      <w:r>
        <w:rPr>
          <w:rFonts w:hint="eastAsia" w:asciiTheme="minorEastAsia" w:hAnsiTheme="minorEastAsia" w:eastAsiaTheme="minorEastAsia" w:cstheme="minorEastAsia"/>
          <w:color w:val="0D0D0D" w:themeColor="text1" w:themeTint="F2"/>
          <w:kern w:val="0"/>
          <w:highlight w:val="none"/>
          <w:u w:val="single"/>
          <w:lang w:eastAsia="zh-CN"/>
          <w14:textFill>
            <w14:solidFill>
              <w14:schemeClr w14:val="tx1">
                <w14:lumMod w14:val="95000"/>
                <w14:lumOff w14:val="5000"/>
              </w14:schemeClr>
            </w14:solidFill>
          </w14:textFill>
        </w:rPr>
        <w:t>通州区应急水源地自控系统及监控安防改造升级</w:t>
      </w:r>
      <w:r>
        <w:rPr>
          <w:rFonts w:hint="eastAsia" w:asciiTheme="minorEastAsia" w:hAnsiTheme="minorEastAsia" w:eastAsiaTheme="minorEastAsia" w:cstheme="minorEastAsia"/>
          <w:color w:val="0D0D0D" w:themeColor="text1" w:themeTint="F2"/>
          <w:highlight w:val="none"/>
          <w:u w:val="single"/>
          <w14:textFill>
            <w14:solidFill>
              <w14:schemeClr w14:val="tx1">
                <w14:lumMod w14:val="95000"/>
                <w14:lumOff w14:val="5000"/>
              </w14:schemeClr>
            </w14:solidFill>
          </w14:textFill>
        </w:rPr>
        <w:t>采购及安装项目</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已经批准实施。项目所需资金来源是</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财政拨款</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，已落实，现决定对该项目进行公开招标，选定中标人。</w:t>
      </w:r>
    </w:p>
    <w:p w14:paraId="10D6B33C">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二、项目概况：</w:t>
      </w:r>
    </w:p>
    <w:p w14:paraId="3DA74D35">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1、招标范围：</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对通州区应急水源地原有自动化控制平台增加数据库服务器及软件，开发报表及历史曲线等功能，增加两套组态软件等；增加监控探头及配套刻录机、硬盘、大屏等；具体内容详见招标文件“项目需求”</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w:t>
      </w:r>
    </w:p>
    <w:p w14:paraId="7739F492">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2、项目地点：南通市通州区。</w:t>
      </w:r>
    </w:p>
    <w:p w14:paraId="74FE9429">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3、质量要求：满足招标文件要求。</w:t>
      </w:r>
    </w:p>
    <w:p w14:paraId="55C2FB6C">
      <w:pPr>
        <w:widowControl/>
        <w:spacing w:line="400" w:lineRule="exact"/>
        <w:ind w:firstLine="420" w:firstLineChars="200"/>
        <w:jc w:val="left"/>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4、工期要求：合同签订之日起</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0个日历天内</w:t>
      </w:r>
      <w:r>
        <w:rPr>
          <w:rFonts w:hint="eastAsia" w:asciiTheme="minorEastAsia" w:hAnsiTheme="minorEastAsia" w:eastAsiaTheme="minorEastAsia" w:cstheme="minorEastAsia"/>
          <w:color w:val="0D0D0D" w:themeColor="text1" w:themeTint="F2"/>
          <w:kern w:val="0"/>
          <w:highlight w:val="none"/>
          <w:lang w:eastAsia="zh-CN"/>
          <w14:textFill>
            <w14:solidFill>
              <w14:schemeClr w14:val="tx1">
                <w14:lumMod w14:val="95000"/>
                <w14:lumOff w14:val="5000"/>
              </w14:schemeClr>
            </w14:solidFill>
          </w14:textFill>
        </w:rPr>
        <w:t>采购及</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安装调试完毕。</w:t>
      </w:r>
    </w:p>
    <w:p w14:paraId="07FC204B">
      <w:pPr>
        <w:widowControl/>
        <w:spacing w:line="400" w:lineRule="exact"/>
        <w:ind w:left="42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5、最高限价：人民币</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40</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万元。</w:t>
      </w:r>
    </w:p>
    <w:p w14:paraId="70B1BF01">
      <w:pPr>
        <w:spacing w:line="400" w:lineRule="exact"/>
        <w:ind w:firstLine="422" w:firstLineChars="200"/>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三、投标人应当具备的资格条件：</w:t>
      </w:r>
    </w:p>
    <w:p w14:paraId="41C42E0A">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1、具有独立法人资格且具有有效的企业法人营业执照；</w:t>
      </w:r>
    </w:p>
    <w:p w14:paraId="3892B1C1">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2、具有电子与智能化工程专业承包贰级及以上资质；</w:t>
      </w:r>
    </w:p>
    <w:p w14:paraId="1A8C3EFD">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3、2022年1月1日以来</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以签订合同时间为准)</w:t>
      </w:r>
      <w:r>
        <w:rPr>
          <w:rFonts w:hint="eastAsia" w:asciiTheme="minorEastAsia" w:hAnsiTheme="minorEastAsia" w:eastAsiaTheme="minorEastAsia" w:cstheme="minorEastAsia"/>
          <w:highlight w:val="none"/>
          <w:lang w:eastAsia="zh-CN"/>
        </w:rPr>
        <w:t>，具有</w:t>
      </w:r>
      <w:r>
        <w:rPr>
          <w:rFonts w:hint="eastAsia" w:asciiTheme="minorEastAsia" w:hAnsiTheme="minorEastAsia" w:eastAsiaTheme="minorEastAsia" w:cstheme="minorEastAsia"/>
          <w:highlight w:val="none"/>
        </w:rPr>
        <w:t>供水或排水（雨水、污水）行业自动化设备供货安装调试业绩3个</w:t>
      </w:r>
      <w:r>
        <w:rPr>
          <w:rFonts w:hint="eastAsia" w:asciiTheme="minorEastAsia" w:hAnsiTheme="minorEastAsia" w:eastAsiaTheme="minorEastAsia" w:cstheme="minorEastAsia"/>
          <w:highlight w:val="none"/>
          <w:lang w:eastAsia="zh-CN"/>
        </w:rPr>
        <w:t>（提供合同</w:t>
      </w:r>
      <w:r>
        <w:rPr>
          <w:rFonts w:hint="eastAsia" w:asciiTheme="minorEastAsia" w:hAnsiTheme="minorEastAsia" w:eastAsiaTheme="minorEastAsia" w:cstheme="minorEastAsia"/>
          <w:highlight w:val="none"/>
          <w:lang w:val="en-US" w:eastAsia="zh-CN"/>
        </w:rPr>
        <w:t>及验收报告</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t>
      </w:r>
    </w:p>
    <w:p w14:paraId="6A11A712">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4、授权委托人（如有）与投标人签订的有效劳动合同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投标人为授权委托人（如有）缴纳的202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月至2025年</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月养老保险缴费证明（企业法定代表人参与投标，此项不需提供）；</w:t>
      </w:r>
    </w:p>
    <w:p w14:paraId="1BEF126A">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5、投标声明函（格式见招标文件）。</w:t>
      </w:r>
    </w:p>
    <w:p w14:paraId="51DF2656">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投标人提供的投标文件中的内容没有失实或者弄虚作假，若提供虚假材料的，投标保证金一律没收，记不良行为一次并网上公示。</w:t>
      </w:r>
    </w:p>
    <w:p w14:paraId="2C881087">
      <w:pPr>
        <w:widowControl/>
        <w:spacing w:line="400" w:lineRule="exact"/>
        <w:ind w:firstLine="420" w:firstLineChars="200"/>
        <w:jc w:val="lef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本项目不接受联合体投标。</w:t>
      </w:r>
    </w:p>
    <w:p w14:paraId="6A79585B">
      <w:pPr>
        <w:widowControl/>
        <w:spacing w:line="400" w:lineRule="exact"/>
        <w:ind w:firstLine="308" w:firstLineChars="146"/>
        <w:jc w:val="left"/>
        <w:rPr>
          <w:rFonts w:asciiTheme="minorEastAsia" w:hAnsiTheme="minorEastAsia" w:eastAsiaTheme="minorEastAsia" w:cstheme="minorEastAsia"/>
          <w:b/>
          <w:bCs/>
          <w:color w:val="0C0C0C"/>
          <w:kern w:val="0"/>
          <w:highlight w:val="none"/>
        </w:rPr>
      </w:pPr>
      <w:r>
        <w:rPr>
          <w:rFonts w:hint="eastAsia" w:asciiTheme="minorEastAsia" w:hAnsiTheme="minorEastAsia" w:eastAsiaTheme="minorEastAsia" w:cstheme="minorEastAsia"/>
          <w:b/>
          <w:bCs/>
          <w:color w:val="0C0C0C"/>
          <w:kern w:val="0"/>
          <w:highlight w:val="none"/>
        </w:rPr>
        <w:t>四、投标费用</w:t>
      </w:r>
    </w:p>
    <w:p w14:paraId="3376C28C">
      <w:pPr>
        <w:spacing w:line="400" w:lineRule="exact"/>
        <w:ind w:firstLine="630" w:firstLineChars="3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投标单位应承担其编制投标文件以及递交投标文件所涉及的一切费用，无论投标结果如何，招标人对上述费用不负任何责任。</w:t>
      </w:r>
    </w:p>
    <w:p w14:paraId="0C65F51C">
      <w:pPr>
        <w:widowControl/>
        <w:kinsoku w:val="0"/>
        <w:autoSpaceDE w:val="0"/>
        <w:autoSpaceDN w:val="0"/>
        <w:adjustRightInd w:val="0"/>
        <w:snapToGrid w:val="0"/>
        <w:spacing w:line="400" w:lineRule="exact"/>
        <w:ind w:firstLine="630" w:firstLineChars="300"/>
        <w:jc w:val="left"/>
        <w:textAlignment w:val="baseline"/>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获取费用：免费。</w:t>
      </w:r>
    </w:p>
    <w:p w14:paraId="6E5368C5">
      <w:pPr>
        <w:widowControl/>
        <w:spacing w:line="400" w:lineRule="exact"/>
        <w:ind w:firstLine="413" w:firstLineChars="196"/>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五、答疑</w:t>
      </w:r>
    </w:p>
    <w:p w14:paraId="1FC056B9">
      <w:pPr>
        <w:spacing w:line="400" w:lineRule="exact"/>
        <w:ind w:firstLine="315" w:firstLineChars="150"/>
        <w:rPr>
          <w:rFonts w:ascii="宋体" w:hAnsi="宋体"/>
          <w:highlight w:val="none"/>
        </w:rPr>
      </w:pPr>
      <w:r>
        <w:rPr>
          <w:rFonts w:hint="eastAsia" w:asciiTheme="minorEastAsia" w:hAnsiTheme="minorEastAsia" w:eastAsiaTheme="minorEastAsia" w:cstheme="minorEastAsia"/>
          <w:color w:val="000000"/>
          <w:highlight w:val="none"/>
        </w:rPr>
        <w:t>1、</w:t>
      </w:r>
      <w:r>
        <w:rPr>
          <w:rFonts w:hint="eastAsia" w:ascii="宋体" w:hAnsi="宋体"/>
          <w:highlight w:val="none"/>
        </w:rPr>
        <w:t>投标人获取招标文件后，应仔细核查招标文件的所有内容，投标人如有疑问，应在</w:t>
      </w:r>
      <w:r>
        <w:rPr>
          <w:rFonts w:hint="eastAsia" w:ascii="宋体" w:hAnsi="宋体"/>
          <w:b/>
          <w:highlight w:val="none"/>
        </w:rPr>
        <w:t>2025年</w:t>
      </w:r>
      <w:r>
        <w:rPr>
          <w:rFonts w:hint="eastAsia" w:ascii="宋体" w:hAnsi="宋体"/>
          <w:b/>
          <w:highlight w:val="none"/>
          <w:lang w:val="en-US" w:eastAsia="zh-CN"/>
        </w:rPr>
        <w:t>8</w:t>
      </w:r>
      <w:r>
        <w:rPr>
          <w:rFonts w:hint="eastAsia" w:ascii="宋体" w:hAnsi="宋体"/>
          <w:b/>
          <w:highlight w:val="none"/>
        </w:rPr>
        <w:t>月</w:t>
      </w:r>
      <w:r>
        <w:rPr>
          <w:rFonts w:hint="eastAsia" w:ascii="宋体" w:hAnsi="宋体"/>
          <w:b/>
          <w:highlight w:val="none"/>
          <w:u w:val="single"/>
          <w:lang w:val="en-US" w:eastAsia="zh-CN"/>
        </w:rPr>
        <w:t>14</w:t>
      </w:r>
      <w:r>
        <w:rPr>
          <w:rFonts w:hint="eastAsia" w:ascii="宋体" w:hAnsi="宋体"/>
          <w:b/>
          <w:highlight w:val="none"/>
        </w:rPr>
        <w:t>日17：00</w:t>
      </w:r>
      <w:r>
        <w:rPr>
          <w:rFonts w:hint="eastAsia" w:ascii="宋体" w:hAnsi="宋体"/>
          <w:highlight w:val="none"/>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条款规定，该标书有可能被拒绝。</w:t>
      </w:r>
    </w:p>
    <w:p w14:paraId="6BBA7004">
      <w:pPr>
        <w:spacing w:line="400" w:lineRule="exact"/>
        <w:ind w:firstLine="420" w:firstLineChars="200"/>
        <w:rPr>
          <w:rFonts w:ascii="宋体" w:hAnsi="宋体"/>
          <w:highlight w:val="none"/>
        </w:rPr>
      </w:pPr>
      <w:r>
        <w:rPr>
          <w:rFonts w:hint="eastAsia" w:asciiTheme="minorEastAsia" w:hAnsiTheme="minorEastAsia" w:eastAsiaTheme="minorEastAsia" w:cstheme="minorEastAsia"/>
          <w:color w:val="000000"/>
          <w:highlight w:val="none"/>
        </w:rPr>
        <w:t>2、</w:t>
      </w:r>
      <w:r>
        <w:rPr>
          <w:rFonts w:hint="eastAsia" w:ascii="宋体" w:hAnsi="宋体"/>
          <w:highlight w:val="none"/>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hint="eastAsia" w:ascii="宋体" w:hAnsi="宋体"/>
          <w:b/>
          <w:highlight w:val="none"/>
        </w:rPr>
        <w:t>2025年</w:t>
      </w:r>
      <w:r>
        <w:rPr>
          <w:rFonts w:hint="eastAsia" w:ascii="宋体" w:hAnsi="宋体"/>
          <w:b/>
          <w:highlight w:val="none"/>
          <w:lang w:val="en-US" w:eastAsia="zh-CN"/>
        </w:rPr>
        <w:t>8</w:t>
      </w:r>
      <w:r>
        <w:rPr>
          <w:rFonts w:hint="eastAsia" w:ascii="宋体" w:hAnsi="宋体"/>
          <w:b/>
          <w:highlight w:val="none"/>
        </w:rPr>
        <w:t>月</w:t>
      </w:r>
      <w:r>
        <w:rPr>
          <w:rFonts w:hint="eastAsia" w:ascii="宋体" w:hAnsi="宋体"/>
          <w:b/>
          <w:highlight w:val="none"/>
          <w:u w:val="single"/>
          <w:lang w:val="en-US" w:eastAsia="zh-CN"/>
        </w:rPr>
        <w:t>15</w:t>
      </w:r>
      <w:r>
        <w:rPr>
          <w:rFonts w:hint="eastAsia" w:ascii="宋体" w:hAnsi="宋体"/>
          <w:b/>
          <w:highlight w:val="none"/>
        </w:rPr>
        <w:t>日24：00</w:t>
      </w:r>
      <w:r>
        <w:rPr>
          <w:rFonts w:hint="eastAsia" w:ascii="宋体" w:hAnsi="宋体"/>
          <w:highlight w:val="none"/>
        </w:rPr>
        <w:t>前通过“南通市通州区</w:t>
      </w:r>
      <w:r>
        <w:rPr>
          <w:rFonts w:hint="eastAsia" w:ascii="宋体" w:hAnsi="宋体"/>
          <w:highlight w:val="none"/>
          <w:lang w:eastAsia="zh-CN"/>
        </w:rPr>
        <w:t>人民政府</w:t>
      </w:r>
      <w:r>
        <w:rPr>
          <w:rFonts w:hint="eastAsia" w:ascii="宋体" w:hAnsi="宋体"/>
          <w:highlight w:val="none"/>
        </w:rPr>
        <w:t>”网站发给所有投标人。</w:t>
      </w:r>
    </w:p>
    <w:p w14:paraId="06920DE6">
      <w:pPr>
        <w:spacing w:line="400" w:lineRule="exact"/>
        <w:ind w:firstLine="420" w:firstLineChars="200"/>
        <w:rPr>
          <w:rFonts w:ascii="宋体" w:hAnsi="Calibri"/>
          <w:highlight w:val="none"/>
        </w:rPr>
      </w:pPr>
      <w:r>
        <w:rPr>
          <w:rFonts w:hint="eastAsia" w:ascii="宋体" w:hAnsi="宋体"/>
          <w:highlight w:val="none"/>
        </w:rPr>
        <w:t>当招标文件、招标文件的澄清等在同一内容的表述上不一致时，以最后发布的为准。</w:t>
      </w:r>
    </w:p>
    <w:p w14:paraId="0E02FF16">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七、投标文件的递交:</w:t>
      </w:r>
    </w:p>
    <w:p w14:paraId="21B12F0E">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00000"/>
          <w:highlight w:val="none"/>
        </w:rPr>
        <w:t>1、投标截止时间及</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投标文件递交截止时间：</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kern w:val="0"/>
          <w:highlight w:val="none"/>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kern w:val="0"/>
          <w:highlight w:val="none"/>
          <w:u w:val="single"/>
          <w:lang w:val="en-US" w:eastAsia="zh-CN"/>
          <w14:textFill>
            <w14:solidFill>
              <w14:schemeClr w14:val="tx1">
                <w14:lumMod w14:val="95000"/>
                <w14:lumOff w14:val="5000"/>
              </w14:schemeClr>
            </w14:solidFill>
          </w14:textFill>
        </w:rPr>
        <w:t>21</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kern w:val="0"/>
          <w:highlight w:val="none"/>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kern w:val="0"/>
          <w:highlight w:val="none"/>
          <w:u w:val="single"/>
          <w:lang w:val="en-US" w:eastAsia="zh-CN"/>
          <w14:textFill>
            <w14:solidFill>
              <w14:schemeClr w14:val="tx1">
                <w14:lumMod w14:val="95000"/>
                <w14:lumOff w14:val="5000"/>
              </w14:schemeClr>
            </w14:solidFill>
          </w14:textFill>
        </w:rPr>
        <w:t>00</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分</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前，逾期送达的投标文件将被拒绝。</w:t>
      </w:r>
    </w:p>
    <w:p w14:paraId="0C66FCF8">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2、投标文件递交地点：</w:t>
      </w:r>
      <w:r>
        <w:rPr>
          <w:rFonts w:hint="eastAsia" w:asciiTheme="minorEastAsia" w:hAnsiTheme="minorEastAsia" w:eastAsiaTheme="minorEastAsia" w:cstheme="minorEastAsia"/>
          <w:b/>
          <w:color w:val="0D0D0D" w:themeColor="text1" w:themeTint="F2"/>
          <w:kern w:val="0"/>
          <w:highlight w:val="none"/>
          <w14:textFill>
            <w14:solidFill>
              <w14:schemeClr w14:val="tx1">
                <w14:lumMod w14:val="95000"/>
                <w14:lumOff w14:val="5000"/>
              </w14:schemeClr>
            </w14:solidFill>
          </w14:textFill>
        </w:rPr>
        <w:t>南</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通市通州区江海圆融汇1号楼</w:t>
      </w:r>
      <w:r>
        <w:rPr>
          <w:rFonts w:hint="eastAsia" w:asciiTheme="minorEastAsia" w:hAnsiTheme="minorEastAsia" w:eastAsiaTheme="minorEastAsia" w:cstheme="minorEastAsia"/>
          <w:b/>
          <w:bCs/>
          <w:color w:val="0D0D0D" w:themeColor="text1" w:themeTint="F2"/>
          <w:kern w:val="0"/>
          <w:highlight w:val="none"/>
          <w:lang w:val="en-US" w:eastAsia="zh-CN"/>
          <w14:textFill>
            <w14:solidFill>
              <w14:schemeClr w14:val="tx1">
                <w14:lumMod w14:val="95000"/>
                <w14:lumOff w14:val="5000"/>
              </w14:schemeClr>
            </w14:solidFill>
          </w14:textFill>
        </w:rPr>
        <w:t>16</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楼</w:t>
      </w:r>
      <w:r>
        <w:rPr>
          <w:rFonts w:hint="eastAsia" w:asciiTheme="minorEastAsia" w:hAnsiTheme="minorEastAsia" w:eastAsiaTheme="minorEastAsia" w:cstheme="minorEastAsia"/>
          <w:b/>
          <w:bCs/>
          <w:color w:val="0D0D0D" w:themeColor="text1" w:themeTint="F2"/>
          <w:kern w:val="0"/>
          <w:highlight w:val="none"/>
          <w:lang w:val="en-US" w:eastAsia="zh-CN"/>
          <w14:textFill>
            <w14:solidFill>
              <w14:schemeClr w14:val="tx1">
                <w14:lumMod w14:val="95000"/>
                <w14:lumOff w14:val="5000"/>
              </w14:schemeClr>
            </w14:solidFill>
          </w14:textFill>
        </w:rPr>
        <w:t>1610</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开标室</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，投标文件递交的具体要求详见招标文件规定。</w:t>
      </w:r>
    </w:p>
    <w:p w14:paraId="6A1F417B">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3、逾期送达的或者未送达指定地点的投标文件，招标人不予受理。</w:t>
      </w:r>
    </w:p>
    <w:p w14:paraId="58F94381">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4、网上下载的招标公告、招标文件、招标答疑等招标资料，与纸质资料具有同等法律效力。</w:t>
      </w:r>
    </w:p>
    <w:p w14:paraId="2B7C383E">
      <w:pPr>
        <w:widowControl/>
        <w:spacing w:line="400" w:lineRule="exact"/>
        <w:ind w:firstLine="422"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八、本项目的评标办法：</w:t>
      </w:r>
      <w:r>
        <w:rPr>
          <w:rFonts w:hint="eastAsia" w:asciiTheme="minorEastAsia" w:hAnsiTheme="minorEastAsia" w:eastAsiaTheme="minorEastAsia" w:cstheme="minorEastAsia"/>
          <w:highlight w:val="none"/>
        </w:rPr>
        <w:t>最低</w:t>
      </w:r>
      <w:r>
        <w:rPr>
          <w:rFonts w:hint="eastAsia" w:asciiTheme="minorEastAsia" w:hAnsiTheme="minorEastAsia" w:eastAsiaTheme="minorEastAsia" w:cstheme="minorEastAsia"/>
          <w:highlight w:val="none"/>
          <w:lang w:eastAsia="zh-CN"/>
        </w:rPr>
        <w:t>评</w:t>
      </w:r>
      <w:r>
        <w:rPr>
          <w:rFonts w:hint="eastAsia" w:asciiTheme="minorEastAsia" w:hAnsiTheme="minorEastAsia" w:eastAsiaTheme="minorEastAsia" w:cstheme="minorEastAsia"/>
          <w:highlight w:val="none"/>
        </w:rPr>
        <w:t>标价法</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具体详见招标文件</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w:t>
      </w:r>
    </w:p>
    <w:p w14:paraId="1292D924">
      <w:pPr>
        <w:widowControl/>
        <w:spacing w:line="400" w:lineRule="exact"/>
        <w:ind w:firstLine="422"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九、本项目投标保证金：</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人民币</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 xml:space="preserve">  6000   </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元（现金）。</w:t>
      </w:r>
    </w:p>
    <w:p w14:paraId="7043A8D9">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十、开标时间为：</w:t>
      </w:r>
      <w:r>
        <w:rPr>
          <w:rFonts w:hint="eastAsia" w:asciiTheme="minorEastAsia" w:hAnsiTheme="minorEastAsia" w:eastAsiaTheme="minorEastAsia" w:cstheme="minorEastAsia"/>
          <w:b/>
          <w:bCs/>
          <w:color w:val="000000"/>
          <w:highlight w:val="none"/>
        </w:rPr>
        <w:t>2025年</w:t>
      </w:r>
      <w:r>
        <w:rPr>
          <w:rFonts w:hint="eastAsia" w:asciiTheme="minorEastAsia" w:hAnsiTheme="minorEastAsia" w:eastAsiaTheme="minorEastAsia" w:cstheme="minorEastAsia"/>
          <w:b/>
          <w:bCs/>
          <w:color w:val="000000"/>
          <w:highlight w:val="none"/>
          <w:lang w:val="en-US" w:eastAsia="zh-CN"/>
        </w:rPr>
        <w:t>8</w:t>
      </w:r>
      <w:r>
        <w:rPr>
          <w:rFonts w:hint="eastAsia" w:asciiTheme="minorEastAsia" w:hAnsiTheme="minorEastAsia" w:eastAsiaTheme="minorEastAsia" w:cstheme="minorEastAsia"/>
          <w:b/>
          <w:bCs/>
          <w:color w:val="000000"/>
          <w:highlight w:val="none"/>
        </w:rPr>
        <w:t>月</w:t>
      </w:r>
      <w:r>
        <w:rPr>
          <w:rFonts w:hint="eastAsia" w:asciiTheme="minorEastAsia" w:hAnsiTheme="minorEastAsia" w:eastAsiaTheme="minorEastAsia" w:cstheme="minorEastAsia"/>
          <w:b/>
          <w:bCs/>
          <w:color w:val="000000"/>
          <w:highlight w:val="none"/>
          <w:u w:val="single"/>
          <w:lang w:val="en-US" w:eastAsia="zh-CN"/>
        </w:rPr>
        <w:t>21</w:t>
      </w:r>
      <w:r>
        <w:rPr>
          <w:rFonts w:hint="eastAsia" w:asciiTheme="minorEastAsia" w:hAnsiTheme="minorEastAsia" w:eastAsiaTheme="minorEastAsia" w:cstheme="minorEastAsia"/>
          <w:b/>
          <w:bCs/>
          <w:color w:val="000000"/>
          <w:highlight w:val="none"/>
        </w:rPr>
        <w:t>日</w:t>
      </w:r>
      <w:r>
        <w:rPr>
          <w:rFonts w:hint="eastAsia" w:asciiTheme="minorEastAsia" w:hAnsiTheme="minorEastAsia" w:eastAsiaTheme="minorEastAsia" w:cstheme="minorEastAsia"/>
          <w:b/>
          <w:bCs/>
          <w:color w:val="000000"/>
          <w:highlight w:val="none"/>
          <w:u w:val="single"/>
          <w:lang w:val="en-US" w:eastAsia="zh-CN"/>
        </w:rPr>
        <w:t>14</w:t>
      </w:r>
      <w:r>
        <w:rPr>
          <w:rFonts w:hint="eastAsia" w:asciiTheme="minorEastAsia" w:hAnsiTheme="minorEastAsia" w:eastAsiaTheme="minorEastAsia" w:cstheme="minorEastAsia"/>
          <w:b/>
          <w:bCs/>
          <w:color w:val="000000"/>
          <w:highlight w:val="none"/>
        </w:rPr>
        <w:t>时</w:t>
      </w:r>
      <w:r>
        <w:rPr>
          <w:rFonts w:hint="eastAsia" w:asciiTheme="minorEastAsia" w:hAnsiTheme="minorEastAsia" w:eastAsiaTheme="minorEastAsia" w:cstheme="minorEastAsia"/>
          <w:b/>
          <w:bCs/>
          <w:color w:val="000000"/>
          <w:highlight w:val="none"/>
          <w:u w:val="single"/>
          <w:lang w:val="en-US" w:eastAsia="zh-CN"/>
        </w:rPr>
        <w:t>00</w:t>
      </w:r>
      <w:r>
        <w:rPr>
          <w:rFonts w:hint="eastAsia" w:asciiTheme="minorEastAsia" w:hAnsiTheme="minorEastAsia" w:eastAsiaTheme="minorEastAsia" w:cstheme="minorEastAsia"/>
          <w:b/>
          <w:bCs/>
          <w:color w:val="000000"/>
          <w:highlight w:val="none"/>
        </w:rPr>
        <w:t>分</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w:t>
      </w:r>
    </w:p>
    <w:p w14:paraId="5F4FCB6B">
      <w:pPr>
        <w:widowControl/>
        <w:spacing w:line="400" w:lineRule="exact"/>
        <w:ind w:firstLine="422" w:firstLineChars="200"/>
        <w:jc w:val="left"/>
        <w:rPr>
          <w:rFonts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十一、本公告发布时间：</w:t>
      </w:r>
      <w:r>
        <w:rPr>
          <w:rFonts w:hint="eastAsia" w:asciiTheme="minorEastAsia" w:hAnsiTheme="minorEastAsia" w:eastAsiaTheme="minorEastAsia" w:cstheme="minorEastAsia"/>
          <w:bCs/>
          <w:color w:val="0D0D0D" w:themeColor="text1" w:themeTint="F2"/>
          <w:kern w:val="0"/>
          <w:highlight w:val="none"/>
          <w:lang w:eastAsia="zh-CN"/>
          <w14:textFill>
            <w14:solidFill>
              <w14:schemeClr w14:val="tx1">
                <w14:lumMod w14:val="95000"/>
                <w14:lumOff w14:val="5000"/>
              </w14:schemeClr>
            </w14:solidFill>
          </w14:textFill>
        </w:rPr>
        <w:t>自公告发布之日起不少于</w:t>
      </w:r>
      <w:r>
        <w:rPr>
          <w:rFonts w:hint="eastAsia" w:asciiTheme="minorEastAsia" w:hAnsiTheme="minorEastAsia" w:eastAsiaTheme="minorEastAsia" w:cstheme="minorEastAsia"/>
          <w:bCs/>
          <w:color w:val="0D0D0D" w:themeColor="text1" w:themeTint="F2"/>
          <w:kern w:val="0"/>
          <w:highlight w:val="none"/>
          <w:lang w:val="en-US" w:eastAsia="zh-CN"/>
          <w14:textFill>
            <w14:solidFill>
              <w14:schemeClr w14:val="tx1">
                <w14:lumMod w14:val="95000"/>
                <w14:lumOff w14:val="5000"/>
              </w14:schemeClr>
            </w14:solidFill>
          </w14:textFill>
        </w:rPr>
        <w:t>10日</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w:t>
      </w:r>
    </w:p>
    <w:p w14:paraId="5BC17D67">
      <w:pPr>
        <w:widowControl/>
        <w:spacing w:line="400" w:lineRule="exact"/>
        <w:ind w:firstLine="422" w:firstLineChars="200"/>
        <w:jc w:val="left"/>
        <w:rPr>
          <w:rFonts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十二、发布公告的媒介：</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南通市通州区</w:t>
      </w:r>
      <w:r>
        <w:rPr>
          <w:rFonts w:hint="eastAsia" w:asciiTheme="minorEastAsia" w:hAnsiTheme="minorEastAsia" w:eastAsiaTheme="minorEastAsia" w:cstheme="minorEastAsia"/>
          <w:bCs/>
          <w:color w:val="0D0D0D" w:themeColor="text1" w:themeTint="F2"/>
          <w:kern w:val="0"/>
          <w:highlight w:val="none"/>
          <w:lang w:eastAsia="zh-CN"/>
          <w14:textFill>
            <w14:solidFill>
              <w14:schemeClr w14:val="tx1">
                <w14:lumMod w14:val="95000"/>
                <w14:lumOff w14:val="5000"/>
              </w14:schemeClr>
            </w14:solidFill>
          </w14:textFill>
        </w:rPr>
        <w:t>人民政府（</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http://www.tongzhou.gov.cn/</w:t>
      </w:r>
      <w:r>
        <w:rPr>
          <w:rFonts w:hint="eastAsia" w:asciiTheme="minorEastAsia" w:hAnsiTheme="minorEastAsia" w:eastAsiaTheme="minorEastAsia" w:cstheme="minorEastAsia"/>
          <w:bCs/>
          <w:color w:val="0D0D0D" w:themeColor="text1" w:themeTint="F2"/>
          <w:kern w:val="0"/>
          <w:highlight w:val="no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w:t>
      </w:r>
    </w:p>
    <w:p w14:paraId="32C6AB65">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十三、联系方式</w:t>
      </w:r>
    </w:p>
    <w:p w14:paraId="0ED0D04A">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招标人：南通市通州区</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水务</w:t>
      </w: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有限公司</w:t>
      </w:r>
    </w:p>
    <w:p w14:paraId="52A1F838">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地址：</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南通市通州区金沙镇金通路18号</w:t>
      </w:r>
    </w:p>
    <w:p w14:paraId="0BD29E66">
      <w:pPr>
        <w:pStyle w:val="54"/>
        <w:widowControl/>
        <w:spacing w:line="400" w:lineRule="exact"/>
        <w:jc w:val="left"/>
        <w:rPr>
          <w:rFonts w:hint="default"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联系人：</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曹武</w:t>
      </w:r>
    </w:p>
    <w:p w14:paraId="71D3BA41">
      <w:pPr>
        <w:pStyle w:val="54"/>
        <w:widowControl/>
        <w:spacing w:line="400" w:lineRule="exact"/>
        <w:jc w:val="left"/>
        <w:rPr>
          <w:rFonts w:hint="default"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联系电话：</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18605136022</w:t>
      </w:r>
    </w:p>
    <w:p w14:paraId="095156BA">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招标代理；南通市通州天元建设监理咨询有限公司</w:t>
      </w:r>
    </w:p>
    <w:p w14:paraId="5117C323">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地址：通州区润和大厦8楼</w:t>
      </w:r>
    </w:p>
    <w:p w14:paraId="622CBB65">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联系人：俞先生</w:t>
      </w:r>
    </w:p>
    <w:p w14:paraId="082893A7">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联系电话：0513-86516066</w:t>
      </w:r>
    </w:p>
    <w:p w14:paraId="700CE48E">
      <w:pPr>
        <w:widowControl/>
        <w:spacing w:line="400" w:lineRule="exact"/>
        <w:ind w:firstLine="5985" w:firstLineChars="285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月</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日</w:t>
      </w:r>
      <w:bookmarkEnd w:id="0"/>
      <w:bookmarkEnd w:id="1"/>
      <w:bookmarkEnd w:id="2"/>
      <w:bookmarkEnd w:id="3"/>
      <w:bookmarkEnd w:id="4"/>
      <w:bookmarkEnd w:id="5"/>
    </w:p>
    <w:bookmarkEnd w:id="6"/>
    <w:p w14:paraId="0691A7ED">
      <w:pPr>
        <w:widowControl/>
        <w:spacing w:line="310" w:lineRule="atLeast"/>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2E1474F9">
      <w:pPr>
        <w:widowControl/>
        <w:spacing w:line="310" w:lineRule="atLeast"/>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4AC861DB">
      <w:pPr>
        <w:widowControl/>
        <w:spacing w:line="310" w:lineRule="atLeast"/>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43AAF18E">
      <w:pPr>
        <w:widowControl/>
        <w:spacing w:line="310" w:lineRule="atLeast"/>
        <w:jc w:val="cente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p>
    <w:p w14:paraId="384722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t>第二章　投标须知及投标须知前附表</w:t>
      </w:r>
    </w:p>
    <w:p w14:paraId="04E298E4">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前附表</w:t>
      </w:r>
    </w:p>
    <w:tbl>
      <w:tblPr>
        <w:tblStyle w:val="23"/>
        <w:tblW w:w="95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15"/>
        <w:gridCol w:w="6905"/>
      </w:tblGrid>
      <w:tr w14:paraId="558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C954D3">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序号</w:t>
            </w:r>
          </w:p>
        </w:tc>
        <w:tc>
          <w:tcPr>
            <w:tcW w:w="1915" w:type="dxa"/>
          </w:tcPr>
          <w:p w14:paraId="3777C225">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内容</w:t>
            </w:r>
          </w:p>
        </w:tc>
        <w:tc>
          <w:tcPr>
            <w:tcW w:w="6905" w:type="dxa"/>
          </w:tcPr>
          <w:p w14:paraId="0755D7F8">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说明与要求</w:t>
            </w:r>
          </w:p>
        </w:tc>
      </w:tr>
      <w:tr w14:paraId="4B10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89B2AED">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w:t>
            </w:r>
          </w:p>
        </w:tc>
        <w:tc>
          <w:tcPr>
            <w:tcW w:w="1915" w:type="dxa"/>
          </w:tcPr>
          <w:p w14:paraId="19E95B6A">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项目名称</w:t>
            </w:r>
          </w:p>
        </w:tc>
        <w:tc>
          <w:tcPr>
            <w:tcW w:w="6905" w:type="dxa"/>
            <w:vAlign w:val="center"/>
          </w:tcPr>
          <w:p w14:paraId="3EA0B253">
            <w:pPr>
              <w:spacing w:line="400" w:lineRule="exact"/>
              <w:jc w:val="left"/>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color w:val="0D0D0D" w:themeColor="text1" w:themeTint="F2"/>
                <w:kern w:val="0"/>
                <w:highlight w:val="none"/>
                <w:u w:val="none"/>
                <w:lang w:eastAsia="zh-CN"/>
                <w14:textFill>
                  <w14:solidFill>
                    <w14:schemeClr w14:val="tx1">
                      <w14:lumMod w14:val="95000"/>
                      <w14:lumOff w14:val="5000"/>
                    </w14:schemeClr>
                  </w14:solidFill>
                </w14:textFill>
              </w:rPr>
              <w:t>通州区应急水源地自控系统及监控安防改造升级</w:t>
            </w:r>
            <w:r>
              <w:rPr>
                <w:rFonts w:hint="eastAsia" w:asciiTheme="minorEastAsia" w:hAnsiTheme="minorEastAsia" w:eastAsiaTheme="minorEastAsia" w:cstheme="minorEastAsia"/>
                <w:color w:val="0D0D0D" w:themeColor="text1" w:themeTint="F2"/>
                <w:highlight w:val="none"/>
                <w:u w:val="none"/>
                <w14:textFill>
                  <w14:solidFill>
                    <w14:schemeClr w14:val="tx1">
                      <w14:lumMod w14:val="95000"/>
                      <w14:lumOff w14:val="5000"/>
                    </w14:schemeClr>
                  </w14:solidFill>
                </w14:textFill>
              </w:rPr>
              <w:t>采购及安装项目</w:t>
            </w:r>
          </w:p>
        </w:tc>
      </w:tr>
      <w:tr w14:paraId="0EC6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F31B77">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w:t>
            </w:r>
          </w:p>
        </w:tc>
        <w:tc>
          <w:tcPr>
            <w:tcW w:w="1915" w:type="dxa"/>
          </w:tcPr>
          <w:p w14:paraId="1EDE996C">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项目地点</w:t>
            </w:r>
          </w:p>
        </w:tc>
        <w:tc>
          <w:tcPr>
            <w:tcW w:w="6905" w:type="dxa"/>
          </w:tcPr>
          <w:p w14:paraId="3884A8F4">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南通市通州区</w:t>
            </w:r>
          </w:p>
        </w:tc>
      </w:tr>
      <w:tr w14:paraId="4C31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9" w:type="dxa"/>
            <w:vAlign w:val="center"/>
          </w:tcPr>
          <w:p w14:paraId="7E85E69E">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w:t>
            </w:r>
          </w:p>
        </w:tc>
        <w:tc>
          <w:tcPr>
            <w:tcW w:w="1915" w:type="dxa"/>
            <w:vAlign w:val="center"/>
          </w:tcPr>
          <w:p w14:paraId="42F16A8C">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项目需求</w:t>
            </w:r>
          </w:p>
        </w:tc>
        <w:tc>
          <w:tcPr>
            <w:tcW w:w="6905" w:type="dxa"/>
            <w:vAlign w:val="center"/>
          </w:tcPr>
          <w:p w14:paraId="55B80779">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详见招标文件第六章</w:t>
            </w:r>
          </w:p>
        </w:tc>
      </w:tr>
      <w:tr w14:paraId="5764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9" w:type="dxa"/>
            <w:vAlign w:val="center"/>
          </w:tcPr>
          <w:p w14:paraId="2B1E33F7">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w:t>
            </w:r>
          </w:p>
        </w:tc>
        <w:tc>
          <w:tcPr>
            <w:tcW w:w="1915" w:type="dxa"/>
            <w:vAlign w:val="center"/>
          </w:tcPr>
          <w:p w14:paraId="615F9534">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招标内容</w:t>
            </w:r>
          </w:p>
        </w:tc>
        <w:tc>
          <w:tcPr>
            <w:tcW w:w="6905" w:type="dxa"/>
          </w:tcPr>
          <w:p w14:paraId="1B71AC4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对通州区应急水源地原有自动化控制平台增加数据库服务器及软件，开发报表及历史曲线等功能，增加两套组态软件等；增加监控探头及配套刻录机、硬盘、大屏等</w:t>
            </w:r>
          </w:p>
        </w:tc>
      </w:tr>
      <w:tr w14:paraId="347E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AAF775">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5</w:t>
            </w:r>
          </w:p>
        </w:tc>
        <w:tc>
          <w:tcPr>
            <w:tcW w:w="1915" w:type="dxa"/>
            <w:vAlign w:val="center"/>
          </w:tcPr>
          <w:p w14:paraId="0B179F6C">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投标报价方式</w:t>
            </w:r>
          </w:p>
        </w:tc>
        <w:tc>
          <w:tcPr>
            <w:tcW w:w="6905" w:type="dxa"/>
            <w:vAlign w:val="center"/>
          </w:tcPr>
          <w:p w14:paraId="013D8933">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固定单价报价</w:t>
            </w:r>
          </w:p>
        </w:tc>
      </w:tr>
      <w:tr w14:paraId="0955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0D63B1A">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6</w:t>
            </w:r>
          </w:p>
        </w:tc>
        <w:tc>
          <w:tcPr>
            <w:tcW w:w="1915" w:type="dxa"/>
            <w:vAlign w:val="center"/>
          </w:tcPr>
          <w:p w14:paraId="23294164">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资金来源</w:t>
            </w:r>
          </w:p>
        </w:tc>
        <w:tc>
          <w:tcPr>
            <w:tcW w:w="6905" w:type="dxa"/>
          </w:tcPr>
          <w:p w14:paraId="53290C21">
            <w:pPr>
              <w:spacing w:line="4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0D0D0D" w:themeColor="text1" w:themeTint="F2"/>
                <w:kern w:val="0"/>
                <w:highlight w:val="none"/>
                <w:u w:val="none"/>
                <w:lang w:val="en-US" w:eastAsia="zh-CN"/>
                <w14:textFill>
                  <w14:solidFill>
                    <w14:schemeClr w14:val="tx1">
                      <w14:lumMod w14:val="95000"/>
                      <w14:lumOff w14:val="5000"/>
                    </w14:schemeClr>
                  </w14:solidFill>
                </w14:textFill>
              </w:rPr>
              <w:t xml:space="preserve">财政拨款  </w:t>
            </w:r>
          </w:p>
        </w:tc>
      </w:tr>
      <w:tr w14:paraId="5F55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FBCB230">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7</w:t>
            </w:r>
          </w:p>
        </w:tc>
        <w:tc>
          <w:tcPr>
            <w:tcW w:w="1915" w:type="dxa"/>
            <w:vAlign w:val="center"/>
          </w:tcPr>
          <w:p w14:paraId="043D3743">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投标有效期</w:t>
            </w:r>
          </w:p>
        </w:tc>
        <w:tc>
          <w:tcPr>
            <w:tcW w:w="6905" w:type="dxa"/>
          </w:tcPr>
          <w:p w14:paraId="1BA80758">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60日历天</w:t>
            </w:r>
          </w:p>
        </w:tc>
      </w:tr>
      <w:tr w14:paraId="4FC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9" w:type="dxa"/>
            <w:vAlign w:val="center"/>
          </w:tcPr>
          <w:p w14:paraId="1D23560C">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8</w:t>
            </w:r>
          </w:p>
        </w:tc>
        <w:tc>
          <w:tcPr>
            <w:tcW w:w="1915" w:type="dxa"/>
            <w:vAlign w:val="center"/>
          </w:tcPr>
          <w:p w14:paraId="06A9F6EE">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投标保证金的递交</w:t>
            </w:r>
          </w:p>
        </w:tc>
        <w:tc>
          <w:tcPr>
            <w:tcW w:w="6905" w:type="dxa"/>
          </w:tcPr>
          <w:p w14:paraId="0958CF5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1.投标人在递交投标文件的同时，应按规定的金额、形式递交投标保证金，并作为其投标文件的组成部分。</w:t>
            </w:r>
          </w:p>
          <w:p w14:paraId="74BEB76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2.本项目投标保证金数额为</w:t>
            </w:r>
            <w:r>
              <w:rPr>
                <w:rFonts w:hint="eastAsia" w:asciiTheme="minorEastAsia" w:hAnsiTheme="minorEastAsia" w:eastAsiaTheme="minorEastAsia" w:cstheme="minorEastAsia"/>
                <w:color w:val="0D0D0D" w:themeColor="text1" w:themeTint="F2"/>
                <w:highlight w:val="none"/>
                <w:u w:val="single"/>
                <w:lang w:val="en-US" w:eastAsia="zh-CN"/>
                <w14:textFill>
                  <w14:solidFill>
                    <w14:schemeClr w14:val="tx1">
                      <w14:lumMod w14:val="95000"/>
                      <w14:lumOff w14:val="5000"/>
                    </w14:schemeClr>
                  </w14:solidFill>
                </w14:textFill>
              </w:rPr>
              <w:t xml:space="preserve">6000 </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元整</w:t>
            </w:r>
            <w:r>
              <w:rPr>
                <w:rFonts w:hint="eastAsia" w:asciiTheme="minorEastAsia" w:hAnsiTheme="minorEastAsia" w:eastAsiaTheme="minorEastAsia" w:cstheme="minorEastAsia"/>
                <w:b/>
                <w:color w:val="000000"/>
                <w:highlight w:val="none"/>
              </w:rPr>
              <w:t>（现金</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w:t>
            </w:r>
            <w:r>
              <w:rPr>
                <w:rFonts w:hint="eastAsia" w:asciiTheme="minorEastAsia" w:hAnsiTheme="minorEastAsia" w:eastAsiaTheme="minorEastAsia" w:cstheme="minorEastAsia"/>
                <w:snapToGrid w:val="0"/>
                <w:color w:val="000000"/>
                <w:kern w:val="0"/>
                <w:highlight w:val="none"/>
              </w:rPr>
              <w:t>未按规定提交投标保证金的投标文件，招标人将按不符合性投标而予以拒绝。</w:t>
            </w:r>
          </w:p>
        </w:tc>
      </w:tr>
      <w:tr w14:paraId="554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9" w:type="dxa"/>
            <w:vAlign w:val="center"/>
          </w:tcPr>
          <w:p w14:paraId="0F0C7292">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9</w:t>
            </w:r>
          </w:p>
        </w:tc>
        <w:tc>
          <w:tcPr>
            <w:tcW w:w="1915" w:type="dxa"/>
            <w:vAlign w:val="center"/>
          </w:tcPr>
          <w:p w14:paraId="193A12DC">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投标保证金的退还</w:t>
            </w:r>
          </w:p>
        </w:tc>
        <w:tc>
          <w:tcPr>
            <w:tcW w:w="6905" w:type="dxa"/>
          </w:tcPr>
          <w:p w14:paraId="714209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1.未中标的投标人的投标保证金将在开标结束后根据招投标实际情况予以退还（无息）。</w:t>
            </w:r>
          </w:p>
          <w:p w14:paraId="06D0C14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2.中标人的投标保证金，在签署合同后无息退还。</w:t>
            </w:r>
          </w:p>
        </w:tc>
      </w:tr>
      <w:tr w14:paraId="44AB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14:paraId="26E9BA9D">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10</w:t>
            </w:r>
          </w:p>
        </w:tc>
        <w:tc>
          <w:tcPr>
            <w:tcW w:w="1915" w:type="dxa"/>
            <w:vAlign w:val="center"/>
          </w:tcPr>
          <w:p w14:paraId="37BDA9E3">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踏勘现场</w:t>
            </w:r>
          </w:p>
        </w:tc>
        <w:tc>
          <w:tcPr>
            <w:tcW w:w="6905" w:type="dxa"/>
          </w:tcPr>
          <w:p w14:paraId="0B17520D">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踏勘现场由投标人自行组织</w:t>
            </w:r>
          </w:p>
        </w:tc>
      </w:tr>
      <w:tr w14:paraId="1955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14:paraId="1F2BA758">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11</w:t>
            </w:r>
          </w:p>
        </w:tc>
        <w:tc>
          <w:tcPr>
            <w:tcW w:w="1915" w:type="dxa"/>
            <w:vAlign w:val="center"/>
          </w:tcPr>
          <w:p w14:paraId="05BC02F5">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投标文件份数</w:t>
            </w:r>
          </w:p>
        </w:tc>
        <w:tc>
          <w:tcPr>
            <w:tcW w:w="6905" w:type="dxa"/>
          </w:tcPr>
          <w:p w14:paraId="37A531F4">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kern w:val="0"/>
                <w:highlight w:val="none"/>
              </w:rPr>
              <w:t>正本壹份，副本贰份</w:t>
            </w:r>
          </w:p>
        </w:tc>
      </w:tr>
      <w:tr w14:paraId="01A2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14:paraId="32D205C3">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12</w:t>
            </w:r>
          </w:p>
        </w:tc>
        <w:tc>
          <w:tcPr>
            <w:tcW w:w="1915" w:type="dxa"/>
            <w:vAlign w:val="center"/>
          </w:tcPr>
          <w:p w14:paraId="1B7FE9C9">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投标文件递交地点及截止时间</w:t>
            </w:r>
          </w:p>
        </w:tc>
        <w:tc>
          <w:tcPr>
            <w:tcW w:w="6905" w:type="dxa"/>
          </w:tcPr>
          <w:p w14:paraId="2C4C0D95">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投标文件递交截止时间：</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highlight w:val="none"/>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highlight w:val="none"/>
                <w:u w:val="single"/>
                <w:lang w:val="en-US" w:eastAsia="zh-CN"/>
                <w14:textFill>
                  <w14:solidFill>
                    <w14:schemeClr w14:val="tx1">
                      <w14:lumMod w14:val="95000"/>
                      <w14:lumOff w14:val="5000"/>
                    </w14:schemeClr>
                  </w14:solidFill>
                </w14:textFill>
              </w:rPr>
              <w:t>21</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highlight w:val="none"/>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highlight w:val="none"/>
                <w:u w:val="single"/>
                <w:lang w:val="en-US" w:eastAsia="zh-CN"/>
                <w14:textFill>
                  <w14:solidFill>
                    <w14:schemeClr w14:val="tx1">
                      <w14:lumMod w14:val="95000"/>
                      <w14:lumOff w14:val="5000"/>
                    </w14:schemeClr>
                  </w14:solidFill>
                </w14:textFill>
              </w:rPr>
              <w:t>00</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分</w:t>
            </w:r>
          </w:p>
          <w:p w14:paraId="111586CE">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提交地点：</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南通市通州区江海圆融汇1号楼1</w:t>
            </w:r>
            <w:r>
              <w:rPr>
                <w:rFonts w:hint="eastAsia" w:asciiTheme="minorEastAsia" w:hAnsiTheme="minorEastAsia" w:eastAsiaTheme="minorEastAsia" w:cstheme="minorEastAsia"/>
                <w:b/>
                <w:bCs/>
                <w:color w:val="0D0D0D" w:themeColor="text1" w:themeTint="F2"/>
                <w:kern w:val="0"/>
                <w:highlight w:val="none"/>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楼</w:t>
            </w:r>
            <w:r>
              <w:rPr>
                <w:rFonts w:hint="eastAsia" w:asciiTheme="minorEastAsia" w:hAnsiTheme="minorEastAsia" w:eastAsiaTheme="minorEastAsia" w:cstheme="minorEastAsia"/>
                <w:b/>
                <w:bCs/>
                <w:color w:val="0D0D0D" w:themeColor="text1" w:themeTint="F2"/>
                <w:kern w:val="0"/>
                <w:highlight w:val="none"/>
                <w:lang w:val="en-US" w:eastAsia="zh-CN"/>
                <w14:textFill>
                  <w14:solidFill>
                    <w14:schemeClr w14:val="tx1">
                      <w14:lumMod w14:val="95000"/>
                      <w14:lumOff w14:val="5000"/>
                    </w14:schemeClr>
                  </w14:solidFill>
                </w14:textFill>
              </w:rPr>
              <w:t>1610</w:t>
            </w: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开标室</w:t>
            </w:r>
          </w:p>
        </w:tc>
      </w:tr>
      <w:tr w14:paraId="17F4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09" w:type="dxa"/>
            <w:vAlign w:val="center"/>
          </w:tcPr>
          <w:p w14:paraId="119CB976">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13</w:t>
            </w:r>
          </w:p>
        </w:tc>
        <w:tc>
          <w:tcPr>
            <w:tcW w:w="1915" w:type="dxa"/>
            <w:vAlign w:val="center"/>
          </w:tcPr>
          <w:p w14:paraId="74599259">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开标时间</w:t>
            </w:r>
          </w:p>
        </w:tc>
        <w:tc>
          <w:tcPr>
            <w:tcW w:w="6905" w:type="dxa"/>
            <w:vAlign w:val="center"/>
          </w:tcPr>
          <w:p w14:paraId="360450B4">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开标时间：</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highlight w:val="none"/>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highlight w:val="none"/>
                <w:u w:val="single"/>
                <w:lang w:val="en-US" w:eastAsia="zh-CN"/>
                <w14:textFill>
                  <w14:solidFill>
                    <w14:schemeClr w14:val="tx1">
                      <w14:lumMod w14:val="95000"/>
                      <w14:lumOff w14:val="5000"/>
                    </w14:schemeClr>
                  </w14:solidFill>
                </w14:textFill>
              </w:rPr>
              <w:t>21</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highlight w:val="none"/>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highlight w:val="none"/>
                <w:u w:val="single"/>
                <w:lang w:val="en-US" w:eastAsia="zh-CN"/>
                <w14:textFill>
                  <w14:solidFill>
                    <w14:schemeClr w14:val="tx1">
                      <w14:lumMod w14:val="95000"/>
                      <w14:lumOff w14:val="5000"/>
                    </w14:schemeClr>
                  </w14:solidFill>
                </w14:textFill>
              </w:rPr>
              <w:t>00</w:t>
            </w: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分</w:t>
            </w:r>
          </w:p>
        </w:tc>
      </w:tr>
      <w:tr w14:paraId="319E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9" w:type="dxa"/>
            <w:vAlign w:val="center"/>
          </w:tcPr>
          <w:p w14:paraId="33B772EB">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14</w:t>
            </w:r>
          </w:p>
        </w:tc>
        <w:tc>
          <w:tcPr>
            <w:tcW w:w="1915" w:type="dxa"/>
            <w:vAlign w:val="center"/>
          </w:tcPr>
          <w:p w14:paraId="6053AD19">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最高限价</w:t>
            </w:r>
          </w:p>
        </w:tc>
        <w:tc>
          <w:tcPr>
            <w:tcW w:w="6905" w:type="dxa"/>
            <w:vAlign w:val="center"/>
          </w:tcPr>
          <w:p w14:paraId="52C5678E">
            <w:pPr>
              <w:widowControl/>
              <w:spacing w:line="400" w:lineRule="exact"/>
              <w:jc w:val="left"/>
              <w:rPr>
                <w:rFonts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人民币</w:t>
            </w:r>
            <w:r>
              <w:rPr>
                <w:rFonts w:hint="eastAsia" w:asciiTheme="minorEastAsia" w:hAnsiTheme="minorEastAsia" w:eastAsiaTheme="minorEastAsia" w:cstheme="minorEastAsia"/>
                <w:b/>
                <w:kern w:val="0"/>
                <w:highlight w:val="none"/>
                <w:u w:val="single"/>
                <w:lang w:val="en-US" w:eastAsia="zh-CN"/>
              </w:rPr>
              <w:t xml:space="preserve">   40    </w:t>
            </w:r>
            <w:r>
              <w:rPr>
                <w:rFonts w:hint="eastAsia" w:asciiTheme="minorEastAsia" w:hAnsiTheme="minorEastAsia" w:eastAsiaTheme="minorEastAsia" w:cstheme="minorEastAsia"/>
                <w:b/>
                <w:kern w:val="0"/>
                <w:highlight w:val="none"/>
              </w:rPr>
              <w:t>万元</w:t>
            </w:r>
          </w:p>
        </w:tc>
      </w:tr>
      <w:tr w14:paraId="4A14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9" w:type="dxa"/>
            <w:vAlign w:val="center"/>
          </w:tcPr>
          <w:p w14:paraId="0C4AB65B">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15</w:t>
            </w:r>
          </w:p>
        </w:tc>
        <w:tc>
          <w:tcPr>
            <w:tcW w:w="1915" w:type="dxa"/>
            <w:vAlign w:val="center"/>
          </w:tcPr>
          <w:p w14:paraId="0E6328DB">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履约保证金</w:t>
            </w:r>
          </w:p>
        </w:tc>
        <w:tc>
          <w:tcPr>
            <w:tcW w:w="6905" w:type="dxa"/>
            <w:vAlign w:val="center"/>
          </w:tcPr>
          <w:p w14:paraId="18D35950">
            <w:pPr>
              <w:spacing w:line="400" w:lineRule="exac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kern w:val="0"/>
                <w:highlight w:val="none"/>
              </w:rPr>
              <w:t>合同价款的10%</w:t>
            </w:r>
          </w:p>
        </w:tc>
      </w:tr>
      <w:tr w14:paraId="245C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9" w:type="dxa"/>
            <w:vAlign w:val="center"/>
          </w:tcPr>
          <w:p w14:paraId="16B9B6A2">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16</w:t>
            </w:r>
          </w:p>
        </w:tc>
        <w:tc>
          <w:tcPr>
            <w:tcW w:w="1915" w:type="dxa"/>
            <w:vAlign w:val="center"/>
          </w:tcPr>
          <w:p w14:paraId="5CC52F84">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联系方式</w:t>
            </w:r>
          </w:p>
        </w:tc>
        <w:tc>
          <w:tcPr>
            <w:tcW w:w="6905" w:type="dxa"/>
          </w:tcPr>
          <w:p w14:paraId="38DEBC64">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招标人：南通市通州区水务有限公司</w:t>
            </w:r>
          </w:p>
          <w:p w14:paraId="6688CC41">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地址：南通市通州区</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金沙镇金通路18号</w:t>
            </w:r>
          </w:p>
          <w:p w14:paraId="2F9338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联系人：</w:t>
            </w: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曹武</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　　</w:t>
            </w:r>
          </w:p>
          <w:p w14:paraId="5B46C7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联系电话：</w:t>
            </w: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18605136022</w:t>
            </w:r>
          </w:p>
          <w:p w14:paraId="74A21367">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招标代理:南通市通州天元建设监理咨询有限公司</w:t>
            </w:r>
          </w:p>
          <w:p w14:paraId="75731A61">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地址：通州区润和大厦8楼</w:t>
            </w:r>
          </w:p>
          <w:p w14:paraId="4EE17665">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 xml:space="preserve">联系人：俞先生      </w:t>
            </w:r>
          </w:p>
          <w:p w14:paraId="3FB538B9">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联系电话：0513-86516066</w:t>
            </w:r>
          </w:p>
        </w:tc>
      </w:tr>
      <w:tr w14:paraId="79A2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vAlign w:val="center"/>
          </w:tcPr>
          <w:p w14:paraId="46A568B4">
            <w:pPr>
              <w:widowControl/>
              <w:spacing w:line="400" w:lineRule="exact"/>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17</w:t>
            </w:r>
          </w:p>
        </w:tc>
        <w:tc>
          <w:tcPr>
            <w:tcW w:w="1915" w:type="dxa"/>
            <w:vAlign w:val="center"/>
          </w:tcPr>
          <w:p w14:paraId="1D3582F6">
            <w:pPr>
              <w:widowControl/>
              <w:spacing w:line="400" w:lineRule="exact"/>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参加开标会的投标人代表</w:t>
            </w:r>
          </w:p>
        </w:tc>
        <w:tc>
          <w:tcPr>
            <w:tcW w:w="6905" w:type="dxa"/>
            <w:vAlign w:val="center"/>
          </w:tcPr>
          <w:p w14:paraId="7DD0C5F1">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bCs/>
                <w:highlight w:val="none"/>
              </w:rPr>
              <w:t>本项目的法人或授权委托人需出示身份证，亲自、准时参加开标会议，否则不论何原因，均视为自动弃权，其投标文件将被招标人拒绝。</w:t>
            </w:r>
          </w:p>
        </w:tc>
      </w:tr>
    </w:tbl>
    <w:p w14:paraId="1A5F1A02">
      <w:pPr>
        <w:spacing w:line="440" w:lineRule="exact"/>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一、投标须知</w:t>
      </w:r>
    </w:p>
    <w:p w14:paraId="336DB0B5">
      <w:pPr>
        <w:spacing w:line="440" w:lineRule="exact"/>
        <w:ind w:firstLine="413" w:firstLineChars="196"/>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（一）投标人应具备的资格条件</w:t>
      </w:r>
    </w:p>
    <w:p w14:paraId="0F0E0C16">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1、具有独立法人资格且具有有效的企业法人营业执照；</w:t>
      </w:r>
    </w:p>
    <w:p w14:paraId="7C4943CB">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2、具有电子与智能化工程专业承包贰级及以上资质；</w:t>
      </w:r>
    </w:p>
    <w:p w14:paraId="79EA0A50">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3、2022年1月1日以来</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以签订合同时间为准)</w:t>
      </w:r>
      <w:r>
        <w:rPr>
          <w:rFonts w:hint="eastAsia" w:asciiTheme="minorEastAsia" w:hAnsiTheme="minorEastAsia" w:eastAsiaTheme="minorEastAsia" w:cstheme="minorEastAsia"/>
          <w:highlight w:val="none"/>
          <w:lang w:eastAsia="zh-CN"/>
        </w:rPr>
        <w:t>，具有</w:t>
      </w:r>
      <w:r>
        <w:rPr>
          <w:rFonts w:hint="eastAsia" w:asciiTheme="minorEastAsia" w:hAnsiTheme="minorEastAsia" w:eastAsiaTheme="minorEastAsia" w:cstheme="minorEastAsia"/>
          <w:highlight w:val="none"/>
        </w:rPr>
        <w:t>供水或排水（雨水、污水）行业自动化设备供货安装调试业绩3个</w:t>
      </w:r>
      <w:r>
        <w:rPr>
          <w:rFonts w:hint="eastAsia" w:asciiTheme="minorEastAsia" w:hAnsiTheme="minorEastAsia" w:eastAsiaTheme="minorEastAsia" w:cstheme="minorEastAsia"/>
          <w:highlight w:val="none"/>
          <w:lang w:eastAsia="zh-CN"/>
        </w:rPr>
        <w:t>（提供合同</w:t>
      </w:r>
      <w:r>
        <w:rPr>
          <w:rFonts w:hint="eastAsia" w:asciiTheme="minorEastAsia" w:hAnsiTheme="minorEastAsia" w:eastAsiaTheme="minorEastAsia" w:cstheme="minorEastAsia"/>
          <w:highlight w:val="none"/>
          <w:lang w:val="en-US" w:eastAsia="zh-CN"/>
        </w:rPr>
        <w:t>及验收报告</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t>
      </w:r>
    </w:p>
    <w:p w14:paraId="797E70B4">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4、授权委托人（如有）与投标人签订的有效劳动合同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投标人为授权委托人（如有）缴纳的202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月至2025年</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月养老保险缴费证明（企业法定代表人参与投标，此项不需提供）；</w:t>
      </w:r>
    </w:p>
    <w:p w14:paraId="79488AB2">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5、投标声明函（格式见招标文件）。</w:t>
      </w:r>
    </w:p>
    <w:p w14:paraId="5F6F1DE1">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投标人提供的投标文件中的内容没有失实或者弄虚作假，若提供虚假材料的，投标保证金一律没收，记不良行为一次并网上公示。</w:t>
      </w:r>
    </w:p>
    <w:p w14:paraId="19BC5CC7">
      <w:pPr>
        <w:widowControl/>
        <w:spacing w:line="440" w:lineRule="exact"/>
        <w:ind w:firstLine="420" w:firstLineChars="200"/>
        <w:jc w:val="lef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本项目不接受联合体投标。</w:t>
      </w:r>
    </w:p>
    <w:p w14:paraId="561A1A0D">
      <w:pPr>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（二）投标费用</w:t>
      </w:r>
    </w:p>
    <w:p w14:paraId="115090DD">
      <w:pPr>
        <w:spacing w:line="440" w:lineRule="exact"/>
        <w:ind w:firstLine="420" w:firstLineChars="200"/>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1、招标代理费人民币2000元，由中标单位在开标结束后支付给代理机构，请各投标单位在报价时综合考虑。</w:t>
      </w:r>
    </w:p>
    <w:p w14:paraId="7CD4C8CE">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投标单位应承担其编制投标文件以及递交投标文件所涉及的一切费用，无论投标结果如何，招标人对上述费用不负任何责任。</w:t>
      </w:r>
    </w:p>
    <w:p w14:paraId="11B6DF33">
      <w:pPr>
        <w:spacing w:line="440" w:lineRule="exact"/>
        <w:ind w:left="-540" w:leftChars="-257" w:firstLine="474" w:firstLineChars="225"/>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二、招标文件内容、澄清和修改</w:t>
      </w:r>
    </w:p>
    <w:p w14:paraId="35E3537E">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（一）招标文件的组成</w:t>
      </w:r>
    </w:p>
    <w:p w14:paraId="255ECE9E">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1、招标公告</w:t>
      </w:r>
    </w:p>
    <w:p w14:paraId="3DE8F6AC">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2、投标须知及投标须知前附表</w:t>
      </w:r>
    </w:p>
    <w:p w14:paraId="1F08D9B1">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3、评标办法</w:t>
      </w:r>
    </w:p>
    <w:p w14:paraId="494E111A">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4、合同条款</w:t>
      </w:r>
    </w:p>
    <w:p w14:paraId="7A6D0CBB">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5、投标文件格式</w:t>
      </w:r>
    </w:p>
    <w:p w14:paraId="1DECEE0F">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6、项目需求</w:t>
      </w:r>
    </w:p>
    <w:p w14:paraId="2AB40E43">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下载招标文件后，应仔细检查招标文件的所有内容，如对招标活动事项有疑问的，应以书面形式提出询问或疑问，未按规定提出询问或疑问的，视同投标人理解并接受本招标文件所有内容，并对由此引起的投标损失自负。</w:t>
      </w:r>
    </w:p>
    <w:p w14:paraId="7D9713F6">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5E1B6D1">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bookmarkStart w:id="7" w:name="_Toc462564070"/>
      <w:bookmarkStart w:id="8" w:name="_Toc20823283"/>
      <w:bookmarkStart w:id="9" w:name="_Toc16938527"/>
      <w:bookmarkStart w:id="10" w:name="_Toc513029211"/>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（二）招标文件的</w:t>
      </w:r>
      <w:bookmarkEnd w:id="7"/>
      <w:bookmarkEnd w:id="8"/>
      <w:bookmarkEnd w:id="9"/>
      <w:bookmarkEnd w:id="10"/>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询问</w:t>
      </w:r>
    </w:p>
    <w:p w14:paraId="17AE2D6A">
      <w:pPr>
        <w:spacing w:line="440" w:lineRule="exact"/>
        <w:ind w:firstLine="420" w:firstLineChars="200"/>
        <w:rPr>
          <w:rFonts w:ascii="宋体" w:hAnsi="宋体"/>
          <w:highlight w:val="none"/>
        </w:rPr>
      </w:pPr>
      <w:bookmarkStart w:id="11" w:name="_Toc513029212"/>
      <w:bookmarkStart w:id="12" w:name="_Toc462564071"/>
      <w:bookmarkStart w:id="13" w:name="_Toc16938528"/>
      <w:bookmarkStart w:id="14" w:name="_Toc20823284"/>
      <w:r>
        <w:rPr>
          <w:rFonts w:hint="eastAsia" w:asciiTheme="minorEastAsia" w:hAnsiTheme="minorEastAsia" w:eastAsiaTheme="minorEastAsia" w:cstheme="minorEastAsia"/>
          <w:color w:val="000000"/>
          <w:highlight w:val="none"/>
        </w:rPr>
        <w:t>1、</w:t>
      </w:r>
      <w:r>
        <w:rPr>
          <w:rFonts w:hint="eastAsia" w:ascii="宋体" w:hAnsi="宋体"/>
          <w:highlight w:val="none"/>
        </w:rPr>
        <w:t>投标人获取招标文件后，应仔细核查招标文件的所有内容，投标人如有疑问，应在</w:t>
      </w:r>
      <w:r>
        <w:rPr>
          <w:rFonts w:hint="eastAsia" w:ascii="宋体" w:hAnsi="宋体"/>
          <w:b/>
          <w:highlight w:val="none"/>
        </w:rPr>
        <w:t>2025年</w:t>
      </w:r>
      <w:r>
        <w:rPr>
          <w:rFonts w:hint="eastAsia" w:ascii="宋体" w:hAnsi="宋体"/>
          <w:b/>
          <w:highlight w:val="none"/>
          <w:lang w:val="en-US" w:eastAsia="zh-CN"/>
        </w:rPr>
        <w:t>8</w:t>
      </w:r>
      <w:r>
        <w:rPr>
          <w:rFonts w:hint="eastAsia" w:ascii="宋体" w:hAnsi="宋体"/>
          <w:b/>
          <w:highlight w:val="none"/>
        </w:rPr>
        <w:t>月</w:t>
      </w:r>
      <w:r>
        <w:rPr>
          <w:rFonts w:hint="eastAsia" w:ascii="宋体" w:hAnsi="宋体"/>
          <w:b/>
          <w:highlight w:val="none"/>
          <w:u w:val="single"/>
          <w:lang w:val="en-US" w:eastAsia="zh-CN"/>
        </w:rPr>
        <w:t>14</w:t>
      </w:r>
      <w:r>
        <w:rPr>
          <w:rFonts w:hint="eastAsia" w:ascii="宋体" w:hAnsi="宋体"/>
          <w:b/>
          <w:highlight w:val="none"/>
        </w:rPr>
        <w:t>日17：00</w:t>
      </w:r>
      <w:r>
        <w:rPr>
          <w:rFonts w:hint="eastAsia" w:ascii="宋体" w:hAnsi="宋体"/>
          <w:highlight w:val="none"/>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条款规定，该标书有可能被拒绝。</w:t>
      </w:r>
    </w:p>
    <w:p w14:paraId="19F10E5A">
      <w:pPr>
        <w:spacing w:line="440" w:lineRule="exact"/>
        <w:ind w:firstLine="525" w:firstLineChars="250"/>
        <w:rPr>
          <w:rFonts w:ascii="宋体" w:hAnsi="宋体"/>
          <w:highlight w:val="none"/>
        </w:rPr>
      </w:pPr>
      <w:r>
        <w:rPr>
          <w:rFonts w:hint="eastAsia" w:asciiTheme="minorEastAsia" w:hAnsiTheme="minorEastAsia" w:eastAsiaTheme="minorEastAsia" w:cstheme="minorEastAsia"/>
          <w:color w:val="000000"/>
          <w:highlight w:val="none"/>
        </w:rPr>
        <w:t>2、</w:t>
      </w:r>
      <w:r>
        <w:rPr>
          <w:rFonts w:hint="eastAsia" w:ascii="宋体" w:hAnsi="宋体"/>
          <w:highlight w:val="none"/>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hint="eastAsia" w:ascii="宋体" w:hAnsi="宋体"/>
          <w:b/>
          <w:highlight w:val="none"/>
        </w:rPr>
        <w:t>2025年</w:t>
      </w:r>
      <w:r>
        <w:rPr>
          <w:rFonts w:hint="eastAsia" w:ascii="宋体" w:hAnsi="宋体"/>
          <w:b/>
          <w:highlight w:val="none"/>
          <w:lang w:val="en-US" w:eastAsia="zh-CN"/>
        </w:rPr>
        <w:t>8</w:t>
      </w:r>
      <w:r>
        <w:rPr>
          <w:rFonts w:hint="eastAsia" w:ascii="宋体" w:hAnsi="宋体"/>
          <w:b/>
          <w:highlight w:val="none"/>
        </w:rPr>
        <w:t>月</w:t>
      </w:r>
      <w:r>
        <w:rPr>
          <w:rFonts w:hint="eastAsia" w:ascii="宋体" w:hAnsi="宋体"/>
          <w:b/>
          <w:highlight w:val="none"/>
          <w:u w:val="single"/>
          <w:lang w:val="en-US" w:eastAsia="zh-CN"/>
        </w:rPr>
        <w:t>15</w:t>
      </w:r>
      <w:r>
        <w:rPr>
          <w:rFonts w:hint="eastAsia" w:ascii="宋体" w:hAnsi="宋体"/>
          <w:b/>
          <w:highlight w:val="none"/>
        </w:rPr>
        <w:t>日24：00</w:t>
      </w:r>
      <w:r>
        <w:rPr>
          <w:rFonts w:hint="eastAsia" w:ascii="宋体" w:hAnsi="宋体"/>
          <w:highlight w:val="none"/>
        </w:rPr>
        <w:t>前通过“南通市通州区</w:t>
      </w:r>
      <w:r>
        <w:rPr>
          <w:rFonts w:hint="eastAsia" w:ascii="宋体" w:hAnsi="宋体"/>
          <w:highlight w:val="none"/>
          <w:lang w:eastAsia="zh-CN"/>
        </w:rPr>
        <w:t>人民政府</w:t>
      </w:r>
      <w:r>
        <w:rPr>
          <w:rFonts w:hint="eastAsia" w:ascii="宋体" w:hAnsi="宋体"/>
          <w:highlight w:val="none"/>
        </w:rPr>
        <w:t>”网站发给所有投标人。</w:t>
      </w:r>
    </w:p>
    <w:p w14:paraId="5F73F23C">
      <w:pPr>
        <w:spacing w:line="440" w:lineRule="exact"/>
        <w:ind w:firstLine="420" w:firstLineChars="200"/>
        <w:rPr>
          <w:rFonts w:ascii="宋体" w:hAnsi="Calibri"/>
          <w:highlight w:val="none"/>
        </w:rPr>
      </w:pPr>
      <w:r>
        <w:rPr>
          <w:rFonts w:hint="eastAsia" w:ascii="宋体" w:hAnsi="宋体"/>
          <w:highlight w:val="none"/>
        </w:rPr>
        <w:t>当招标文件、招标文件的澄清等在同一内容的表述上不一致时，以最后发布的为准。</w:t>
      </w:r>
    </w:p>
    <w:p w14:paraId="50EF17DE">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（三）招标文件的修改</w:t>
      </w:r>
      <w:bookmarkEnd w:id="11"/>
      <w:bookmarkEnd w:id="12"/>
      <w:bookmarkEnd w:id="13"/>
      <w:bookmarkEnd w:id="14"/>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及澄清</w:t>
      </w:r>
    </w:p>
    <w:p w14:paraId="3148E31E">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1、在投标截止时间三日前，招标人可以对招标文件进行修改。</w:t>
      </w:r>
    </w:p>
    <w:p w14:paraId="46DBF67B">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2、招标人有权按照法定的要求推迟投标截止日期和开标日期。</w:t>
      </w:r>
    </w:p>
    <w:p w14:paraId="2A4F8465">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3、招标文件的修改将在“南通市通州区</w:t>
      </w:r>
      <w:r>
        <w:rPr>
          <w:rFonts w:hint="eastAsia" w:asciiTheme="minorEastAsia" w:hAnsiTheme="minorEastAsia" w:eastAsiaTheme="minorEastAsia" w:cstheme="minorEastAsia"/>
          <w:color w:val="0D0D0D" w:themeColor="text1" w:themeTint="F2"/>
          <w:highlight w:val="none"/>
          <w:lang w:eastAsia="zh-CN"/>
          <w14:textFill>
            <w14:solidFill>
              <w14:schemeClr w14:val="tx1">
                <w14:lumMod w14:val="95000"/>
                <w14:lumOff w14:val="5000"/>
              </w14:schemeClr>
            </w14:solidFill>
          </w14:textFill>
        </w:rPr>
        <w:t>人民政府</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”网站发布，请各投标人及时登录平台查看，补充文件将作为招标文件的组成部分，并对投标人具有约束力。</w:t>
      </w:r>
    </w:p>
    <w:p w14:paraId="668B83D3">
      <w:pPr>
        <w:spacing w:line="440" w:lineRule="exact"/>
        <w:ind w:left="-540" w:leftChars="-257" w:firstLine="2262" w:firstLineChars="1073"/>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三、投标文件的编制</w:t>
      </w:r>
    </w:p>
    <w:p w14:paraId="5110FEE9">
      <w:pPr>
        <w:spacing w:line="440" w:lineRule="exact"/>
        <w:ind w:firstLine="420" w:firstLineChars="200"/>
        <w:jc w:val="left"/>
        <w:rPr>
          <w:rFonts w:asciiTheme="minorEastAsia" w:hAnsiTheme="minorEastAsia" w:eastAsiaTheme="minorEastAsia" w:cstheme="minorEastAsia"/>
          <w:color w:val="0D0D0D" w:themeColor="text1" w:themeTint="F2"/>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（一）投标文件应包括下列内容：</w:t>
      </w:r>
      <w:r>
        <w:rPr>
          <w:rFonts w:hint="eastAsia" w:asciiTheme="minorEastAsia" w:hAnsiTheme="minorEastAsia" w:eastAsiaTheme="minorEastAsia" w:cstheme="minorEastAsia"/>
          <w:b/>
          <w:color w:val="0D0D0D" w:themeColor="text1" w:themeTint="F2"/>
          <w:highlight w:val="none"/>
          <w:u w:val="single"/>
          <w14:textFill>
            <w14:solidFill>
              <w14:schemeClr w14:val="tx1">
                <w14:lumMod w14:val="95000"/>
                <w14:lumOff w14:val="5000"/>
              </w14:schemeClr>
            </w14:solidFill>
          </w14:textFill>
        </w:rPr>
        <w:t>资格审查文件、价格标文件</w:t>
      </w:r>
    </w:p>
    <w:p w14:paraId="5B1482B2">
      <w:pPr>
        <w:spacing w:line="440" w:lineRule="exact"/>
        <w:ind w:firstLine="422" w:firstLineChars="200"/>
        <w:jc w:val="left"/>
        <w:rPr>
          <w:rFonts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t>资格审查文件（包括但不限于以下内容）：</w:t>
      </w:r>
    </w:p>
    <w:p w14:paraId="068F55F2">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1、法定代表人身份证明书、法定代表人身份证；</w:t>
      </w:r>
    </w:p>
    <w:p w14:paraId="7210608D">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2、授权委托书、授权委托人身份证；</w:t>
      </w:r>
    </w:p>
    <w:p w14:paraId="11EDD73B">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3、有效的企业法人营业执照；</w:t>
      </w:r>
    </w:p>
    <w:p w14:paraId="5A2E6454">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4、有效的电子与智能化工程专业承包贰级及以上资质资质证书；</w:t>
      </w:r>
    </w:p>
    <w:p w14:paraId="13D65873">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5、2022年1月1日以来</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以签订合同时间为准)</w:t>
      </w:r>
      <w:r>
        <w:rPr>
          <w:rFonts w:hint="eastAsia" w:asciiTheme="minorEastAsia" w:hAnsiTheme="minorEastAsia" w:eastAsiaTheme="minorEastAsia" w:cstheme="minorEastAsia"/>
          <w:highlight w:val="none"/>
          <w:lang w:eastAsia="zh-CN"/>
        </w:rPr>
        <w:t>，具有</w:t>
      </w:r>
      <w:r>
        <w:rPr>
          <w:rFonts w:hint="eastAsia" w:asciiTheme="minorEastAsia" w:hAnsiTheme="minorEastAsia" w:eastAsiaTheme="minorEastAsia" w:cstheme="minorEastAsia"/>
          <w:highlight w:val="none"/>
        </w:rPr>
        <w:t>供水或排水（雨水、污水）行业自动化设备供货安装调试业绩3个</w:t>
      </w:r>
      <w:r>
        <w:rPr>
          <w:rFonts w:hint="eastAsia" w:asciiTheme="minorEastAsia" w:hAnsiTheme="minorEastAsia" w:eastAsiaTheme="minorEastAsia" w:cstheme="minorEastAsia"/>
          <w:highlight w:val="none"/>
          <w:lang w:eastAsia="zh-CN"/>
        </w:rPr>
        <w:t>（提供合同</w:t>
      </w:r>
      <w:r>
        <w:rPr>
          <w:rFonts w:hint="eastAsia" w:asciiTheme="minorEastAsia" w:hAnsiTheme="minorEastAsia" w:eastAsiaTheme="minorEastAsia" w:cstheme="minorEastAsia"/>
          <w:highlight w:val="none"/>
          <w:lang w:val="en-US" w:eastAsia="zh-CN"/>
        </w:rPr>
        <w:t>及验收报告</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t>
      </w:r>
    </w:p>
    <w:p w14:paraId="54D57717">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6、授权委托人（如有）与投标人签订的有效劳动合同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投标人为授权委托人（如有）缴纳的202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月至2025年</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月养老保险缴费证明（企业法定代表人参与投标，此项不需提供）；</w:t>
      </w:r>
    </w:p>
    <w:p w14:paraId="58D221F0">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7、投标声明函（格式见招标文件）。</w:t>
      </w:r>
    </w:p>
    <w:p w14:paraId="3268F7C3">
      <w:pPr>
        <w:pStyle w:val="18"/>
        <w:spacing w:after="0" w:line="440" w:lineRule="exact"/>
        <w:ind w:firstLine="422" w:firstLineChars="200"/>
        <w:rPr>
          <w:rFonts w:asciiTheme="minorEastAsia" w:hAnsiTheme="minorEastAsia" w:eastAsiaTheme="minorEastAsia" w:cstheme="minorEastAsia"/>
          <w:b/>
          <w:bCs/>
          <w:color w:val="0D0D0D" w:themeColor="text1" w:themeTint="F2"/>
          <w:kern w:val="0"/>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u w:val="single"/>
          <w14:textFill>
            <w14:solidFill>
              <w14:schemeClr w14:val="tx1">
                <w14:lumMod w14:val="95000"/>
                <w14:lumOff w14:val="5000"/>
              </w14:schemeClr>
            </w14:solidFill>
          </w14:textFill>
        </w:rPr>
        <w:t>价格标部分</w:t>
      </w:r>
      <w:r>
        <w:rPr>
          <w:rFonts w:hint="eastAsia"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t>（包括但不限于以下内容）</w:t>
      </w:r>
      <w:r>
        <w:rPr>
          <w:rFonts w:hint="eastAsia" w:asciiTheme="minorEastAsia" w:hAnsiTheme="minorEastAsia" w:eastAsiaTheme="minorEastAsia" w:cstheme="minorEastAsia"/>
          <w:b/>
          <w:bCs/>
          <w:color w:val="0D0D0D" w:themeColor="text1" w:themeTint="F2"/>
          <w:kern w:val="0"/>
          <w:highlight w:val="none"/>
          <w:u w:val="single"/>
          <w14:textFill>
            <w14:solidFill>
              <w14:schemeClr w14:val="tx1">
                <w14:lumMod w14:val="95000"/>
                <w14:lumOff w14:val="5000"/>
              </w14:schemeClr>
            </w14:solidFill>
          </w14:textFill>
        </w:rPr>
        <w:t>:</w:t>
      </w:r>
    </w:p>
    <w:p w14:paraId="4FC8D367">
      <w:pPr>
        <w:spacing w:line="440" w:lineRule="exact"/>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1、投标函；</w:t>
      </w:r>
    </w:p>
    <w:p w14:paraId="2B48B4AB">
      <w:pPr>
        <w:spacing w:line="440" w:lineRule="exact"/>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2、明细报价一览表。</w:t>
      </w:r>
    </w:p>
    <w:p w14:paraId="226E65E7">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（二）投标人应当使用本招标文件提供的投标文件表式，表式可以按同样格式进行扩展。</w:t>
      </w:r>
    </w:p>
    <w:p w14:paraId="6A485304">
      <w:pPr>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（三）投标报价</w:t>
      </w:r>
    </w:p>
    <w:p w14:paraId="6452DFE5">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1、本项目不接受任何有选择的报价。</w:t>
      </w:r>
    </w:p>
    <w:p w14:paraId="2ECE9DF8">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2、投标报价均以人民币为报价的货币单位。</w:t>
      </w:r>
    </w:p>
    <w:p w14:paraId="2106333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3、报价表必须加盖投标人公章且必须经法定代表人或被委托授权人签署。</w:t>
      </w:r>
    </w:p>
    <w:p w14:paraId="32FB168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4、报价出现前后不一致的，按照下列规定修正：</w:t>
      </w:r>
    </w:p>
    <w:p w14:paraId="3EE191C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（1）投标文件中报价表（报价单）内容与投标文件技术响应中内容明细不一致的，以报价表（报价单）为准；</w:t>
      </w:r>
    </w:p>
    <w:p w14:paraId="61E9DD91">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（2）投标文件中涉及大写金额和小写金额不一致的，以大写金额为准；</w:t>
      </w:r>
    </w:p>
    <w:p w14:paraId="44A97843">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（3）单价金额小数点或者百分比有明显错位的，以报价表（报价单）的总价为准，</w:t>
      </w:r>
    </w:p>
    <w:p w14:paraId="0DA456DF">
      <w:pPr>
        <w:adjustRightInd w:val="0"/>
        <w:snapToGrid w:val="0"/>
        <w:spacing w:line="44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并修改单价；</w:t>
      </w:r>
    </w:p>
    <w:p w14:paraId="3782A6A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（4）总价金额与按单价汇总金额不一致的，以单价金额计算结果为准。</w:t>
      </w:r>
    </w:p>
    <w:p w14:paraId="6D2BCEBD">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同时出现两种以上不一致的，按照前款规定的顺序修正。修正后的报价应当由投标人的法定代表人或其授权的代表签字确认后产生约束力，投标人不确认的，其投标无效。</w:t>
      </w:r>
    </w:p>
    <w:p w14:paraId="1327F439">
      <w:pPr>
        <w:spacing w:line="400" w:lineRule="exact"/>
        <w:ind w:firstLine="420" w:firstLineChars="200"/>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5、</w:t>
      </w:r>
      <w:r>
        <w:rPr>
          <w:rFonts w:hint="eastAsia" w:asciiTheme="minorEastAsia" w:hAnsiTheme="minorEastAsia" w:eastAsiaTheme="minorEastAsia" w:cstheme="minorEastAsia"/>
          <w:snapToGrid w:val="0"/>
          <w:color w:val="000000"/>
          <w:kern w:val="0"/>
          <w:highlight w:val="none"/>
        </w:rPr>
        <w:t>投标人应根据招标人提供的项目需求，结合企业实际情况进行报价。投标人任何漏项、漏报、少报、错报所产生的后果，均由投标人承担责任。报价在合同有效期内（含质保期）不作调整。在合同实施期间不因市场价格浮动因素或其他政策性因素调整，投标人报价时充分考虑风险因素。</w:t>
      </w:r>
      <w:r>
        <w:rPr>
          <w:rFonts w:hint="eastAsia" w:asciiTheme="minorEastAsia" w:hAnsiTheme="minorEastAsia" w:eastAsiaTheme="minorEastAsia" w:cstheme="minorEastAsia"/>
          <w:b/>
          <w:bCs/>
          <w:kern w:val="0"/>
          <w:highlight w:val="none"/>
        </w:rPr>
        <w:t>投标报价为响应及完成项目所需的全部费用，包含但不限于：卖方自制的或外购的全部设备、材料的价格，随货物提供的备品备件及专用工具的价格，包括设备成本（含备品备件费）、包装费、装卸费、运输费、劳务费、供销部门手续费、环保费、安装部件费、安装调试费、检验和试验费、保险、利润、税金（也含关税、增值税）、人员培训和质量保证（修）等售后服务费、政策性文件规定及合同包含的所有风险、责任等各项应有费用；</w:t>
      </w:r>
      <w:r>
        <w:rPr>
          <w:rFonts w:hint="eastAsia" w:asciiTheme="minorEastAsia" w:hAnsiTheme="minorEastAsia" w:eastAsiaTheme="minorEastAsia" w:cstheme="minorEastAsia"/>
          <w:b/>
          <w:bCs/>
          <w:kern w:val="0"/>
          <w:highlight w:val="none"/>
          <w:lang w:val="en-US" w:eastAsia="zh-CN"/>
        </w:rPr>
        <w:t>含现场施工、PLC调试、原有自控系统优化、监控施工（包含维修老视频监控，将新、老监控整合到同一个客户端操作、显示等）等。</w:t>
      </w:r>
      <w:r>
        <w:rPr>
          <w:rFonts w:hint="eastAsia" w:asciiTheme="minorEastAsia" w:hAnsiTheme="minorEastAsia" w:eastAsiaTheme="minorEastAsia" w:cstheme="minorEastAsia"/>
          <w:b/>
          <w:bCs/>
          <w:kern w:val="0"/>
          <w:highlight w:val="none"/>
        </w:rPr>
        <w:t>该合同价格在合同实施期间不因市场变化因素而变动。</w:t>
      </w:r>
    </w:p>
    <w:p w14:paraId="7CBED683">
      <w:pPr>
        <w:spacing w:line="440" w:lineRule="exact"/>
        <w:ind w:firstLine="420" w:firstLineChars="200"/>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highlight w:val="none"/>
        </w:rPr>
        <w:t>6、报价以人民币计算，</w:t>
      </w:r>
      <w:r>
        <w:rPr>
          <w:rFonts w:hint="eastAsia" w:asciiTheme="minorEastAsia" w:hAnsiTheme="minorEastAsia" w:eastAsiaTheme="minorEastAsia" w:cstheme="minorEastAsia"/>
          <w:kern w:val="0"/>
          <w:highlight w:val="none"/>
        </w:rPr>
        <w:t>投标报价为含税报价，开据的票据为可抵扣的</w:t>
      </w:r>
      <w:r>
        <w:rPr>
          <w:rFonts w:hint="eastAsia" w:asciiTheme="minorEastAsia" w:hAnsiTheme="minorEastAsia" w:eastAsiaTheme="minorEastAsia" w:cstheme="minorEastAsia"/>
          <w:b/>
          <w:bCs/>
          <w:kern w:val="0"/>
          <w:highlight w:val="none"/>
        </w:rPr>
        <w:t>增值税专用发票。</w:t>
      </w:r>
    </w:p>
    <w:p w14:paraId="7B6F45E1">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7、本次招标设最高限价，低于最高限价的为有效报价，否则为废标。</w:t>
      </w:r>
    </w:p>
    <w:p w14:paraId="56A4F5EE">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8、本次招标项目商务报价仅为一次报定商务价格，一旦中标即为成交价。</w:t>
      </w:r>
    </w:p>
    <w:p w14:paraId="3AE7F4E4">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9、投标人在投标报价中未列入项目的价款，将被视为已包含在其他项目中；投标人明示未列入的报价项目，将被视为主动让利或优惠，一旦中标将来不得以此为由主张任何补偿或索赔。</w:t>
      </w:r>
    </w:p>
    <w:p w14:paraId="6B77217F">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（四）投标担保</w:t>
      </w:r>
    </w:p>
    <w:p w14:paraId="2FCB304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1、投标人在递交投标文件的同时，应按规定的金额、形式递交投标保证金，并作为其投标文件的组成部分。</w:t>
      </w:r>
    </w:p>
    <w:p w14:paraId="14674896">
      <w:pPr>
        <w:adjustRightInd w:val="0"/>
        <w:snapToGrid w:val="0"/>
        <w:spacing w:line="440" w:lineRule="exact"/>
        <w:ind w:firstLine="422" w:firstLineChars="200"/>
        <w:rPr>
          <w:rFonts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2、本项目投标保证金数额为</w:t>
      </w:r>
      <w:r>
        <w:rPr>
          <w:rFonts w:hint="eastAsia" w:asciiTheme="minorEastAsia" w:hAnsiTheme="minorEastAsia" w:eastAsiaTheme="minorEastAsia" w:cstheme="minorEastAsia"/>
          <w:b/>
          <w:color w:val="0D0D0D" w:themeColor="text1" w:themeTint="F2"/>
          <w:highlight w:val="none"/>
          <w:u w:val="single"/>
          <w:lang w:val="en-US" w:eastAsia="zh-CN"/>
          <w14:textFill>
            <w14:solidFill>
              <w14:schemeClr w14:val="tx1">
                <w14:lumMod w14:val="95000"/>
                <w14:lumOff w14:val="5000"/>
              </w14:schemeClr>
            </w14:solidFill>
          </w14:textFill>
        </w:rPr>
        <w:t xml:space="preserve">  6000 </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元整（现金），未按规定提交投标保证金的投标文件，招标人将按不符合性投标而予以拒绝。</w:t>
      </w:r>
    </w:p>
    <w:p w14:paraId="371E1684">
      <w:pPr>
        <w:adjustRightInd w:val="0"/>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3、保证金的退还：未中标的投标人的投标保证金将在开标结束后根据招投标实际情况予以退还（无息）；中标人的投标保证金，在签署合同后无息退还。</w:t>
      </w:r>
    </w:p>
    <w:p w14:paraId="27AA4EEF">
      <w:pPr>
        <w:spacing w:line="440" w:lineRule="exact"/>
        <w:ind w:firstLine="525"/>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highlight w:val="none"/>
          <w14:textFill>
            <w14:solidFill>
              <w14:schemeClr w14:val="tx1">
                <w14:lumMod w14:val="95000"/>
                <w14:lumOff w14:val="5000"/>
              </w14:schemeClr>
            </w14:solidFill>
          </w14:textFill>
        </w:rPr>
        <w:t>4、投标人出现下列情况，经评标委员会核实后，招标人有权取消其中标资格，并没收其投标保证金。</w:t>
      </w:r>
    </w:p>
    <w:p w14:paraId="341FD8CA">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highlight w:val="none"/>
          <w14:textFill>
            <w14:solidFill>
              <w14:schemeClr w14:val="tx1">
                <w14:lumMod w14:val="95000"/>
                <w14:lumOff w14:val="5000"/>
              </w14:schemeClr>
            </w14:solidFill>
          </w14:textFill>
        </w:rPr>
        <w:t>（1）投标人在投标有效期内撤回其投标文件；</w:t>
      </w:r>
    </w:p>
    <w:p w14:paraId="646C5D72">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highlight w:val="none"/>
          <w14:textFill>
            <w14:solidFill>
              <w14:schemeClr w14:val="tx1">
                <w14:lumMod w14:val="95000"/>
                <w14:lumOff w14:val="5000"/>
              </w14:schemeClr>
            </w14:solidFill>
          </w14:textFill>
        </w:rPr>
        <w:t>（2）中标人无正当理由拒绝签订合同；</w:t>
      </w:r>
    </w:p>
    <w:p w14:paraId="251303EF">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highlight w:val="none"/>
          <w14:textFill>
            <w14:solidFill>
              <w14:schemeClr w14:val="tx1">
                <w14:lumMod w14:val="95000"/>
                <w14:lumOff w14:val="5000"/>
              </w14:schemeClr>
            </w14:solidFill>
          </w14:textFill>
        </w:rPr>
        <w:t>（3）中标人未能在招标文件规定的期限内提交履约担保。</w:t>
      </w:r>
    </w:p>
    <w:p w14:paraId="280CEF0C">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（五）投标文件的份数和签署</w:t>
      </w:r>
    </w:p>
    <w:p w14:paraId="55A1D9EF">
      <w:pPr>
        <w:spacing w:line="440" w:lineRule="exact"/>
        <w:ind w:firstLine="420" w:firstLineChars="200"/>
        <w:jc w:val="left"/>
        <w:rPr>
          <w:rFonts w:asciiTheme="minorEastAsia" w:hAnsiTheme="minorEastAsia" w:eastAsiaTheme="minorEastAsia" w:cstheme="minorEastAsia"/>
          <w:b/>
          <w:color w:val="0D0D0D" w:themeColor="text1" w:themeTint="F2"/>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1、投标人应按招标文件的规定，向招标单位提交</w:t>
      </w:r>
      <w:r>
        <w:rPr>
          <w:rFonts w:hint="eastAsia" w:asciiTheme="minorEastAsia" w:hAnsiTheme="minorEastAsia" w:eastAsiaTheme="minorEastAsia" w:cstheme="minorEastAsia"/>
          <w:b/>
          <w:color w:val="0D0D0D" w:themeColor="text1" w:themeTint="F2"/>
          <w:highlight w:val="none"/>
          <w:u w:val="single"/>
          <w14:textFill>
            <w14:solidFill>
              <w14:schemeClr w14:val="tx1">
                <w14:lumMod w14:val="95000"/>
                <w14:lumOff w14:val="5000"/>
              </w14:schemeClr>
            </w14:solidFill>
          </w14:textFill>
        </w:rPr>
        <w:t>三份纸质投标文件</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t>包括资格审查文件、价格标文件</w:t>
      </w:r>
      <w:r>
        <w:rPr>
          <w:rFonts w:hint="eastAsia" w:asciiTheme="minorEastAsia" w:hAnsiTheme="minorEastAsia" w:eastAsiaTheme="minorEastAsia" w:cstheme="minorEastAsia"/>
          <w:color w:val="0D0D0D" w:themeColor="text1" w:themeTint="F2"/>
          <w:highlight w:val="none"/>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，其中正本一份、副本二份，并在（</w:t>
      </w:r>
      <w:r>
        <w:rPr>
          <w:rFonts w:hint="eastAsia"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t>资格审查文件、价格标文件</w:t>
      </w:r>
      <w:r>
        <w:rPr>
          <w:rFonts w:hint="eastAsia" w:asciiTheme="minorEastAsia" w:hAnsiTheme="minorEastAsia" w:eastAsiaTheme="minorEastAsia" w:cstheme="minorEastAsia"/>
          <w:color w:val="0D0D0D" w:themeColor="text1" w:themeTint="F2"/>
          <w:highlight w:val="none"/>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封面上注明“正本”或“副本”字样，当正本与副本不一致时，以正本为准；</w:t>
      </w:r>
      <w:r>
        <w:rPr>
          <w:rFonts w:hint="eastAsia" w:asciiTheme="minorEastAsia" w:hAnsiTheme="minorEastAsia" w:eastAsiaTheme="minorEastAsia" w:cstheme="minorEastAsia"/>
          <w:b/>
          <w:color w:val="0D0D0D" w:themeColor="text1" w:themeTint="F2"/>
          <w:highlight w:val="none"/>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t>资格审查文件、价格标文件</w:t>
      </w:r>
      <w:r>
        <w:rPr>
          <w:rFonts w:hint="eastAsia" w:asciiTheme="minorEastAsia" w:hAnsiTheme="minorEastAsia" w:eastAsiaTheme="minorEastAsia" w:cstheme="minorEastAsia"/>
          <w:b/>
          <w:color w:val="0D0D0D" w:themeColor="text1" w:themeTint="F2"/>
          <w:highlight w:val="none"/>
          <w:u w:val="single"/>
          <w14:textFill>
            <w14:solidFill>
              <w14:schemeClr w14:val="tx1">
                <w14:lumMod w14:val="95000"/>
                <w14:lumOff w14:val="5000"/>
              </w14:schemeClr>
            </w14:solidFill>
          </w14:textFill>
        </w:rPr>
        <w:t>）封面上还应注明项目名称并加盖投标单位公章、法定代表人签字或印鉴或委托代理人签字。</w:t>
      </w:r>
    </w:p>
    <w:p w14:paraId="3F89B2D2">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2、投标文件正副本均应使用A4纸统一装订，且均应使用不能擦去的墨水书写或打印，按要求在投标文件上加盖投标人单位公章并由法定代表人签字或盖章或由委托代理人签字。</w:t>
      </w:r>
    </w:p>
    <w:p w14:paraId="3BA7735B">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3、全套投标文件应无修改和行间插字，除非这些修改是根据“招标文件修改通知”的要求进行的，或者是投标人明显笔误必须修改的。不论何种原因造成涂改、插字和删除，都应由投标文件签署人加盖印鉴。</w:t>
      </w:r>
    </w:p>
    <w:p w14:paraId="146A5D8A">
      <w:pPr>
        <w:spacing w:line="440" w:lineRule="exact"/>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四、投标文件的递交</w:t>
      </w:r>
    </w:p>
    <w:p w14:paraId="505A9603">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（一）投标文件的密封与标志</w:t>
      </w:r>
    </w:p>
    <w:p w14:paraId="57757A29">
      <w:pPr>
        <w:spacing w:line="440" w:lineRule="exact"/>
        <w:ind w:firstLine="422"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t>投标文件中的资格审查文件、价格标文件两部分必须分开单独密封；“正本”或“副本”可分开密封，也可统一密封；所有封袋上</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都应写明项目名称、投标单位名称，</w:t>
      </w:r>
      <w:r>
        <w:rPr>
          <w:rFonts w:hint="eastAsia" w:asciiTheme="minorEastAsia" w:hAnsiTheme="minorEastAsia" w:eastAsiaTheme="minorEastAsia" w:cstheme="minorEastAsia"/>
          <w:b/>
          <w:bCs/>
          <w:color w:val="0D0D0D" w:themeColor="text1" w:themeTint="F2"/>
          <w:highlight w:val="none"/>
          <w:u w:val="single"/>
          <w14:textFill>
            <w14:solidFill>
              <w14:schemeClr w14:val="tx1">
                <w14:lumMod w14:val="95000"/>
                <w14:lumOff w14:val="5000"/>
              </w14:schemeClr>
            </w14:solidFill>
          </w14:textFill>
        </w:rPr>
        <w:t>并注明“资格审查文件”或 “价格标文件”</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并加盖投标单位公章、法定代表人签字或印鉴或委托代理人签字。</w:t>
      </w:r>
    </w:p>
    <w:p w14:paraId="794B2CFA">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（二）投标截止期</w:t>
      </w:r>
    </w:p>
    <w:p w14:paraId="31916274">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1、投标人应在投标须知前附表中规定的投标截止时间之前将投标文件递交到指定地点并在登记表上签字。招标人在接到投标文件时将投标文件注明收到的日期和时间。</w:t>
      </w:r>
    </w:p>
    <w:p w14:paraId="0165349F">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招标人可以按本文件第（七）条规定以修改通知的方式，酌情延长递交投标文件的截止日期。在上述情况下，招标人与投标人以前的投标截止期方面的全部权力、责任和义务，将适用于延长后新的投标截止期。</w:t>
      </w:r>
    </w:p>
    <w:p w14:paraId="250F2C33">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3、超过投标截止期送达的投标文件将被拒绝并原封退给投标人。</w:t>
      </w:r>
    </w:p>
    <w:p w14:paraId="3C792727">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4、提交投标文件的投标人少于三个的，招标人将依法重新招标。</w:t>
      </w:r>
    </w:p>
    <w:p w14:paraId="76A76A6A">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（三）投标文件的修改与撤回</w:t>
      </w:r>
    </w:p>
    <w:p w14:paraId="389021E9">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1、投标人可以在递交投标文件以后，在规定的投标截止期之前，以书面形式向招标人递交修改或撤回其投标文件的通知。在投标截止期以后，不得更改投标文件。</w:t>
      </w:r>
    </w:p>
    <w:p w14:paraId="67D2FE3E">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2、投标人的修改或撤回通知，应按本文件第一、二条规定的要求编制、密封、标志和递交（密封袋上应标明“修改”或“撤回”字样）。</w:t>
      </w:r>
    </w:p>
    <w:p w14:paraId="7B000BB3">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3、投标截止以后，在投标有效期内，投标人不得撤回投标文件，否则其投标保证金将被没收。</w:t>
      </w:r>
    </w:p>
    <w:p w14:paraId="23DAABF1">
      <w:pPr>
        <w:spacing w:line="440" w:lineRule="exact"/>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五、开标、评标、定标</w:t>
      </w:r>
    </w:p>
    <w:p w14:paraId="6D5E7FA9">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（一）开标</w:t>
      </w:r>
    </w:p>
    <w:p w14:paraId="0DB06A96">
      <w:pPr>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1、开标由招标人或招标代理机构主持，邀请所有投标人参加。</w:t>
      </w:r>
    </w:p>
    <w:p w14:paraId="1BF8874D">
      <w:pPr>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2、法人代表或授权委托人须在本招标文件规定的时间、地点准时参加开标会，并出示身份证原件后签名以示出席，否则，其投标将被拒绝。</w:t>
      </w:r>
    </w:p>
    <w:p w14:paraId="7E181198">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开标时，由投标人推选的代表或招标人委托的监督机构检查投标文件的密封情况，经确认无误后，由工作人员当众拆封，宣读投标人名称、投标价和其他招标人认为有必要的内容。投标文件未按照招标文件的要求予以密封的，将作为无效投标文件，退回投标人。</w:t>
      </w:r>
    </w:p>
    <w:p w14:paraId="4B836AB0">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4、招标人在招标文件要求提交投标文件的截止时间前收到的投标文件，开标时都将当众予以拆封、宣读、记录。</w:t>
      </w:r>
    </w:p>
    <w:p w14:paraId="58FBC08D">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5、在开标时，投标文件出现下列情况之一的，将作为无效投标文件，不得进入评标：</w:t>
      </w:r>
    </w:p>
    <w:p w14:paraId="4CB8B126">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（1）投标文件未按照招标文件要求予以密封和标志的；</w:t>
      </w:r>
    </w:p>
    <w:p w14:paraId="2DD101F5">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（2）投标文件中的投标书未加盖投标人的企业公章及企业法定代表人或授权委托人签字的，或者企业法定代表人的委托代理人没有合法、有效的委托书（原件）的；</w:t>
      </w:r>
    </w:p>
    <w:p w14:paraId="3F2A5890">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（3）投标文件的关键内容字迹模糊、无法辨认的；</w:t>
      </w:r>
    </w:p>
    <w:p w14:paraId="533243F5">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（4）投标人未按照招标文件的要求提供投标保证金的；</w:t>
      </w:r>
    </w:p>
    <w:p w14:paraId="3622E07A">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（5）投标截止时间以后送达的投标文件。</w:t>
      </w:r>
    </w:p>
    <w:p w14:paraId="4DB039B7">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（二）评标</w:t>
      </w:r>
    </w:p>
    <w:p w14:paraId="32637D88">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1、评标工作</w:t>
      </w:r>
    </w:p>
    <w:p w14:paraId="28CD16B6">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评标工作由招标人依法组建的评标委员会组织进行。</w:t>
      </w:r>
    </w:p>
    <w:p w14:paraId="09E467E5">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2、评标标准与方法：</w:t>
      </w:r>
      <w:r>
        <w:rPr>
          <w:rFonts w:hint="eastAsia" w:asciiTheme="minorEastAsia" w:hAnsiTheme="minorEastAsia" w:eastAsiaTheme="minorEastAsia" w:cstheme="minorEastAsia"/>
          <w:b/>
          <w:highlight w:val="none"/>
        </w:rPr>
        <w:t>最低</w:t>
      </w:r>
      <w:r>
        <w:rPr>
          <w:rFonts w:hint="eastAsia" w:asciiTheme="minorEastAsia" w:hAnsiTheme="minorEastAsia" w:eastAsiaTheme="minorEastAsia" w:cstheme="minorEastAsia"/>
          <w:b/>
          <w:highlight w:val="none"/>
          <w:lang w:eastAsia="zh-CN"/>
        </w:rPr>
        <w:t>评</w:t>
      </w:r>
      <w:r>
        <w:rPr>
          <w:rFonts w:hint="eastAsia" w:asciiTheme="minorEastAsia" w:hAnsiTheme="minorEastAsia" w:eastAsiaTheme="minorEastAsia" w:cstheme="minorEastAsia"/>
          <w:b/>
          <w:highlight w:val="none"/>
        </w:rPr>
        <w:t>标价法</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w:t>
      </w:r>
    </w:p>
    <w:p w14:paraId="762B622B">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（三）投标文件的澄清</w:t>
      </w:r>
    </w:p>
    <w:p w14:paraId="406E5E78">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为了有助于投标文件的审查、评价和比较，评标委员会可以书面方式要求投标人对投标文件中含义的不明确、以及同类问题表述不一致或者有明显文字和计算错误的内容作必要的澄清、说明或者补正。投标人的澄清、说明或者补正应以书面方式进行，并不得超出投标文件的范围或者改变投标文件的实质性内容。</w:t>
      </w:r>
    </w:p>
    <w:p w14:paraId="7E5E9C1D">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2、投标文件中的大写金额和小写金额不一致时，以大写金额为准；总价金额与单价金额不一致时，以单价金额为准，但单价金额小数点有明显错误的除外。</w:t>
      </w:r>
    </w:p>
    <w:p w14:paraId="2F9D07E2">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（四）在评标过程中，评标委员会若发现投标人以他人名义投标、串通投标、以行贿手段谋取中标或者以其他弄虚作假方式投标的，该投标人的投标将作无效标处理。</w:t>
      </w:r>
    </w:p>
    <w:p w14:paraId="15980693">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（五）投标人资格条件不符合国家有关规定和招标文件要求的，或者拒不按照要求对投标文件进行澄清、说明或补正的，评标委员会可以否决其投标。</w:t>
      </w:r>
    </w:p>
    <w:p w14:paraId="4ED040E5">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（六）评标委员会将审查每一投标文件是否对招标文件提出的所有实质性要求和条件做出响应。未能在实质上响应的投标，将作无效标处理。</w:t>
      </w:r>
    </w:p>
    <w:p w14:paraId="7AB798E2">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（七）投标文件有下列情形之一的，属于重大偏差，视为未能对招标文件做出实质性响应，并按前条规定作无效标处理：</w:t>
      </w:r>
    </w:p>
    <w:p w14:paraId="20C552D0">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1、投标文件没有投标单位法定代表人或委托代理人签字或加盖印鉴；</w:t>
      </w:r>
    </w:p>
    <w:p w14:paraId="29DEFB34">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2、投标文件载明的招标项目完成期限超过招标文件规定的期限；</w:t>
      </w:r>
    </w:p>
    <w:p w14:paraId="2929479A">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3、明显不符合技术规格、技术标准的要求；</w:t>
      </w:r>
    </w:p>
    <w:p w14:paraId="660BFD78">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4、投标文件载明的检验标准和方法等不符合招标文件的要求；</w:t>
      </w:r>
    </w:p>
    <w:p w14:paraId="38F2F1DA">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5、投标文件附有招标人不能接受的条件；</w:t>
      </w:r>
    </w:p>
    <w:p w14:paraId="512EB7D2">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6、不符合招标文件中规定的其他实质性要求；</w:t>
      </w:r>
    </w:p>
    <w:p w14:paraId="35DCC830">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7、投标报价超过招标控制价的。</w:t>
      </w:r>
    </w:p>
    <w:p w14:paraId="14E242A0">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评标委员会根据规定否决不合格投标或界定为废标后，因有效投标不足三个使得投标明显缺乏竞争的，评标委员会可以否决全部投标。所有投标被否决的，招标人依法重新招标。</w:t>
      </w:r>
    </w:p>
    <w:p w14:paraId="6952E57B">
      <w:pPr>
        <w:spacing w:line="44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八）评标和定标将在投标有效期结束日前完成。不能在投标有效期结束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14:paraId="3D6017FC">
      <w:pPr>
        <w:spacing w:line="440" w:lineRule="exact"/>
        <w:ind w:left="-540" w:leftChars="-257" w:firstLine="474" w:firstLineChars="225"/>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六、授予合同</w:t>
      </w:r>
    </w:p>
    <w:p w14:paraId="73010F17">
      <w:pPr>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（一）中标</w:t>
      </w:r>
    </w:p>
    <w:p w14:paraId="5663ADE7">
      <w:pPr>
        <w:spacing w:line="440" w:lineRule="exact"/>
        <w:ind w:left="-61" w:leftChars="-29" w:firstLine="472" w:firstLineChars="225"/>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1、确定中标单位后，招标人向中标单位发出中标通知书，并同时将中标结果通知所有未中标的投标人，中标通知书将成为合同的组成部分。</w:t>
      </w:r>
    </w:p>
    <w:p w14:paraId="1D0C2B43">
      <w:pPr>
        <w:spacing w:line="440" w:lineRule="exact"/>
        <w:ind w:left="-61" w:leftChars="-29" w:right="-334" w:rightChars="-159"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中标单位收到中标通知书后，应在中标通知书规定的时间内与招标人签订合同。中标人不按前规定与招标人订立合同的，投标保证金不予退还并取消中标资格，给招标人造成的损失超过投标保证金数额的，应当对超过部分予以赔偿。</w:t>
      </w:r>
    </w:p>
    <w:p w14:paraId="257BD0B2">
      <w:pPr>
        <w:snapToGrid w:val="0"/>
        <w:spacing w:line="440" w:lineRule="exact"/>
        <w:ind w:firstLine="422" w:firstLineChars="200"/>
        <w:contextualSpacing/>
        <w:outlineLvl w:val="1"/>
        <w:rPr>
          <w:rFonts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（二）履约保证金</w:t>
      </w:r>
    </w:p>
    <w:p w14:paraId="51B81421">
      <w:pPr>
        <w:snapToGrid w:val="0"/>
        <w:spacing w:line="440" w:lineRule="exact"/>
        <w:ind w:firstLine="420" w:firstLineChars="200"/>
        <w:rPr>
          <w:rFonts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1、本项目中标后的履约</w:t>
      </w:r>
      <w:r>
        <w:rPr>
          <w:rFonts w:hint="eastAsia" w:asciiTheme="minorEastAsia" w:hAnsiTheme="minorEastAsia" w:eastAsiaTheme="minorEastAsia" w:cstheme="minorEastAsia"/>
          <w:bCs/>
          <w:color w:val="0D0D0D" w:themeColor="text1" w:themeTint="F2"/>
          <w:highlight w:val="none"/>
          <w14:textFill>
            <w14:solidFill>
              <w14:schemeClr w14:val="tx1">
                <w14:lumMod w14:val="95000"/>
                <w14:lumOff w14:val="5000"/>
              </w14:schemeClr>
            </w14:solidFill>
          </w14:textFill>
        </w:rPr>
        <w:t>保证金</w:t>
      </w: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为</w:t>
      </w:r>
      <w:r>
        <w:rPr>
          <w:rFonts w:hint="eastAsia" w:asciiTheme="minorEastAsia" w:hAnsiTheme="minorEastAsia" w:eastAsiaTheme="minorEastAsia" w:cstheme="minorEastAsia"/>
          <w:bCs/>
          <w:color w:val="0D0D0D" w:themeColor="text1" w:themeTint="F2"/>
          <w:highlight w:val="none"/>
          <w:u w:val="single"/>
          <w14:textFill>
            <w14:solidFill>
              <w14:schemeClr w14:val="tx1">
                <w14:lumMod w14:val="95000"/>
                <w14:lumOff w14:val="5000"/>
              </w14:schemeClr>
            </w14:solidFill>
          </w14:textFill>
        </w:rPr>
        <w:t>合同价款的10%</w:t>
      </w: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w:t>
      </w:r>
    </w:p>
    <w:p w14:paraId="02DCE483">
      <w:pPr>
        <w:snapToGrid w:val="0"/>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2、在中标通知书发出签收后30日内，中标人凭“中标通知书”和已经汇至招标人账上的“履约保证金”凭证，与招标人签订合同，超期或未有协商，则视为自动放弃中标资格。</w:t>
      </w:r>
    </w:p>
    <w:p w14:paraId="155A069B">
      <w:pPr>
        <w:snapToGrid w:val="0"/>
        <w:spacing w:line="440" w:lineRule="exact"/>
        <w:ind w:firstLine="420" w:firstLineChars="200"/>
        <w:rPr>
          <w:rFonts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3、履约保证金的退还按合同条款。</w:t>
      </w:r>
    </w:p>
    <w:p w14:paraId="4107A496">
      <w:pPr>
        <w:snapToGrid w:val="0"/>
        <w:spacing w:line="440" w:lineRule="exact"/>
        <w:ind w:firstLine="420" w:firstLineChars="200"/>
        <w:rPr>
          <w:rFonts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4、由于中标人原因，在签订合同后出现不按合同履约的情况，招标人有权将履约保证金作为违约金，全额扣除并不予退还，同时招标人亦有权终止合同，中标人还须依法承担相应的赔偿责任。</w:t>
      </w:r>
    </w:p>
    <w:p w14:paraId="1CEC992A">
      <w:pPr>
        <w:snapToGrid w:val="0"/>
        <w:spacing w:line="440" w:lineRule="exact"/>
        <w:ind w:firstLine="420" w:firstLineChars="200"/>
        <w:rPr>
          <w:rFonts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（三）合同签订</w:t>
      </w:r>
    </w:p>
    <w:p w14:paraId="5AF3C6DD">
      <w:pPr>
        <w:snapToGrid w:val="0"/>
        <w:spacing w:line="440" w:lineRule="exact"/>
        <w:ind w:firstLine="420" w:firstLineChars="200"/>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highlight w:val="none"/>
          <w:lang w:val="zh-CN"/>
          <w14:textFill>
            <w14:solidFill>
              <w14:schemeClr w14:val="tx1">
                <w14:lumMod w14:val="95000"/>
                <w14:lumOff w14:val="5000"/>
              </w14:schemeClr>
            </w14:solidFill>
          </w14:textFill>
        </w:rPr>
        <w:t>招标人与中标人将根据《中华人民共和国民法典》的规定，依据中标通知书及投标文件、标准合同文本订立合同，招标人保留根据需要对合同文本进行进一步修改完善的权利，投标人必须对招标单位合同文本的修改完善认可。</w:t>
      </w:r>
    </w:p>
    <w:p w14:paraId="5681B5CC">
      <w:pPr>
        <w:spacing w:line="360" w:lineRule="auto"/>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697629A7">
      <w:pPr>
        <w:spacing w:line="360" w:lineRule="auto"/>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55D891AA">
      <w:pPr>
        <w:spacing w:line="360" w:lineRule="auto"/>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7B6FFE4D">
      <w:pPr>
        <w:spacing w:line="360" w:lineRule="auto"/>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45ABF4C8">
      <w:pPr>
        <w:spacing w:line="360" w:lineRule="auto"/>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09578602">
      <w:pPr>
        <w:spacing w:line="360" w:lineRule="auto"/>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18DDA291">
      <w:pPr>
        <w:spacing w:line="360" w:lineRule="auto"/>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3C42DE1A">
      <w:pPr>
        <w:spacing w:line="360" w:lineRule="auto"/>
        <w:jc w:val="center"/>
        <w:rPr>
          <w:rFonts w:asciiTheme="minorEastAsia" w:hAnsiTheme="minorEastAsia" w:eastAsiaTheme="minorEastAsia" w:cstheme="minorEastAsia"/>
          <w:b/>
          <w:bCs/>
          <w:color w:val="0D0D0D" w:themeColor="text1" w:themeTint="F2"/>
          <w:sz w:val="28"/>
          <w:szCs w:val="28"/>
          <w:highlight w:val="none"/>
          <w14:textFill>
            <w14:solidFill>
              <w14:schemeClr w14:val="tx1">
                <w14:lumMod w14:val="95000"/>
                <w14:lumOff w14:val="5000"/>
              </w14:schemeClr>
            </w14:solidFill>
          </w14:textFill>
        </w:rPr>
      </w:pPr>
    </w:p>
    <w:p w14:paraId="6168E6A8">
      <w:pPr>
        <w:spacing w:line="360" w:lineRule="auto"/>
        <w:jc w:val="cente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p>
    <w:p w14:paraId="5FAFA87F">
      <w:pPr>
        <w:spacing w:line="360" w:lineRule="auto"/>
        <w:jc w:val="cente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p>
    <w:p w14:paraId="2EFB6552">
      <w:pPr>
        <w:spacing w:line="360" w:lineRule="auto"/>
        <w:jc w:val="cente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p>
    <w:p w14:paraId="7C633DDA">
      <w:pPr>
        <w:spacing w:line="360" w:lineRule="auto"/>
        <w:jc w:val="cente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p>
    <w:p w14:paraId="7BCDD8D8">
      <w:pPr>
        <w:spacing w:line="360" w:lineRule="auto"/>
        <w:jc w:val="cente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p>
    <w:p w14:paraId="27EABFD3">
      <w:pPr>
        <w:spacing w:line="360" w:lineRule="auto"/>
        <w:jc w:val="center"/>
        <w:rPr>
          <w:rFonts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t>第三章　评标办法</w:t>
      </w:r>
    </w:p>
    <w:p w14:paraId="1D354995">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（一）评标程序</w:t>
      </w:r>
    </w:p>
    <w:p w14:paraId="5B8F2972">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1资格审查——2价格标文件评审——3确定中标候选人。</w:t>
      </w:r>
    </w:p>
    <w:p w14:paraId="35DCBF56">
      <w:pPr>
        <w:spacing w:line="440" w:lineRule="exact"/>
        <w:ind w:firstLine="42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（二）评标委员会根据参加资格审查的投标人递交的资格审查文件，按照本招标文件《资格审查标准》对投标人的资格进行审查。</w:t>
      </w:r>
    </w:p>
    <w:p w14:paraId="3C3C5582">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本次资格审查采用合格制，各投标人资格审查通过后方能进入价格标文件评审。</w:t>
      </w:r>
    </w:p>
    <w:p w14:paraId="64F57558">
      <w:pPr>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 xml:space="preserve">一、资格审查标准： </w:t>
      </w:r>
    </w:p>
    <w:tbl>
      <w:tblPr>
        <w:tblStyle w:val="23"/>
        <w:tblW w:w="9040" w:type="dxa"/>
        <w:tblCellSpacing w:w="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7"/>
        <w:gridCol w:w="2263"/>
        <w:gridCol w:w="4380"/>
        <w:gridCol w:w="1850"/>
      </w:tblGrid>
      <w:tr w14:paraId="6831E8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38437688">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序号</w:t>
            </w:r>
          </w:p>
        </w:tc>
        <w:tc>
          <w:tcPr>
            <w:tcW w:w="2263" w:type="dxa"/>
            <w:tcBorders>
              <w:top w:val="outset" w:color="auto" w:sz="6" w:space="0"/>
              <w:left w:val="outset" w:color="auto" w:sz="6" w:space="0"/>
              <w:bottom w:val="outset" w:color="auto" w:sz="6" w:space="0"/>
              <w:right w:val="outset" w:color="auto" w:sz="6" w:space="0"/>
            </w:tcBorders>
            <w:vAlign w:val="center"/>
          </w:tcPr>
          <w:p w14:paraId="51FE4B35">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项目内容</w:t>
            </w:r>
          </w:p>
        </w:tc>
        <w:tc>
          <w:tcPr>
            <w:tcW w:w="4380" w:type="dxa"/>
            <w:tcBorders>
              <w:top w:val="outset" w:color="auto" w:sz="6" w:space="0"/>
              <w:left w:val="outset" w:color="auto" w:sz="6" w:space="0"/>
              <w:bottom w:val="outset" w:color="auto" w:sz="6" w:space="0"/>
              <w:right w:val="outset" w:color="auto" w:sz="6" w:space="0"/>
            </w:tcBorders>
            <w:vAlign w:val="center"/>
          </w:tcPr>
          <w:p w14:paraId="254D6E82">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合格条件</w:t>
            </w:r>
          </w:p>
        </w:tc>
        <w:tc>
          <w:tcPr>
            <w:tcW w:w="1850" w:type="dxa"/>
            <w:tcBorders>
              <w:top w:val="outset" w:color="auto" w:sz="6" w:space="0"/>
              <w:left w:val="outset" w:color="auto" w:sz="6" w:space="0"/>
              <w:bottom w:val="outset" w:color="auto" w:sz="6" w:space="0"/>
              <w:right w:val="outset" w:color="auto" w:sz="6" w:space="0"/>
            </w:tcBorders>
            <w:vAlign w:val="center"/>
          </w:tcPr>
          <w:p w14:paraId="3EBFCA97">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投标申请人具备</w:t>
            </w:r>
          </w:p>
          <w:p w14:paraId="686097AD">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的条件或说明</w:t>
            </w:r>
          </w:p>
        </w:tc>
      </w:tr>
      <w:tr w14:paraId="65C125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9" w:hRule="atLeas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549974A7">
            <w:pPr>
              <w:widowControl/>
              <w:spacing w:line="44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w:t>
            </w:r>
          </w:p>
        </w:tc>
        <w:tc>
          <w:tcPr>
            <w:tcW w:w="2263" w:type="dxa"/>
            <w:tcBorders>
              <w:top w:val="outset" w:color="auto" w:sz="6" w:space="0"/>
              <w:left w:val="outset" w:color="auto" w:sz="6" w:space="0"/>
              <w:bottom w:val="outset" w:color="auto" w:sz="6" w:space="0"/>
              <w:right w:val="outset" w:color="auto" w:sz="6" w:space="0"/>
            </w:tcBorders>
            <w:vAlign w:val="center"/>
          </w:tcPr>
          <w:p w14:paraId="48262BE8">
            <w:pPr>
              <w:spacing w:line="44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法人身份证明书或法人的授权委托书</w:t>
            </w:r>
          </w:p>
        </w:tc>
        <w:tc>
          <w:tcPr>
            <w:tcW w:w="4380" w:type="dxa"/>
            <w:tcBorders>
              <w:top w:val="outset" w:color="auto" w:sz="6" w:space="0"/>
              <w:left w:val="outset" w:color="auto" w:sz="6" w:space="0"/>
              <w:bottom w:val="outset" w:color="auto" w:sz="6" w:space="0"/>
              <w:right w:val="outset" w:color="auto" w:sz="6" w:space="0"/>
            </w:tcBorders>
            <w:vAlign w:val="center"/>
          </w:tcPr>
          <w:p w14:paraId="23C301DF">
            <w:pPr>
              <w:widowControl/>
              <w:spacing w:line="44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法定代表人身份证明书、授权委托书原件并提供授权委托人的身份证复印件加盖单位公章；如企业法定代表人参与投标，无需授权委托书，请提供法定代表人身份证明书及法定代表人身份证复印件加盖单位公章</w:t>
            </w:r>
          </w:p>
        </w:tc>
        <w:tc>
          <w:tcPr>
            <w:tcW w:w="1850" w:type="dxa"/>
            <w:tcBorders>
              <w:top w:val="outset" w:color="auto" w:sz="6" w:space="0"/>
              <w:left w:val="outset" w:color="auto" w:sz="6" w:space="0"/>
              <w:bottom w:val="outset" w:color="auto" w:sz="6" w:space="0"/>
              <w:right w:val="outset" w:color="auto" w:sz="6" w:space="0"/>
            </w:tcBorders>
            <w:vAlign w:val="center"/>
          </w:tcPr>
          <w:p w14:paraId="5FB77B92">
            <w:pPr>
              <w:widowControl/>
              <w:spacing w:line="44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检查有效性</w:t>
            </w:r>
          </w:p>
        </w:tc>
      </w:tr>
      <w:tr w14:paraId="7EF977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4E074EB8">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2</w:t>
            </w:r>
          </w:p>
        </w:tc>
        <w:tc>
          <w:tcPr>
            <w:tcW w:w="2263" w:type="dxa"/>
            <w:tcBorders>
              <w:top w:val="outset" w:color="auto" w:sz="6" w:space="0"/>
              <w:left w:val="outset" w:color="auto" w:sz="6" w:space="0"/>
              <w:right w:val="outset" w:color="auto" w:sz="6" w:space="0"/>
            </w:tcBorders>
            <w:vAlign w:val="center"/>
          </w:tcPr>
          <w:p w14:paraId="0ADB6339">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法人营业执照</w:t>
            </w:r>
          </w:p>
        </w:tc>
        <w:tc>
          <w:tcPr>
            <w:tcW w:w="4380" w:type="dxa"/>
            <w:tcBorders>
              <w:top w:val="outset" w:color="auto" w:sz="6" w:space="0"/>
              <w:left w:val="outset" w:color="auto" w:sz="6" w:space="0"/>
              <w:right w:val="outset" w:color="auto" w:sz="6" w:space="0"/>
            </w:tcBorders>
            <w:vAlign w:val="center"/>
          </w:tcPr>
          <w:p w14:paraId="68630156">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企业法人营业执照复印件加盖单位公章</w:t>
            </w:r>
          </w:p>
        </w:tc>
        <w:tc>
          <w:tcPr>
            <w:tcW w:w="1850" w:type="dxa"/>
            <w:tcBorders>
              <w:top w:val="outset" w:color="auto" w:sz="6" w:space="0"/>
              <w:left w:val="outset" w:color="auto" w:sz="6" w:space="0"/>
              <w:right w:val="outset" w:color="auto" w:sz="6" w:space="0"/>
            </w:tcBorders>
            <w:vAlign w:val="center"/>
          </w:tcPr>
          <w:p w14:paraId="07C677BA">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真实有效</w:t>
            </w:r>
          </w:p>
        </w:tc>
      </w:tr>
      <w:tr w14:paraId="0DC090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7E67E8FB">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3</w:t>
            </w:r>
          </w:p>
        </w:tc>
        <w:tc>
          <w:tcPr>
            <w:tcW w:w="2263" w:type="dxa"/>
            <w:tcBorders>
              <w:top w:val="outset" w:color="auto" w:sz="6" w:space="0"/>
              <w:left w:val="outset" w:color="auto" w:sz="6" w:space="0"/>
              <w:right w:val="outset" w:color="auto" w:sz="6" w:space="0"/>
            </w:tcBorders>
            <w:vAlign w:val="center"/>
          </w:tcPr>
          <w:p w14:paraId="6B8E7C80">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资质证书</w:t>
            </w:r>
          </w:p>
        </w:tc>
        <w:tc>
          <w:tcPr>
            <w:tcW w:w="4380" w:type="dxa"/>
            <w:tcBorders>
              <w:top w:val="outset" w:color="auto" w:sz="6" w:space="0"/>
              <w:left w:val="outset" w:color="auto" w:sz="6" w:space="0"/>
              <w:right w:val="outset" w:color="auto" w:sz="6" w:space="0"/>
            </w:tcBorders>
            <w:vAlign w:val="center"/>
          </w:tcPr>
          <w:p w14:paraId="14D05D98">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highlight w:val="none"/>
              </w:rPr>
              <w:t>电子与智能化工程专业承包贰级及以上资质证书复印件加盖单位公章</w:t>
            </w:r>
          </w:p>
        </w:tc>
        <w:tc>
          <w:tcPr>
            <w:tcW w:w="1850" w:type="dxa"/>
            <w:tcBorders>
              <w:top w:val="outset" w:color="auto" w:sz="6" w:space="0"/>
              <w:left w:val="outset" w:color="auto" w:sz="6" w:space="0"/>
              <w:right w:val="outset" w:color="auto" w:sz="6" w:space="0"/>
            </w:tcBorders>
            <w:vAlign w:val="center"/>
          </w:tcPr>
          <w:p w14:paraId="0FDF5F2D">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真实有效</w:t>
            </w:r>
          </w:p>
        </w:tc>
      </w:tr>
      <w:tr w14:paraId="333C56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6696E3E1">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4</w:t>
            </w:r>
          </w:p>
        </w:tc>
        <w:tc>
          <w:tcPr>
            <w:tcW w:w="2263" w:type="dxa"/>
            <w:tcBorders>
              <w:top w:val="outset" w:color="auto" w:sz="6" w:space="0"/>
              <w:left w:val="outset" w:color="auto" w:sz="6" w:space="0"/>
              <w:right w:val="outset" w:color="auto" w:sz="6" w:space="0"/>
            </w:tcBorders>
            <w:vAlign w:val="center"/>
          </w:tcPr>
          <w:p w14:paraId="6517DA16">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业绩证明</w:t>
            </w:r>
          </w:p>
        </w:tc>
        <w:tc>
          <w:tcPr>
            <w:tcW w:w="4380" w:type="dxa"/>
            <w:tcBorders>
              <w:top w:val="outset" w:color="auto" w:sz="6" w:space="0"/>
              <w:left w:val="outset" w:color="auto" w:sz="6" w:space="0"/>
              <w:right w:val="outset" w:color="auto" w:sz="6" w:space="0"/>
            </w:tcBorders>
            <w:vAlign w:val="center"/>
          </w:tcPr>
          <w:p w14:paraId="68D3935E">
            <w:pPr>
              <w:widowControl/>
              <w:spacing w:line="44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2022年1月1日以来</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以签订合同时间为准)</w:t>
            </w:r>
            <w:r>
              <w:rPr>
                <w:rFonts w:hint="eastAsia" w:asciiTheme="minorEastAsia" w:hAnsiTheme="minorEastAsia" w:eastAsiaTheme="minorEastAsia" w:cstheme="minorEastAsia"/>
                <w:highlight w:val="none"/>
                <w:lang w:eastAsia="zh-CN"/>
              </w:rPr>
              <w:t>，具有</w:t>
            </w:r>
            <w:r>
              <w:rPr>
                <w:rFonts w:hint="eastAsia" w:asciiTheme="minorEastAsia" w:hAnsiTheme="minorEastAsia" w:eastAsiaTheme="minorEastAsia" w:cstheme="minorEastAsia"/>
                <w:highlight w:val="none"/>
              </w:rPr>
              <w:t>供水或排水（雨水、污水）行业自动化设备供货安装调试业绩3个</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提供双方盖章合同复印件</w:t>
            </w:r>
            <w:r>
              <w:rPr>
                <w:rFonts w:hint="eastAsia" w:asciiTheme="minorEastAsia" w:hAnsiTheme="minorEastAsia" w:eastAsiaTheme="minorEastAsia" w:cstheme="minorEastAsia"/>
                <w:highlight w:val="none"/>
                <w:lang w:val="en-US" w:eastAsia="zh-CN"/>
              </w:rPr>
              <w:t>及验收报告</w:t>
            </w:r>
            <w:r>
              <w:rPr>
                <w:rFonts w:hint="eastAsia" w:asciiTheme="minorEastAsia" w:hAnsiTheme="minorEastAsia" w:eastAsiaTheme="minorEastAsia" w:cstheme="minorEastAsia"/>
                <w:highlight w:val="none"/>
              </w:rPr>
              <w:t>加盖单位公章</w:t>
            </w:r>
          </w:p>
        </w:tc>
        <w:tc>
          <w:tcPr>
            <w:tcW w:w="1850" w:type="dxa"/>
            <w:tcBorders>
              <w:top w:val="outset" w:color="auto" w:sz="6" w:space="0"/>
              <w:left w:val="outset" w:color="auto" w:sz="6" w:space="0"/>
              <w:right w:val="outset" w:color="auto" w:sz="6" w:space="0"/>
            </w:tcBorders>
            <w:vAlign w:val="center"/>
          </w:tcPr>
          <w:p w14:paraId="4A8B7507">
            <w:pPr>
              <w:widowControl/>
              <w:spacing w:line="44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真实有效</w:t>
            </w:r>
          </w:p>
        </w:tc>
      </w:tr>
      <w:tr w14:paraId="09E577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77" w:hRule="atLeas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0BC00FA0">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5</w:t>
            </w:r>
          </w:p>
        </w:tc>
        <w:tc>
          <w:tcPr>
            <w:tcW w:w="2263" w:type="dxa"/>
            <w:tcBorders>
              <w:top w:val="outset" w:color="auto" w:sz="6" w:space="0"/>
              <w:left w:val="outset" w:color="auto" w:sz="6" w:space="0"/>
              <w:bottom w:val="outset" w:color="auto" w:sz="6" w:space="0"/>
              <w:right w:val="outset" w:color="auto" w:sz="6" w:space="0"/>
            </w:tcBorders>
            <w:vAlign w:val="center"/>
          </w:tcPr>
          <w:p w14:paraId="4471611B">
            <w:pPr>
              <w:widowControl/>
              <w:spacing w:line="440" w:lineRule="exac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授权委托人（如有）劳动合同</w:t>
            </w:r>
            <w:r>
              <w:rPr>
                <w:rFonts w:hint="eastAsia" w:asciiTheme="minorEastAsia" w:hAnsiTheme="minorEastAsia" w:eastAsiaTheme="minorEastAsia" w:cstheme="minorEastAsia"/>
                <w:color w:val="0D0D0D" w:themeColor="text1" w:themeTint="F2"/>
                <w:highlight w:val="none"/>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社会保险</w:t>
            </w:r>
          </w:p>
        </w:tc>
        <w:tc>
          <w:tcPr>
            <w:tcW w:w="4380" w:type="dxa"/>
            <w:tcBorders>
              <w:top w:val="outset" w:color="auto" w:sz="6" w:space="0"/>
              <w:left w:val="outset" w:color="auto" w:sz="6" w:space="0"/>
              <w:bottom w:val="outset" w:color="auto" w:sz="6" w:space="0"/>
              <w:right w:val="outset" w:color="auto" w:sz="6" w:space="0"/>
            </w:tcBorders>
            <w:vAlign w:val="center"/>
          </w:tcPr>
          <w:p w14:paraId="667A5647">
            <w:pPr>
              <w:widowControl/>
              <w:spacing w:line="440" w:lineRule="exac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授权委托人（如有）与投标人签订的有效劳动合同</w:t>
            </w:r>
            <w:r>
              <w:rPr>
                <w:rFonts w:hint="eastAsia" w:asciiTheme="minorEastAsia" w:hAnsiTheme="minorEastAsia" w:eastAsiaTheme="minorEastAsia" w:cstheme="minorEastAsia"/>
                <w:color w:val="0D0D0D" w:themeColor="text1" w:themeTint="F2"/>
                <w:highlight w:val="none"/>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投标人为委托代理人缴纳</w:t>
            </w:r>
            <w:bookmarkStart w:id="23" w:name="_GoBack"/>
            <w:bookmarkEnd w:id="23"/>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的202</w:t>
            </w: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年</w:t>
            </w: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月至2025年</w:t>
            </w: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月养老保险缴费证明复印件加盖单位公章（养老保险缴费证明需由社保机构出具）</w:t>
            </w:r>
          </w:p>
        </w:tc>
        <w:tc>
          <w:tcPr>
            <w:tcW w:w="1850" w:type="dxa"/>
            <w:tcBorders>
              <w:top w:val="outset" w:color="auto" w:sz="6" w:space="0"/>
              <w:left w:val="outset" w:color="auto" w:sz="6" w:space="0"/>
              <w:bottom w:val="outset" w:color="auto" w:sz="6" w:space="0"/>
              <w:right w:val="outset" w:color="auto" w:sz="6" w:space="0"/>
            </w:tcBorders>
            <w:vAlign w:val="center"/>
          </w:tcPr>
          <w:p w14:paraId="027B13AA">
            <w:pPr>
              <w:widowControl/>
              <w:spacing w:line="44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劳动合同书</w:t>
            </w:r>
            <w:r>
              <w:rPr>
                <w:rFonts w:hint="eastAsia" w:asciiTheme="minorEastAsia" w:hAnsiTheme="minorEastAsia" w:eastAsiaTheme="minorEastAsia" w:cstheme="minorEastAsia"/>
                <w:color w:val="0D0D0D" w:themeColor="text1" w:themeTint="F2"/>
                <w:highlight w:val="none"/>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养老保险缴费证明</w:t>
            </w:r>
          </w:p>
          <w:p w14:paraId="187501B0">
            <w:pPr>
              <w:widowControl/>
              <w:spacing w:line="440" w:lineRule="exac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企业法定代表人参加，此项不需提供</w:t>
            </w:r>
          </w:p>
        </w:tc>
      </w:tr>
      <w:tr w14:paraId="655D59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7F7DD938">
            <w:pPr>
              <w:widowControl/>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6</w:t>
            </w:r>
          </w:p>
        </w:tc>
        <w:tc>
          <w:tcPr>
            <w:tcW w:w="2263" w:type="dxa"/>
            <w:tcBorders>
              <w:top w:val="outset" w:color="auto" w:sz="6" w:space="0"/>
              <w:left w:val="outset" w:color="auto" w:sz="6" w:space="0"/>
              <w:bottom w:val="outset" w:color="auto" w:sz="6" w:space="0"/>
              <w:right w:val="outset" w:color="auto" w:sz="6" w:space="0"/>
            </w:tcBorders>
            <w:vAlign w:val="center"/>
          </w:tcPr>
          <w:p w14:paraId="598B1AFE">
            <w:pPr>
              <w:spacing w:line="44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shd w:val="clear" w:color="auto" w:fill="FFFFFF"/>
                <w14:textFill>
                  <w14:solidFill>
                    <w14:schemeClr w14:val="tx1">
                      <w14:lumMod w14:val="95000"/>
                      <w14:lumOff w14:val="5000"/>
                    </w14:schemeClr>
                  </w14:solidFill>
                </w14:textFill>
              </w:rPr>
              <w:t>投标声明函</w:t>
            </w:r>
          </w:p>
        </w:tc>
        <w:tc>
          <w:tcPr>
            <w:tcW w:w="4380" w:type="dxa"/>
            <w:tcBorders>
              <w:top w:val="outset" w:color="auto" w:sz="6" w:space="0"/>
              <w:left w:val="outset" w:color="auto" w:sz="6" w:space="0"/>
              <w:bottom w:val="outset" w:color="auto" w:sz="6" w:space="0"/>
              <w:right w:val="outset" w:color="auto" w:sz="6" w:space="0"/>
            </w:tcBorders>
            <w:vAlign w:val="center"/>
          </w:tcPr>
          <w:p w14:paraId="560A099A">
            <w:pPr>
              <w:spacing w:line="440" w:lineRule="exact"/>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格式详见第五章投标文件格式</w:t>
            </w:r>
          </w:p>
        </w:tc>
        <w:tc>
          <w:tcPr>
            <w:tcW w:w="1850" w:type="dxa"/>
            <w:tcBorders>
              <w:top w:val="outset" w:color="auto" w:sz="6" w:space="0"/>
              <w:left w:val="outset" w:color="auto" w:sz="6" w:space="0"/>
              <w:bottom w:val="outset" w:color="auto" w:sz="6" w:space="0"/>
              <w:right w:val="outset" w:color="auto" w:sz="6" w:space="0"/>
            </w:tcBorders>
            <w:vAlign w:val="center"/>
          </w:tcPr>
          <w:p w14:paraId="30447108">
            <w:pPr>
              <w:widowControl/>
              <w:spacing w:line="44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检查有效性</w:t>
            </w:r>
          </w:p>
        </w:tc>
      </w:tr>
      <w:tr w14:paraId="6309FC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411" w:hRule="atLeast"/>
          <w:tblCellSpacing w:w="0" w:type="dxa"/>
        </w:trPr>
        <w:tc>
          <w:tcPr>
            <w:tcW w:w="547" w:type="dxa"/>
            <w:tcBorders>
              <w:top w:val="outset" w:color="auto" w:sz="6" w:space="0"/>
              <w:left w:val="outset" w:color="auto" w:sz="6" w:space="0"/>
              <w:bottom w:val="outset" w:color="ACA899" w:sz="6" w:space="0"/>
              <w:right w:val="outset" w:color="auto" w:sz="6" w:space="0"/>
            </w:tcBorders>
            <w:vAlign w:val="center"/>
          </w:tcPr>
          <w:p w14:paraId="376B37CC">
            <w:pPr>
              <w:spacing w:line="440" w:lineRule="exact"/>
              <w:jc w:val="cente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highlight w:val="none"/>
                <w14:textFill>
                  <w14:solidFill>
                    <w14:schemeClr w14:val="tx1">
                      <w14:lumMod w14:val="95000"/>
                      <w14:lumOff w14:val="5000"/>
                    </w14:schemeClr>
                  </w14:solidFill>
                </w14:textFill>
              </w:rPr>
              <w:t>7</w:t>
            </w:r>
          </w:p>
        </w:tc>
        <w:tc>
          <w:tcPr>
            <w:tcW w:w="8493" w:type="dxa"/>
            <w:gridSpan w:val="3"/>
            <w:tcBorders>
              <w:top w:val="outset" w:color="auto" w:sz="6" w:space="0"/>
              <w:left w:val="outset" w:color="auto" w:sz="6" w:space="0"/>
              <w:bottom w:val="outset" w:color="ACA899" w:sz="6" w:space="0"/>
              <w:right w:val="outset" w:color="auto" w:sz="6" w:space="0"/>
            </w:tcBorders>
            <w:vAlign w:val="center"/>
          </w:tcPr>
          <w:p w14:paraId="7137C752">
            <w:pPr>
              <w:spacing w:line="440" w:lineRule="exact"/>
              <w:jc w:val="left"/>
              <w:rPr>
                <w:rFonts w:asciiTheme="minorEastAsia" w:hAnsiTheme="minorEastAsia" w:eastAsiaTheme="minorEastAsia" w:cstheme="minorEastAsia"/>
                <w:b/>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highlight w:val="none"/>
                <w14:textFill>
                  <w14:solidFill>
                    <w14:schemeClr w14:val="tx1">
                      <w14:lumMod w14:val="95000"/>
                      <w14:lumOff w14:val="5000"/>
                    </w14:schemeClr>
                  </w14:solidFill>
                </w14:textFill>
              </w:rPr>
              <w:t>备注：上述（1）～（6）中任何一条不符合要求 ，则资格审查不通过。</w:t>
            </w:r>
          </w:p>
        </w:tc>
      </w:tr>
    </w:tbl>
    <w:p w14:paraId="2F7EC436">
      <w:pPr>
        <w:pStyle w:val="58"/>
        <w:spacing w:line="440" w:lineRule="exact"/>
        <w:ind w:firstLine="473"/>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二、评分细则</w:t>
      </w:r>
    </w:p>
    <w:p w14:paraId="543DEE28">
      <w:pPr>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1、评标办法：本次招标采用最低</w:t>
      </w:r>
      <w:r>
        <w:rPr>
          <w:rFonts w:hint="eastAsia" w:asciiTheme="minorEastAsia" w:hAnsiTheme="minorEastAsia" w:eastAsiaTheme="minorEastAsia" w:cstheme="minorEastAsia"/>
          <w:highlight w:val="none"/>
          <w:lang w:eastAsia="zh-CN"/>
        </w:rPr>
        <w:t>评</w:t>
      </w:r>
      <w:r>
        <w:rPr>
          <w:rFonts w:hint="eastAsia" w:asciiTheme="minorEastAsia" w:hAnsiTheme="minorEastAsia" w:eastAsiaTheme="minorEastAsia" w:cstheme="minorEastAsia"/>
          <w:highlight w:val="none"/>
        </w:rPr>
        <w:t>标价法，满足招标文件要求且有效投标报价最低的投标人为第一中标候选人。经评审投标报价相同的，通过抽签方式确定第一中标候选人。</w:t>
      </w:r>
    </w:p>
    <w:p w14:paraId="07B341F5">
      <w:pPr>
        <w:spacing w:line="440" w:lineRule="exact"/>
        <w:ind w:firstLine="482"/>
        <w:rPr>
          <w:rFonts w:ascii="宋体" w:hAnsi="宋体"/>
          <w:color w:val="000000"/>
          <w:highlight w:val="none"/>
        </w:rPr>
      </w:pPr>
      <w:r>
        <w:rPr>
          <w:rFonts w:hint="eastAsia" w:asciiTheme="minorEastAsia" w:hAnsiTheme="minorEastAsia" w:eastAsiaTheme="minorEastAsia" w:cstheme="minorEastAsia"/>
          <w:highlight w:val="none"/>
        </w:rPr>
        <w:t>2、</w:t>
      </w:r>
      <w:r>
        <w:rPr>
          <w:rFonts w:hint="eastAsia" w:ascii="宋体" w:hAnsi="宋体"/>
          <w:color w:val="000000"/>
          <w:highlight w:val="none"/>
        </w:rPr>
        <w:t>定标原则</w:t>
      </w:r>
    </w:p>
    <w:p w14:paraId="708D06EE">
      <w:pPr>
        <w:spacing w:line="440" w:lineRule="exact"/>
        <w:ind w:firstLine="482"/>
        <w:rPr>
          <w:rFonts w:ascii="宋体" w:hAnsi="宋体"/>
          <w:highlight w:val="none"/>
        </w:rPr>
      </w:pPr>
      <w:r>
        <w:rPr>
          <w:rFonts w:hint="eastAsia" w:ascii="宋体" w:hAnsi="宋体"/>
          <w:highlight w:val="none"/>
        </w:rPr>
        <w:t>（1）评标委员会将向招标人推荐报价最低的前三名投标人为中标候选人，并标明排列顺序；</w:t>
      </w:r>
    </w:p>
    <w:p w14:paraId="1378DC81">
      <w:pPr>
        <w:spacing w:line="440" w:lineRule="exact"/>
        <w:ind w:firstLine="482"/>
        <w:rPr>
          <w:rFonts w:ascii="宋体" w:hAnsi="宋体"/>
          <w:highlight w:val="none"/>
        </w:rPr>
      </w:pPr>
      <w:r>
        <w:rPr>
          <w:rFonts w:hint="eastAsia" w:ascii="宋体" w:hAnsi="宋体"/>
          <w:highlight w:val="none"/>
        </w:rPr>
        <w:t xml:space="preserve">（2）由招标人根据中标候选人排序确定第一中标候选人为中标人。 </w:t>
      </w:r>
    </w:p>
    <w:p w14:paraId="6FFCACC2">
      <w:pPr>
        <w:spacing w:line="440" w:lineRule="exact"/>
        <w:ind w:firstLine="420" w:firstLineChars="200"/>
        <w:rPr>
          <w:rFonts w:ascii="宋体" w:hAnsi="宋体"/>
          <w:highlight w:val="none"/>
        </w:rPr>
      </w:pPr>
      <w:r>
        <w:rPr>
          <w:rFonts w:hint="eastAsia" w:ascii="宋体" w:hAnsi="宋体"/>
          <w:highlight w:val="none"/>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4FA6CC6">
      <w:pPr>
        <w:spacing w:line="440" w:lineRule="exact"/>
        <w:ind w:firstLine="420" w:firstLineChars="200"/>
        <w:rPr>
          <w:rFonts w:ascii="宋体" w:hAnsi="宋体"/>
          <w:highlight w:val="none"/>
        </w:rPr>
      </w:pPr>
      <w:r>
        <w:rPr>
          <w:rFonts w:hint="eastAsia" w:ascii="宋体" w:hAnsi="宋体"/>
          <w:highlight w:val="none"/>
        </w:rPr>
        <w:t>（4）中标单位在取得《中标通知书》后，在中标通知书规定的时间内，凭中标通知书由法定代表人或授权委托人前往招标方签订合同。</w:t>
      </w:r>
    </w:p>
    <w:p w14:paraId="5FA0110A">
      <w:pPr>
        <w:spacing w:line="360" w:lineRule="exact"/>
        <w:ind w:firstLine="482"/>
        <w:rPr>
          <w:rFonts w:ascii="宋体" w:hAnsi="宋体"/>
          <w:highlight w:val="none"/>
        </w:rPr>
      </w:pPr>
    </w:p>
    <w:p w14:paraId="6F809C11">
      <w:pPr>
        <w:spacing w:line="360" w:lineRule="auto"/>
        <w:jc w:val="center"/>
        <w:rPr>
          <w:rFonts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br w:type="page"/>
      </w:r>
      <w: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t>第四章　合同条款</w:t>
      </w:r>
    </w:p>
    <w:p w14:paraId="0A1626E4">
      <w:pPr>
        <w:spacing w:line="360" w:lineRule="auto"/>
        <w:jc w:val="center"/>
        <w:rPr>
          <w:rFonts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p>
    <w:p w14:paraId="1975621C">
      <w:pPr>
        <w:spacing w:line="360" w:lineRule="auto"/>
        <w:jc w:val="both"/>
        <w:rPr>
          <w:rFonts w:ascii="Calibri" w:hAnsi="Calibri"/>
          <w:sz w:val="48"/>
          <w:szCs w:val="48"/>
          <w:highlight w:val="none"/>
        </w:rPr>
      </w:pPr>
    </w:p>
    <w:p w14:paraId="6D7D0552">
      <w:pPr>
        <w:spacing w:line="360" w:lineRule="auto"/>
        <w:ind w:left="720" w:hanging="720" w:hangingChars="150"/>
        <w:jc w:val="center"/>
        <w:rPr>
          <w:rFonts w:hint="eastAsia" w:asciiTheme="minorEastAsia" w:hAnsiTheme="minorEastAsia" w:eastAsiaTheme="minorEastAsia" w:cstheme="minorEastAsia"/>
          <w:bCs/>
          <w:sz w:val="48"/>
          <w:szCs w:val="48"/>
          <w:highlight w:val="none"/>
          <w:lang w:val="en-US" w:eastAsia="zh-CN"/>
        </w:rPr>
      </w:pPr>
      <w:r>
        <w:rPr>
          <w:rFonts w:hint="eastAsia" w:asciiTheme="minorEastAsia" w:hAnsiTheme="minorEastAsia" w:eastAsiaTheme="minorEastAsia" w:cstheme="minorEastAsia"/>
          <w:bCs/>
          <w:sz w:val="48"/>
          <w:szCs w:val="48"/>
          <w:highlight w:val="none"/>
          <w:lang w:val="en-US" w:eastAsia="zh-CN"/>
        </w:rPr>
        <w:t>通州区应急水源地自控系统及监控安防</w:t>
      </w:r>
    </w:p>
    <w:p w14:paraId="5B895FFE">
      <w:pPr>
        <w:spacing w:line="360" w:lineRule="auto"/>
        <w:ind w:left="720" w:hanging="720" w:hangingChars="150"/>
        <w:jc w:val="center"/>
        <w:rPr>
          <w:rFonts w:ascii="Calibri" w:hAnsi="Calibri" w:eastAsia="方正魏碑简体"/>
          <w:bCs/>
          <w:w w:val="96"/>
          <w:sz w:val="48"/>
          <w:szCs w:val="48"/>
          <w:highlight w:val="none"/>
        </w:rPr>
      </w:pPr>
      <w:r>
        <w:rPr>
          <w:rFonts w:hint="eastAsia" w:asciiTheme="minorEastAsia" w:hAnsiTheme="minorEastAsia" w:eastAsiaTheme="minorEastAsia" w:cstheme="minorEastAsia"/>
          <w:bCs/>
          <w:sz w:val="48"/>
          <w:szCs w:val="48"/>
          <w:highlight w:val="none"/>
          <w:lang w:val="en-US" w:eastAsia="zh-CN"/>
        </w:rPr>
        <w:t>改造升级</w:t>
      </w:r>
      <w:r>
        <w:rPr>
          <w:rFonts w:hint="eastAsia" w:ascii="Calibri" w:hAnsi="Calibri"/>
          <w:sz w:val="48"/>
          <w:szCs w:val="48"/>
          <w:highlight w:val="none"/>
        </w:rPr>
        <w:t>采购及安装项目</w:t>
      </w:r>
    </w:p>
    <w:p w14:paraId="442EE9B1">
      <w:pPr>
        <w:spacing w:line="360" w:lineRule="auto"/>
        <w:ind w:left="629" w:hanging="633" w:hangingChars="150"/>
        <w:jc w:val="center"/>
        <w:rPr>
          <w:rFonts w:ascii="Calibri" w:hAnsi="Calibri" w:eastAsia="方正魏碑简体"/>
          <w:bCs/>
          <w:w w:val="96"/>
          <w:sz w:val="44"/>
          <w:szCs w:val="44"/>
          <w:highlight w:val="none"/>
        </w:rPr>
      </w:pPr>
    </w:p>
    <w:p w14:paraId="4E790447">
      <w:pPr>
        <w:spacing w:line="360" w:lineRule="auto"/>
        <w:ind w:left="629" w:hanging="633" w:hangingChars="150"/>
        <w:jc w:val="center"/>
        <w:rPr>
          <w:rFonts w:ascii="Calibri" w:hAnsi="Calibri" w:eastAsia="方正魏碑简体"/>
          <w:bCs/>
          <w:w w:val="96"/>
          <w:sz w:val="44"/>
          <w:szCs w:val="44"/>
          <w:highlight w:val="none"/>
        </w:rPr>
      </w:pPr>
    </w:p>
    <w:p w14:paraId="61D3D8D2">
      <w:pPr>
        <w:spacing w:line="360" w:lineRule="auto"/>
        <w:ind w:left="629" w:hanging="633" w:hangingChars="150"/>
        <w:jc w:val="center"/>
        <w:rPr>
          <w:rFonts w:ascii="Calibri" w:hAnsi="Calibri" w:eastAsia="方正魏碑简体"/>
          <w:bCs/>
          <w:w w:val="96"/>
          <w:sz w:val="44"/>
          <w:szCs w:val="44"/>
          <w:highlight w:val="none"/>
        </w:rPr>
      </w:pPr>
    </w:p>
    <w:p w14:paraId="72EFCB12">
      <w:pPr>
        <w:spacing w:line="360" w:lineRule="auto"/>
        <w:ind w:left="1029" w:hanging="1036" w:hangingChars="150"/>
        <w:jc w:val="center"/>
        <w:rPr>
          <w:rFonts w:ascii="Calibri" w:hAnsi="Calibri" w:eastAsia="方正魏碑简体"/>
          <w:bCs/>
          <w:w w:val="96"/>
          <w:sz w:val="72"/>
          <w:szCs w:val="72"/>
          <w:highlight w:val="none"/>
        </w:rPr>
      </w:pPr>
      <w:r>
        <w:rPr>
          <w:rFonts w:hint="eastAsia" w:ascii="Calibri" w:hAnsi="Calibri" w:eastAsia="方正魏碑简体"/>
          <w:bCs/>
          <w:w w:val="96"/>
          <w:sz w:val="72"/>
          <w:szCs w:val="72"/>
          <w:highlight w:val="none"/>
        </w:rPr>
        <w:t>合</w:t>
      </w:r>
    </w:p>
    <w:p w14:paraId="29C03CAC">
      <w:pPr>
        <w:spacing w:line="360" w:lineRule="auto"/>
        <w:ind w:left="1029" w:hanging="1036" w:hangingChars="150"/>
        <w:jc w:val="center"/>
        <w:rPr>
          <w:rFonts w:ascii="Calibri" w:hAnsi="Calibri" w:eastAsia="方正魏碑简体"/>
          <w:bCs/>
          <w:w w:val="96"/>
          <w:sz w:val="72"/>
          <w:szCs w:val="72"/>
          <w:highlight w:val="none"/>
        </w:rPr>
      </w:pPr>
      <w:r>
        <w:rPr>
          <w:rFonts w:hint="eastAsia" w:ascii="Calibri" w:hAnsi="Calibri" w:eastAsia="方正魏碑简体"/>
          <w:bCs/>
          <w:w w:val="96"/>
          <w:sz w:val="72"/>
          <w:szCs w:val="72"/>
          <w:highlight w:val="none"/>
        </w:rPr>
        <w:t>同</w:t>
      </w:r>
    </w:p>
    <w:p w14:paraId="18A05970">
      <w:pPr>
        <w:spacing w:line="360" w:lineRule="auto"/>
        <w:ind w:left="1029" w:hanging="1036" w:hangingChars="150"/>
        <w:jc w:val="center"/>
        <w:rPr>
          <w:rFonts w:ascii="Calibri" w:hAnsi="Calibri" w:eastAsia="方正魏碑简体"/>
          <w:bCs/>
          <w:w w:val="96"/>
          <w:sz w:val="72"/>
          <w:szCs w:val="72"/>
          <w:highlight w:val="none"/>
        </w:rPr>
      </w:pPr>
      <w:r>
        <w:rPr>
          <w:rFonts w:hint="eastAsia" w:ascii="Calibri" w:hAnsi="Calibri" w:eastAsia="方正魏碑简体"/>
          <w:bCs/>
          <w:w w:val="96"/>
          <w:sz w:val="72"/>
          <w:szCs w:val="72"/>
          <w:highlight w:val="none"/>
        </w:rPr>
        <w:t>书</w:t>
      </w:r>
    </w:p>
    <w:p w14:paraId="08C642D8">
      <w:pPr>
        <w:spacing w:line="360" w:lineRule="auto"/>
        <w:ind w:left="540" w:hanging="540" w:hangingChars="150"/>
        <w:jc w:val="center"/>
        <w:rPr>
          <w:rFonts w:ascii="隶书" w:hAnsi="Calibri" w:eastAsia="隶书"/>
          <w:sz w:val="36"/>
          <w:szCs w:val="24"/>
          <w:highlight w:val="none"/>
        </w:rPr>
      </w:pPr>
    </w:p>
    <w:p w14:paraId="5F45B071">
      <w:pPr>
        <w:spacing w:line="360" w:lineRule="auto"/>
        <w:ind w:left="540" w:hanging="540" w:hangingChars="150"/>
        <w:jc w:val="center"/>
        <w:rPr>
          <w:rFonts w:ascii="隶书" w:hAnsi="Calibri" w:eastAsia="隶书"/>
          <w:sz w:val="36"/>
          <w:szCs w:val="24"/>
          <w:highlight w:val="none"/>
        </w:rPr>
      </w:pPr>
    </w:p>
    <w:p w14:paraId="68B13BF1">
      <w:pPr>
        <w:spacing w:line="360" w:lineRule="auto"/>
        <w:ind w:left="540" w:hanging="540" w:hangingChars="150"/>
        <w:jc w:val="center"/>
        <w:rPr>
          <w:rFonts w:ascii="隶书" w:hAnsi="Calibri" w:eastAsia="隶书"/>
          <w:sz w:val="36"/>
          <w:szCs w:val="24"/>
          <w:highlight w:val="none"/>
        </w:rPr>
      </w:pPr>
    </w:p>
    <w:p w14:paraId="75DFB0EF">
      <w:pPr>
        <w:spacing w:line="360" w:lineRule="auto"/>
        <w:rPr>
          <w:rFonts w:ascii="隶书" w:hAnsi="Calibri" w:eastAsia="隶书"/>
          <w:sz w:val="36"/>
          <w:szCs w:val="24"/>
          <w:highlight w:val="none"/>
        </w:rPr>
      </w:pPr>
    </w:p>
    <w:p w14:paraId="5222D830">
      <w:pPr>
        <w:spacing w:line="360" w:lineRule="auto"/>
        <w:rPr>
          <w:rFonts w:hint="eastAsia" w:ascii="宋体" w:hAnsi="宋体"/>
          <w:sz w:val="36"/>
          <w:szCs w:val="24"/>
          <w:highlight w:val="none"/>
        </w:rPr>
      </w:pPr>
    </w:p>
    <w:p w14:paraId="216580C1">
      <w:pPr>
        <w:spacing w:line="360" w:lineRule="auto"/>
        <w:rPr>
          <w:rFonts w:hint="eastAsia" w:ascii="宋体" w:hAnsi="宋体"/>
          <w:sz w:val="36"/>
          <w:szCs w:val="24"/>
          <w:highlight w:val="none"/>
        </w:rPr>
      </w:pPr>
    </w:p>
    <w:p w14:paraId="2213730F">
      <w:pPr>
        <w:spacing w:line="360" w:lineRule="auto"/>
        <w:rPr>
          <w:rFonts w:ascii="宋体" w:hAnsi="宋体"/>
          <w:sz w:val="28"/>
          <w:szCs w:val="28"/>
          <w:highlight w:val="none"/>
        </w:rPr>
      </w:pPr>
      <w:r>
        <w:rPr>
          <w:rFonts w:hint="eastAsia" w:ascii="宋体" w:hAnsi="宋体"/>
          <w:sz w:val="28"/>
          <w:szCs w:val="28"/>
          <w:highlight w:val="none"/>
        </w:rPr>
        <w:t>买方：南通市通州区水务有限公司</w:t>
      </w:r>
    </w:p>
    <w:p w14:paraId="3417F103">
      <w:pPr>
        <w:spacing w:line="360" w:lineRule="auto"/>
        <w:rPr>
          <w:rFonts w:ascii="宋体" w:hAnsi="宋体"/>
          <w:sz w:val="28"/>
          <w:szCs w:val="28"/>
          <w:highlight w:val="none"/>
          <w:u w:val="single"/>
        </w:rPr>
      </w:pPr>
      <w:r>
        <w:rPr>
          <w:rFonts w:hint="eastAsia" w:ascii="宋体" w:hAnsi="宋体"/>
          <w:sz w:val="28"/>
          <w:szCs w:val="28"/>
          <w:highlight w:val="none"/>
        </w:rPr>
        <w:t>卖方：</w:t>
      </w:r>
    </w:p>
    <w:p w14:paraId="27C51B44">
      <w:pPr>
        <w:spacing w:line="360" w:lineRule="auto"/>
        <w:jc w:val="both"/>
        <w:rPr>
          <w:rFonts w:ascii="宋体" w:hAnsi="宋体"/>
          <w:sz w:val="28"/>
          <w:szCs w:val="28"/>
          <w:highlight w:val="none"/>
        </w:rPr>
      </w:pPr>
      <w:r>
        <w:rPr>
          <w:rFonts w:hint="eastAsia" w:ascii="宋体" w:hAnsi="宋体"/>
          <w:sz w:val="28"/>
          <w:szCs w:val="28"/>
          <w:highlight w:val="none"/>
        </w:rPr>
        <w:t>签订日期：</w:t>
      </w:r>
      <w:r>
        <w:rPr>
          <w:rFonts w:hint="eastAsia" w:ascii="宋体" w:hAnsi="宋体"/>
          <w:sz w:val="28"/>
          <w:szCs w:val="28"/>
          <w:highlight w:val="none"/>
          <w:u w:val="single"/>
        </w:rPr>
        <w:t>2025</w:t>
      </w:r>
      <w:r>
        <w:rPr>
          <w:rFonts w:hint="eastAsia" w:ascii="宋体" w:hAnsi="宋体"/>
          <w:sz w:val="28"/>
          <w:szCs w:val="28"/>
          <w:highlight w:val="none"/>
        </w:rPr>
        <w:t>年月日</w:t>
      </w:r>
    </w:p>
    <w:p w14:paraId="00E83EC1">
      <w:pPr>
        <w:spacing w:line="360" w:lineRule="auto"/>
        <w:ind w:left="358" w:hanging="358" w:hangingChars="112"/>
        <w:jc w:val="center"/>
        <w:rPr>
          <w:rFonts w:ascii="Calibri" w:hAnsi="Calibri" w:eastAsia="黑体"/>
          <w:sz w:val="32"/>
          <w:szCs w:val="24"/>
          <w:highlight w:val="none"/>
        </w:rPr>
      </w:pPr>
      <w:r>
        <w:rPr>
          <w:rFonts w:ascii="Calibri" w:hAnsi="Calibri" w:eastAsia="黑体"/>
          <w:sz w:val="32"/>
          <w:szCs w:val="24"/>
          <w:highlight w:val="none"/>
        </w:rPr>
        <w:br w:type="page"/>
      </w:r>
    </w:p>
    <w:p w14:paraId="5E7B6236">
      <w:pPr>
        <w:spacing w:line="360" w:lineRule="auto"/>
        <w:ind w:left="358" w:hanging="358" w:hangingChars="112"/>
        <w:jc w:val="center"/>
        <w:rPr>
          <w:rFonts w:ascii="Calibri" w:hAnsi="Calibri" w:eastAsia="黑体"/>
          <w:sz w:val="32"/>
          <w:szCs w:val="24"/>
          <w:highlight w:val="none"/>
        </w:rPr>
      </w:pPr>
      <w:r>
        <w:rPr>
          <w:rFonts w:hint="eastAsia" w:ascii="Calibri" w:hAnsi="Calibri" w:eastAsia="黑体"/>
          <w:sz w:val="32"/>
          <w:szCs w:val="24"/>
          <w:highlight w:val="none"/>
        </w:rPr>
        <w:t>合同条款前附表</w:t>
      </w:r>
    </w:p>
    <w:tbl>
      <w:tblPr>
        <w:tblStyle w:val="23"/>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53"/>
        <w:gridCol w:w="6848"/>
      </w:tblGrid>
      <w:tr w14:paraId="729C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5" w:type="dxa"/>
            <w:vAlign w:val="center"/>
          </w:tcPr>
          <w:p w14:paraId="2735204A">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序号</w:t>
            </w:r>
          </w:p>
        </w:tc>
        <w:tc>
          <w:tcPr>
            <w:tcW w:w="953" w:type="dxa"/>
            <w:vAlign w:val="center"/>
          </w:tcPr>
          <w:p w14:paraId="47057AE3">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条款号</w:t>
            </w:r>
          </w:p>
        </w:tc>
        <w:tc>
          <w:tcPr>
            <w:tcW w:w="6848" w:type="dxa"/>
            <w:vAlign w:val="center"/>
          </w:tcPr>
          <w:p w14:paraId="1C9AF26D">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内容</w:t>
            </w:r>
          </w:p>
        </w:tc>
      </w:tr>
      <w:tr w14:paraId="6FA6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4D3625B3">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1</w:t>
            </w:r>
          </w:p>
        </w:tc>
        <w:tc>
          <w:tcPr>
            <w:tcW w:w="953" w:type="dxa"/>
            <w:vAlign w:val="center"/>
          </w:tcPr>
          <w:p w14:paraId="2B67AA4E">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1（5）</w:t>
            </w:r>
          </w:p>
        </w:tc>
        <w:tc>
          <w:tcPr>
            <w:tcW w:w="6848" w:type="dxa"/>
            <w:vAlign w:val="center"/>
          </w:tcPr>
          <w:p w14:paraId="0A4ABCB2">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rPr>
            </w:pPr>
            <w:r>
              <w:rPr>
                <w:rFonts w:hint="eastAsia" w:ascii="Calibri" w:hAnsi="Calibri"/>
                <w:sz w:val="21"/>
                <w:szCs w:val="21"/>
                <w:highlight w:val="none"/>
              </w:rPr>
              <w:t>买方名称：南通市通州区水务有限公司</w:t>
            </w:r>
          </w:p>
          <w:p w14:paraId="5B31B6A9">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rPr>
            </w:pPr>
            <w:r>
              <w:rPr>
                <w:rFonts w:hint="eastAsia" w:ascii="Calibri" w:hAnsi="Calibri"/>
                <w:sz w:val="21"/>
                <w:szCs w:val="21"/>
                <w:highlight w:val="none"/>
              </w:rPr>
              <w:t>买方地址：</w:t>
            </w:r>
            <w:r>
              <w:rPr>
                <w:rFonts w:hint="eastAsia" w:ascii="仿宋_GB2312" w:hAnsi="Calibri"/>
                <w:sz w:val="21"/>
                <w:szCs w:val="21"/>
                <w:highlight w:val="none"/>
              </w:rPr>
              <w:t>南通市通州区金沙镇金通路18号</w:t>
            </w:r>
          </w:p>
          <w:p w14:paraId="7F507C73">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rPr>
            </w:pPr>
            <w:r>
              <w:rPr>
                <w:rFonts w:hint="eastAsia" w:ascii="Calibri" w:hAnsi="Calibri"/>
                <w:sz w:val="21"/>
                <w:szCs w:val="21"/>
                <w:highlight w:val="none"/>
              </w:rPr>
              <w:t xml:space="preserve">买方电话： </w:t>
            </w:r>
          </w:p>
          <w:p w14:paraId="6F1D3105">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rPr>
            </w:pPr>
            <w:r>
              <w:rPr>
                <w:rFonts w:hint="eastAsia" w:ascii="Calibri" w:hAnsi="Calibri"/>
                <w:sz w:val="21"/>
                <w:szCs w:val="21"/>
                <w:highlight w:val="none"/>
              </w:rPr>
              <w:t>买方联系人：</w:t>
            </w:r>
            <w:r>
              <w:rPr>
                <w:rFonts w:ascii="Calibri" w:hAnsi="Calibri"/>
                <w:sz w:val="21"/>
                <w:szCs w:val="21"/>
                <w:highlight w:val="none"/>
              </w:rPr>
              <w:t xml:space="preserve"> </w:t>
            </w:r>
          </w:p>
        </w:tc>
      </w:tr>
      <w:tr w14:paraId="1E59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75" w:type="dxa"/>
            <w:vAlign w:val="center"/>
          </w:tcPr>
          <w:p w14:paraId="6DFCE15C">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2</w:t>
            </w:r>
          </w:p>
        </w:tc>
        <w:tc>
          <w:tcPr>
            <w:tcW w:w="953" w:type="dxa"/>
            <w:vAlign w:val="center"/>
          </w:tcPr>
          <w:p w14:paraId="7A86E5C9">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1（6）</w:t>
            </w:r>
          </w:p>
        </w:tc>
        <w:tc>
          <w:tcPr>
            <w:tcW w:w="6848" w:type="dxa"/>
            <w:vAlign w:val="center"/>
          </w:tcPr>
          <w:p w14:paraId="600CD234">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u w:val="single"/>
              </w:rPr>
            </w:pPr>
            <w:r>
              <w:rPr>
                <w:rFonts w:hint="eastAsia" w:ascii="Calibri" w:hAnsi="Calibri"/>
                <w:sz w:val="21"/>
                <w:szCs w:val="21"/>
                <w:highlight w:val="none"/>
              </w:rPr>
              <w:t>卖方名称：</w:t>
            </w:r>
          </w:p>
          <w:p w14:paraId="1AE6D8F9">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u w:val="single"/>
              </w:rPr>
            </w:pPr>
            <w:r>
              <w:rPr>
                <w:rFonts w:hint="eastAsia" w:ascii="Calibri" w:hAnsi="Calibri"/>
                <w:sz w:val="21"/>
                <w:szCs w:val="21"/>
                <w:highlight w:val="none"/>
              </w:rPr>
              <w:t>卖方地址：</w:t>
            </w:r>
          </w:p>
          <w:p w14:paraId="553965D3">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u w:val="single"/>
              </w:rPr>
            </w:pPr>
            <w:r>
              <w:rPr>
                <w:rFonts w:hint="eastAsia" w:ascii="Calibri" w:hAnsi="Calibri"/>
                <w:sz w:val="21"/>
                <w:szCs w:val="21"/>
                <w:highlight w:val="none"/>
              </w:rPr>
              <w:t>卖方电话：</w:t>
            </w:r>
          </w:p>
          <w:p w14:paraId="1BF0974B">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u w:val="single"/>
              </w:rPr>
            </w:pPr>
            <w:r>
              <w:rPr>
                <w:rFonts w:hint="eastAsia" w:ascii="Calibri" w:hAnsi="Calibri"/>
                <w:sz w:val="21"/>
                <w:szCs w:val="21"/>
                <w:highlight w:val="none"/>
              </w:rPr>
              <w:t>卖方联系人：</w:t>
            </w:r>
          </w:p>
        </w:tc>
      </w:tr>
      <w:tr w14:paraId="53C6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5" w:type="dxa"/>
            <w:vAlign w:val="center"/>
          </w:tcPr>
          <w:p w14:paraId="33E29BF4">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3</w:t>
            </w:r>
          </w:p>
        </w:tc>
        <w:tc>
          <w:tcPr>
            <w:tcW w:w="953" w:type="dxa"/>
            <w:vAlign w:val="center"/>
          </w:tcPr>
          <w:p w14:paraId="188AD6CD">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1（7）</w:t>
            </w:r>
          </w:p>
        </w:tc>
        <w:tc>
          <w:tcPr>
            <w:tcW w:w="6848" w:type="dxa"/>
            <w:vAlign w:val="center"/>
          </w:tcPr>
          <w:p w14:paraId="3E26F436">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u w:val="single"/>
              </w:rPr>
            </w:pPr>
            <w:r>
              <w:rPr>
                <w:rFonts w:hint="eastAsia" w:ascii="Calibri" w:hAnsi="Calibri"/>
                <w:sz w:val="21"/>
                <w:szCs w:val="21"/>
                <w:highlight w:val="none"/>
              </w:rPr>
              <w:t>项目现场：</w:t>
            </w:r>
            <w:r>
              <w:rPr>
                <w:rFonts w:hint="eastAsia" w:ascii="Calibri" w:hAnsi="Calibri"/>
                <w:sz w:val="21"/>
                <w:szCs w:val="21"/>
                <w:highlight w:val="none"/>
                <w:u w:val="none"/>
              </w:rPr>
              <w:t>通州区</w:t>
            </w:r>
          </w:p>
        </w:tc>
      </w:tr>
      <w:tr w14:paraId="1CAD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75" w:type="dxa"/>
            <w:vAlign w:val="center"/>
          </w:tcPr>
          <w:p w14:paraId="4EF3B6EC">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4</w:t>
            </w:r>
          </w:p>
        </w:tc>
        <w:tc>
          <w:tcPr>
            <w:tcW w:w="953" w:type="dxa"/>
            <w:vAlign w:val="center"/>
          </w:tcPr>
          <w:p w14:paraId="6CB9A16C">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8</w:t>
            </w:r>
          </w:p>
        </w:tc>
        <w:tc>
          <w:tcPr>
            <w:tcW w:w="6848" w:type="dxa"/>
            <w:vAlign w:val="center"/>
          </w:tcPr>
          <w:p w14:paraId="40275375">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sz w:val="21"/>
                <w:szCs w:val="21"/>
                <w:highlight w:val="none"/>
              </w:rPr>
            </w:pPr>
            <w:r>
              <w:rPr>
                <w:rFonts w:hint="eastAsia" w:ascii="Calibri" w:hAnsi="Calibri"/>
                <w:sz w:val="21"/>
                <w:szCs w:val="21"/>
                <w:highlight w:val="none"/>
              </w:rPr>
              <w:t>合同价格：人民币：（RMB：</w:t>
            </w:r>
            <w:r>
              <w:rPr>
                <w:rFonts w:hint="eastAsia" w:ascii="Calibri" w:hAnsi="Calibri"/>
                <w:sz w:val="21"/>
                <w:szCs w:val="21"/>
                <w:highlight w:val="none"/>
                <w:u w:val="single"/>
              </w:rPr>
              <w:t xml:space="preserve"> </w:t>
            </w:r>
            <w:r>
              <w:rPr>
                <w:rFonts w:hint="eastAsia" w:ascii="Calibri" w:hAnsi="Calibri"/>
                <w:sz w:val="21"/>
                <w:szCs w:val="21"/>
                <w:highlight w:val="none"/>
                <w:u w:val="single"/>
                <w:lang w:val="en-US" w:eastAsia="zh-CN"/>
              </w:rPr>
              <w:t xml:space="preserve">      </w:t>
            </w:r>
            <w:r>
              <w:rPr>
                <w:rFonts w:hint="eastAsia" w:ascii="Calibri" w:hAnsi="Calibri"/>
                <w:sz w:val="21"/>
                <w:szCs w:val="21"/>
                <w:highlight w:val="none"/>
                <w:u w:val="single"/>
              </w:rPr>
              <w:t xml:space="preserve">元 </w:t>
            </w:r>
            <w:r>
              <w:rPr>
                <w:rFonts w:ascii="Calibri" w:hAnsi="Calibri"/>
                <w:sz w:val="21"/>
                <w:szCs w:val="21"/>
                <w:highlight w:val="none"/>
              </w:rPr>
              <w:t>）</w:t>
            </w:r>
          </w:p>
        </w:tc>
      </w:tr>
      <w:tr w14:paraId="5DDD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775" w:type="dxa"/>
            <w:vAlign w:val="center"/>
          </w:tcPr>
          <w:p w14:paraId="7007F8CC">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5</w:t>
            </w:r>
          </w:p>
        </w:tc>
        <w:tc>
          <w:tcPr>
            <w:tcW w:w="953" w:type="dxa"/>
            <w:vAlign w:val="center"/>
          </w:tcPr>
          <w:p w14:paraId="7180CCCE">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ascii="Calibri" w:hAnsi="Calibri"/>
                <w:sz w:val="21"/>
                <w:szCs w:val="21"/>
                <w:highlight w:val="none"/>
              </w:rPr>
              <w:t>15.2</w:t>
            </w:r>
          </w:p>
        </w:tc>
        <w:tc>
          <w:tcPr>
            <w:tcW w:w="6848" w:type="dxa"/>
            <w:vAlign w:val="center"/>
          </w:tcPr>
          <w:p w14:paraId="41EFDE28">
            <w:pPr>
              <w:keepNext w:val="0"/>
              <w:keepLines w:val="0"/>
              <w:pageBreakBefore w:val="0"/>
              <w:widowControl/>
              <w:tabs>
                <w:tab w:val="left" w:pos="1260"/>
              </w:tabs>
              <w:kinsoku/>
              <w:wordWrap/>
              <w:overflowPunct/>
              <w:topLinePunct w:val="0"/>
              <w:autoSpaceDE/>
              <w:autoSpaceDN/>
              <w:bidi w:val="0"/>
              <w:adjustRightInd/>
              <w:snapToGrid/>
              <w:spacing w:line="400" w:lineRule="exact"/>
              <w:ind w:firstLine="420" w:firstLineChars="200"/>
              <w:jc w:val="left"/>
              <w:textAlignment w:val="auto"/>
              <w:rPr>
                <w:rFonts w:ascii="Calibri" w:hAnsi="Calibri"/>
                <w:sz w:val="21"/>
                <w:szCs w:val="21"/>
                <w:highlight w:val="none"/>
              </w:rPr>
            </w:pPr>
            <w:r>
              <w:rPr>
                <w:rFonts w:hint="eastAsia" w:ascii="Calibri" w:hAnsi="Calibri"/>
                <w:sz w:val="21"/>
                <w:szCs w:val="21"/>
                <w:highlight w:val="none"/>
              </w:rPr>
              <w:t>付款计划：</w:t>
            </w:r>
            <w:r>
              <w:rPr>
                <w:rFonts w:hint="eastAsia" w:ascii="Calibri" w:hAnsi="Calibri"/>
                <w:b/>
                <w:sz w:val="21"/>
                <w:szCs w:val="21"/>
                <w:highlight w:val="none"/>
              </w:rPr>
              <w:t>经买方验收合格，</w:t>
            </w:r>
            <w:r>
              <w:rPr>
                <w:rFonts w:hint="eastAsia" w:ascii="Calibri" w:hAnsi="Calibri"/>
                <w:b/>
                <w:sz w:val="21"/>
                <w:szCs w:val="21"/>
                <w:highlight w:val="none"/>
                <w:lang w:val="en-US" w:eastAsia="zh-CN"/>
              </w:rPr>
              <w:t>卖方</w:t>
            </w:r>
            <w:r>
              <w:rPr>
                <w:rFonts w:hint="eastAsia" w:ascii="Calibri" w:hAnsi="Calibri"/>
                <w:b/>
                <w:sz w:val="21"/>
                <w:szCs w:val="21"/>
                <w:highlight w:val="none"/>
              </w:rPr>
              <w:t>全额开具增值税专用发票后，</w:t>
            </w:r>
            <w:r>
              <w:rPr>
                <w:rFonts w:hint="eastAsia" w:ascii="Calibri" w:hAnsi="Calibri"/>
                <w:b/>
                <w:sz w:val="21"/>
                <w:szCs w:val="21"/>
                <w:highlight w:val="none"/>
                <w:lang w:val="en-US" w:eastAsia="zh-CN"/>
              </w:rPr>
              <w:t>买方10日内</w:t>
            </w:r>
            <w:r>
              <w:rPr>
                <w:rFonts w:hint="eastAsia" w:ascii="Calibri" w:hAnsi="Calibri"/>
                <w:b/>
                <w:sz w:val="21"/>
                <w:szCs w:val="21"/>
                <w:highlight w:val="none"/>
              </w:rPr>
              <w:t>支付合同总额的</w:t>
            </w:r>
            <w:r>
              <w:rPr>
                <w:rFonts w:hint="eastAsia" w:ascii="Calibri" w:hAnsi="Calibri"/>
                <w:b/>
                <w:sz w:val="21"/>
                <w:szCs w:val="21"/>
                <w:highlight w:val="none"/>
                <w:lang w:val="en-US" w:eastAsia="zh-CN"/>
              </w:rPr>
              <w:t>80</w:t>
            </w:r>
            <w:r>
              <w:rPr>
                <w:rFonts w:hint="eastAsia" w:ascii="Calibri" w:hAnsi="Calibri"/>
                <w:b/>
                <w:sz w:val="21"/>
                <w:szCs w:val="21"/>
                <w:highlight w:val="none"/>
              </w:rPr>
              <w:t>%，同时退还履约保证金</w:t>
            </w:r>
            <w:r>
              <w:rPr>
                <w:rFonts w:hint="eastAsia" w:ascii="Calibri" w:hAnsi="Calibri"/>
                <w:b/>
                <w:sz w:val="21"/>
                <w:szCs w:val="21"/>
                <w:highlight w:val="none"/>
                <w:lang w:eastAsia="zh-CN"/>
              </w:rPr>
              <w:t>（</w:t>
            </w:r>
            <w:r>
              <w:rPr>
                <w:rFonts w:hint="eastAsia" w:ascii="Calibri" w:hAnsi="Calibri"/>
                <w:b/>
                <w:sz w:val="21"/>
                <w:szCs w:val="21"/>
                <w:highlight w:val="none"/>
                <w:lang w:val="en-US" w:eastAsia="zh-CN"/>
              </w:rPr>
              <w:t>无息</w:t>
            </w:r>
            <w:r>
              <w:rPr>
                <w:rFonts w:hint="eastAsia" w:ascii="Calibri" w:hAnsi="Calibri"/>
                <w:b/>
                <w:sz w:val="21"/>
                <w:szCs w:val="21"/>
                <w:highlight w:val="none"/>
                <w:lang w:eastAsia="zh-CN"/>
              </w:rPr>
              <w:t>）。</w:t>
            </w:r>
            <w:r>
              <w:rPr>
                <w:rFonts w:hint="eastAsia" w:ascii="Calibri" w:hAnsi="Calibri"/>
                <w:b/>
                <w:sz w:val="21"/>
                <w:szCs w:val="21"/>
                <w:highlight w:val="none"/>
                <w:lang w:val="en-US" w:eastAsia="zh-CN"/>
              </w:rPr>
              <w:t>验收合格满一年，10日内支付合同总额的15%</w:t>
            </w:r>
            <w:r>
              <w:rPr>
                <w:rFonts w:hint="eastAsia" w:ascii="Calibri" w:hAnsi="Calibri"/>
                <w:b/>
                <w:sz w:val="21"/>
                <w:szCs w:val="21"/>
                <w:highlight w:val="none"/>
                <w:lang w:eastAsia="zh-CN"/>
              </w:rPr>
              <w:t>（</w:t>
            </w:r>
            <w:r>
              <w:rPr>
                <w:rFonts w:hint="eastAsia" w:ascii="Calibri" w:hAnsi="Calibri"/>
                <w:b/>
                <w:sz w:val="21"/>
                <w:szCs w:val="21"/>
                <w:highlight w:val="none"/>
                <w:lang w:val="en-US" w:eastAsia="zh-CN"/>
              </w:rPr>
              <w:t>无息</w:t>
            </w:r>
            <w:r>
              <w:rPr>
                <w:rFonts w:hint="eastAsia" w:ascii="Calibri" w:hAnsi="Calibri"/>
                <w:b/>
                <w:sz w:val="21"/>
                <w:szCs w:val="21"/>
                <w:highlight w:val="none"/>
                <w:lang w:eastAsia="zh-CN"/>
              </w:rPr>
              <w:t>）</w:t>
            </w:r>
            <w:r>
              <w:rPr>
                <w:rFonts w:hint="eastAsia" w:ascii="Calibri" w:hAnsi="Calibri"/>
                <w:b/>
                <w:sz w:val="21"/>
                <w:szCs w:val="21"/>
                <w:highlight w:val="none"/>
                <w:lang w:val="en-US" w:eastAsia="zh-CN"/>
              </w:rPr>
              <w:t>；余款5%</w:t>
            </w:r>
            <w:r>
              <w:rPr>
                <w:rFonts w:hint="eastAsia" w:ascii="Calibri" w:hAnsi="Calibri"/>
                <w:b/>
                <w:sz w:val="21"/>
                <w:szCs w:val="21"/>
                <w:highlight w:val="none"/>
              </w:rPr>
              <w:t>作为质保金待质保期期满后</w:t>
            </w:r>
            <w:r>
              <w:rPr>
                <w:rFonts w:hint="eastAsia" w:ascii="Calibri" w:hAnsi="Calibri"/>
                <w:b/>
                <w:sz w:val="21"/>
                <w:szCs w:val="21"/>
                <w:highlight w:val="none"/>
                <w:lang w:val="en-US" w:eastAsia="zh-CN"/>
              </w:rPr>
              <w:t>10日内</w:t>
            </w:r>
            <w:r>
              <w:rPr>
                <w:rFonts w:hint="eastAsia" w:ascii="Calibri" w:hAnsi="Calibri"/>
                <w:b/>
                <w:sz w:val="21"/>
                <w:szCs w:val="21"/>
                <w:highlight w:val="none"/>
              </w:rPr>
              <w:t>付清</w:t>
            </w:r>
            <w:r>
              <w:rPr>
                <w:rFonts w:hint="eastAsia" w:ascii="Calibri" w:hAnsi="Calibri"/>
                <w:b/>
                <w:sz w:val="21"/>
                <w:szCs w:val="21"/>
                <w:highlight w:val="none"/>
                <w:lang w:eastAsia="zh-CN"/>
              </w:rPr>
              <w:t>（</w:t>
            </w:r>
            <w:r>
              <w:rPr>
                <w:rFonts w:hint="eastAsia" w:ascii="Calibri" w:hAnsi="Calibri"/>
                <w:b/>
                <w:sz w:val="21"/>
                <w:szCs w:val="21"/>
                <w:highlight w:val="none"/>
                <w:lang w:val="en-US" w:eastAsia="zh-CN"/>
              </w:rPr>
              <w:t>无息</w:t>
            </w:r>
            <w:r>
              <w:rPr>
                <w:rFonts w:hint="eastAsia" w:ascii="Calibri" w:hAnsi="Calibri"/>
                <w:b/>
                <w:sz w:val="21"/>
                <w:szCs w:val="21"/>
                <w:highlight w:val="none"/>
                <w:lang w:eastAsia="zh-CN"/>
              </w:rPr>
              <w:t>）</w:t>
            </w:r>
            <w:r>
              <w:rPr>
                <w:rFonts w:hint="eastAsia" w:ascii="Calibri" w:hAnsi="Calibri"/>
                <w:b/>
                <w:sz w:val="21"/>
                <w:szCs w:val="21"/>
                <w:highlight w:val="none"/>
              </w:rPr>
              <w:t>。</w:t>
            </w:r>
          </w:p>
        </w:tc>
      </w:tr>
      <w:tr w14:paraId="7E08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75" w:type="dxa"/>
            <w:vAlign w:val="center"/>
          </w:tcPr>
          <w:p w14:paraId="0C336C74">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hint="eastAsia" w:ascii="Calibri" w:hAnsi="Calibri"/>
                <w:sz w:val="21"/>
                <w:szCs w:val="21"/>
                <w:highlight w:val="none"/>
              </w:rPr>
              <w:t>6</w:t>
            </w:r>
          </w:p>
        </w:tc>
        <w:tc>
          <w:tcPr>
            <w:tcW w:w="953" w:type="dxa"/>
            <w:vAlign w:val="center"/>
          </w:tcPr>
          <w:p w14:paraId="1D26D634">
            <w:pPr>
              <w:keepNext w:val="0"/>
              <w:keepLines w:val="0"/>
              <w:pageBreakBefore w:val="0"/>
              <w:kinsoku/>
              <w:wordWrap/>
              <w:overflowPunct/>
              <w:topLinePunct w:val="0"/>
              <w:autoSpaceDE/>
              <w:autoSpaceDN/>
              <w:bidi w:val="0"/>
              <w:adjustRightInd/>
              <w:snapToGrid/>
              <w:spacing w:line="400" w:lineRule="exact"/>
              <w:jc w:val="center"/>
              <w:textAlignment w:val="auto"/>
              <w:rPr>
                <w:rFonts w:ascii="Calibri" w:hAnsi="Calibri"/>
                <w:sz w:val="21"/>
                <w:szCs w:val="21"/>
                <w:highlight w:val="none"/>
              </w:rPr>
            </w:pPr>
            <w:r>
              <w:rPr>
                <w:rFonts w:ascii="Calibri" w:hAnsi="Calibri"/>
                <w:sz w:val="21"/>
                <w:szCs w:val="21"/>
                <w:highlight w:val="none"/>
              </w:rPr>
              <w:t>17</w:t>
            </w:r>
          </w:p>
        </w:tc>
        <w:tc>
          <w:tcPr>
            <w:tcW w:w="6848" w:type="dxa"/>
            <w:vAlign w:val="center"/>
          </w:tcPr>
          <w:p w14:paraId="11C01CCE">
            <w:pPr>
              <w:keepNext w:val="0"/>
              <w:keepLines w:val="0"/>
              <w:pageBreakBefore w:val="0"/>
              <w:widowControl/>
              <w:tabs>
                <w:tab w:val="left" w:pos="1260"/>
              </w:tabs>
              <w:kinsoku/>
              <w:wordWrap/>
              <w:overflowPunct/>
              <w:topLinePunct w:val="0"/>
              <w:autoSpaceDE/>
              <w:autoSpaceDN/>
              <w:bidi w:val="0"/>
              <w:adjustRightInd/>
              <w:snapToGrid/>
              <w:spacing w:line="400" w:lineRule="exact"/>
              <w:ind w:firstLine="420" w:firstLineChars="200"/>
              <w:jc w:val="left"/>
              <w:textAlignment w:val="auto"/>
              <w:rPr>
                <w:rFonts w:ascii="Calibri" w:hAnsi="Calibri"/>
                <w:sz w:val="21"/>
                <w:szCs w:val="21"/>
                <w:highlight w:val="none"/>
              </w:rPr>
            </w:pPr>
            <w:r>
              <w:rPr>
                <w:rFonts w:hint="eastAsia" w:ascii="Calibri" w:hAnsi="Calibri"/>
                <w:sz w:val="21"/>
                <w:szCs w:val="21"/>
                <w:highlight w:val="none"/>
              </w:rPr>
              <w:t>质量保证（修）期：质保期为一年</w:t>
            </w:r>
            <w:r>
              <w:rPr>
                <w:rFonts w:hint="eastAsia" w:ascii="Calibri" w:hAnsi="Calibri"/>
                <w:sz w:val="21"/>
                <w:szCs w:val="21"/>
                <w:highlight w:val="none"/>
                <w:lang w:eastAsia="zh-CN"/>
              </w:rPr>
              <w:t>，</w:t>
            </w:r>
            <w:r>
              <w:rPr>
                <w:rFonts w:hint="eastAsia" w:ascii="Calibri" w:hAnsi="Calibri"/>
                <w:sz w:val="21"/>
                <w:szCs w:val="21"/>
                <w:highlight w:val="none"/>
              </w:rPr>
              <w:t>自验收合格之日起计算。项目整体内所有产品验收通过之日起开始计算。</w:t>
            </w:r>
            <w:r>
              <w:rPr>
                <w:rFonts w:hint="eastAsia" w:ascii="Calibri" w:hAnsi="Calibri"/>
                <w:sz w:val="21"/>
                <w:szCs w:val="21"/>
                <w:highlight w:val="none"/>
                <w:lang w:val="en-US" w:eastAsia="zh-CN"/>
              </w:rPr>
              <w:t>维护范围包含：本次采购涉及的软硬件及原有软件的免费维护，并提供原有硬件的免费维护技术服务。</w:t>
            </w:r>
            <w:r>
              <w:rPr>
                <w:rFonts w:hint="eastAsia" w:ascii="Calibri" w:hAnsi="Calibri"/>
                <w:sz w:val="21"/>
                <w:szCs w:val="21"/>
                <w:highlight w:val="none"/>
              </w:rPr>
              <w:t>在质保期内，同一产品、同一质量问题连续两次维修仍无法正常使用，卖方无条件给予全套更换或退货。</w:t>
            </w:r>
          </w:p>
        </w:tc>
      </w:tr>
    </w:tbl>
    <w:p w14:paraId="1514DCCD">
      <w:pPr>
        <w:spacing w:line="420" w:lineRule="exact"/>
        <w:jc w:val="center"/>
        <w:rPr>
          <w:rFonts w:ascii="Calibri" w:hAnsi="Calibri" w:eastAsia="黑体"/>
          <w:b/>
          <w:sz w:val="24"/>
          <w:szCs w:val="24"/>
          <w:highlight w:val="none"/>
        </w:rPr>
      </w:pPr>
      <w:bookmarkStart w:id="15" w:name="_Toc106779883"/>
      <w:r>
        <w:rPr>
          <w:rFonts w:hint="eastAsia" w:ascii="Calibri" w:hAnsi="Calibri" w:eastAsia="黑体"/>
          <w:b/>
          <w:sz w:val="32"/>
          <w:szCs w:val="24"/>
          <w:highlight w:val="none"/>
        </w:rPr>
        <w:t>合  同  条  款</w:t>
      </w:r>
      <w:bookmarkEnd w:id="15"/>
    </w:p>
    <w:p w14:paraId="152B77CF">
      <w:pPr>
        <w:spacing w:line="420" w:lineRule="exact"/>
        <w:ind w:firstLine="420" w:firstLineChars="200"/>
        <w:rPr>
          <w:rFonts w:ascii="黑体" w:hAnsi="Calibri" w:eastAsia="黑体"/>
          <w:sz w:val="21"/>
          <w:szCs w:val="21"/>
          <w:highlight w:val="none"/>
        </w:rPr>
      </w:pPr>
      <w:r>
        <w:rPr>
          <w:rFonts w:ascii="黑体" w:hAnsi="Calibri" w:eastAsia="黑体"/>
          <w:sz w:val="21"/>
          <w:szCs w:val="21"/>
          <w:highlight w:val="none"/>
        </w:rPr>
        <w:t xml:space="preserve">1  </w:t>
      </w:r>
      <w:r>
        <w:rPr>
          <w:rFonts w:hint="eastAsia" w:ascii="黑体" w:hAnsi="Calibri" w:eastAsia="黑体"/>
          <w:sz w:val="21"/>
          <w:szCs w:val="21"/>
          <w:highlight w:val="none"/>
        </w:rPr>
        <w:t>定义</w:t>
      </w:r>
    </w:p>
    <w:p w14:paraId="40AE96D5">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本合同中的下列术语应解释为：</w:t>
      </w:r>
    </w:p>
    <w:p w14:paraId="3D04054E">
      <w:pPr>
        <w:spacing w:line="420" w:lineRule="exact"/>
        <w:ind w:firstLine="420" w:firstLineChars="200"/>
        <w:rPr>
          <w:rFonts w:ascii="Calibri" w:hAnsi="Calibri"/>
          <w:sz w:val="21"/>
          <w:szCs w:val="21"/>
          <w:highlight w:val="none"/>
        </w:rPr>
      </w:pPr>
      <w:r>
        <w:rPr>
          <w:rFonts w:ascii="Calibri" w:hAnsi="Calibri"/>
          <w:sz w:val="21"/>
          <w:szCs w:val="21"/>
          <w:highlight w:val="none"/>
        </w:rPr>
        <w:t>(</w:t>
      </w:r>
      <w:r>
        <w:rPr>
          <w:rFonts w:hint="eastAsia" w:ascii="Calibri" w:hAnsi="Calibri"/>
          <w:sz w:val="21"/>
          <w:szCs w:val="21"/>
          <w:highlight w:val="none"/>
        </w:rPr>
        <w:t>1</w:t>
      </w:r>
      <w:r>
        <w:rPr>
          <w:rFonts w:ascii="Calibri" w:hAnsi="Calibri"/>
          <w:sz w:val="21"/>
          <w:szCs w:val="21"/>
          <w:highlight w:val="none"/>
        </w:rPr>
        <w:t>)</w:t>
      </w:r>
      <w:r>
        <w:rPr>
          <w:rFonts w:hint="eastAsia" w:ascii="Calibri" w:hAnsi="Calibri"/>
          <w:sz w:val="21"/>
          <w:szCs w:val="21"/>
          <w:highlight w:val="none"/>
        </w:rPr>
        <w:t xml:space="preserve"> 合同系指合同各方共同签署的、载明各方权利义务的协议，包括所有的附件、附录以及上述文件中提到的构成合同的所有文件。</w:t>
      </w:r>
    </w:p>
    <w:p w14:paraId="33C17CF4">
      <w:pPr>
        <w:spacing w:line="420" w:lineRule="exact"/>
        <w:ind w:firstLine="420" w:firstLineChars="200"/>
        <w:rPr>
          <w:rFonts w:ascii="Calibri" w:hAnsi="Calibri"/>
          <w:sz w:val="21"/>
          <w:szCs w:val="21"/>
          <w:highlight w:val="none"/>
        </w:rPr>
      </w:pPr>
      <w:r>
        <w:rPr>
          <w:rFonts w:ascii="Calibri" w:hAnsi="Calibri"/>
          <w:sz w:val="21"/>
          <w:szCs w:val="21"/>
          <w:highlight w:val="none"/>
        </w:rPr>
        <w:t>(</w:t>
      </w:r>
      <w:r>
        <w:rPr>
          <w:rFonts w:hint="eastAsia" w:ascii="Calibri" w:hAnsi="Calibri"/>
          <w:sz w:val="21"/>
          <w:szCs w:val="21"/>
          <w:highlight w:val="none"/>
        </w:rPr>
        <w:t>2</w:t>
      </w:r>
      <w:r>
        <w:rPr>
          <w:rFonts w:ascii="Calibri" w:hAnsi="Calibri"/>
          <w:sz w:val="21"/>
          <w:szCs w:val="21"/>
          <w:highlight w:val="none"/>
        </w:rPr>
        <w:t>)</w:t>
      </w:r>
      <w:r>
        <w:rPr>
          <w:rFonts w:hint="eastAsia" w:ascii="Calibri" w:hAnsi="Calibri"/>
          <w:sz w:val="21"/>
          <w:szCs w:val="21"/>
          <w:highlight w:val="none"/>
        </w:rPr>
        <w:t xml:space="preserve"> 合同价格系指根据合同的规定，卖方在正确、完整地履行合同义务后，买方应向其支付的所有货款及报酬的金额。</w:t>
      </w:r>
    </w:p>
    <w:p w14:paraId="0974DFC9">
      <w:pPr>
        <w:spacing w:line="420" w:lineRule="exact"/>
        <w:ind w:firstLine="420" w:firstLineChars="200"/>
        <w:rPr>
          <w:rFonts w:hint="eastAsia" w:ascii="Calibri" w:hAnsi="Calibri" w:eastAsia="宋体"/>
          <w:sz w:val="21"/>
          <w:szCs w:val="21"/>
          <w:highlight w:val="none"/>
          <w:lang w:eastAsia="zh-CN"/>
        </w:rPr>
      </w:pPr>
      <w:r>
        <w:rPr>
          <w:rFonts w:ascii="Calibri" w:hAnsi="Calibri"/>
          <w:sz w:val="21"/>
          <w:szCs w:val="21"/>
          <w:highlight w:val="none"/>
        </w:rPr>
        <w:t>(</w:t>
      </w:r>
      <w:r>
        <w:rPr>
          <w:rFonts w:hint="eastAsia" w:ascii="Calibri" w:hAnsi="Calibri"/>
          <w:sz w:val="21"/>
          <w:szCs w:val="21"/>
          <w:highlight w:val="none"/>
        </w:rPr>
        <w:t>3</w:t>
      </w:r>
      <w:r>
        <w:rPr>
          <w:rFonts w:ascii="Calibri" w:hAnsi="Calibri"/>
          <w:sz w:val="21"/>
          <w:szCs w:val="21"/>
          <w:highlight w:val="none"/>
        </w:rPr>
        <w:t>)</w:t>
      </w:r>
      <w:r>
        <w:rPr>
          <w:rFonts w:hint="eastAsia" w:ascii="Calibri" w:hAnsi="Calibri"/>
          <w:sz w:val="21"/>
          <w:szCs w:val="21"/>
          <w:highlight w:val="none"/>
        </w:rPr>
        <w:t xml:space="preserve"> 货物系指卖方根据合同的规定须向买方提供的一切材料、设备、机械、仪表、备品、备件、工具和（或）其他设施。本合同中系指</w:t>
      </w:r>
      <w:r>
        <w:rPr>
          <w:rFonts w:hint="eastAsia" w:ascii="Calibri" w:hAnsi="Calibri"/>
          <w:sz w:val="21"/>
          <w:szCs w:val="21"/>
          <w:highlight w:val="none"/>
          <w:u w:val="single"/>
          <w:lang w:val="en-US" w:eastAsia="zh-CN"/>
        </w:rPr>
        <w:t>通州区应急水源地自控系统及监控安防改造升级</w:t>
      </w:r>
      <w:r>
        <w:rPr>
          <w:rFonts w:hint="eastAsia" w:ascii="Calibri" w:hAnsi="Calibri"/>
          <w:sz w:val="21"/>
          <w:szCs w:val="21"/>
          <w:highlight w:val="none"/>
          <w:u w:val="single"/>
        </w:rPr>
        <w:t>采购及安装</w:t>
      </w:r>
      <w:r>
        <w:rPr>
          <w:rFonts w:ascii="Calibri" w:hAnsi="Calibri"/>
          <w:sz w:val="21"/>
          <w:szCs w:val="21"/>
          <w:highlight w:val="none"/>
        </w:rPr>
        <w:t>，</w:t>
      </w:r>
      <w:r>
        <w:rPr>
          <w:rFonts w:hint="eastAsia" w:ascii="Calibri" w:hAnsi="Calibri"/>
          <w:sz w:val="21"/>
          <w:szCs w:val="21"/>
          <w:highlight w:val="none"/>
        </w:rPr>
        <w:t>履行合同过程中如出现</w:t>
      </w:r>
      <w:r>
        <w:rPr>
          <w:rFonts w:hint="eastAsia" w:ascii="Calibri" w:hAnsi="Calibri"/>
          <w:sz w:val="21"/>
          <w:szCs w:val="21"/>
          <w:highlight w:val="none"/>
          <w:lang w:val="en-US" w:eastAsia="zh-CN"/>
        </w:rPr>
        <w:t>清</w:t>
      </w:r>
      <w:r>
        <w:rPr>
          <w:rFonts w:hint="eastAsia" w:ascii="Calibri" w:hAnsi="Calibri"/>
          <w:sz w:val="21"/>
          <w:szCs w:val="21"/>
          <w:highlight w:val="none"/>
        </w:rPr>
        <w:t>单中未列入，但属于买方实现改造升级目的所必要的，卖方应负责补足，且所有费用由卖方承担</w:t>
      </w:r>
      <w:r>
        <w:rPr>
          <w:rFonts w:hint="eastAsia" w:ascii="Calibri" w:hAnsi="Calibri"/>
          <w:sz w:val="21"/>
          <w:szCs w:val="21"/>
          <w:highlight w:val="none"/>
          <w:lang w:eastAsia="zh-CN"/>
        </w:rPr>
        <w:t>。</w:t>
      </w:r>
    </w:p>
    <w:p w14:paraId="7183205E">
      <w:pPr>
        <w:spacing w:line="420" w:lineRule="exact"/>
        <w:ind w:firstLine="420" w:firstLineChars="200"/>
        <w:rPr>
          <w:rFonts w:ascii="Calibri" w:hAnsi="Calibri"/>
          <w:sz w:val="21"/>
          <w:szCs w:val="21"/>
          <w:highlight w:val="none"/>
        </w:rPr>
      </w:pPr>
      <w:r>
        <w:rPr>
          <w:rFonts w:ascii="Calibri" w:hAnsi="Calibri"/>
          <w:sz w:val="21"/>
          <w:szCs w:val="21"/>
          <w:highlight w:val="none"/>
        </w:rPr>
        <w:t>(</w:t>
      </w:r>
      <w:r>
        <w:rPr>
          <w:rFonts w:hint="eastAsia" w:ascii="Calibri" w:hAnsi="Calibri"/>
          <w:sz w:val="21"/>
          <w:szCs w:val="21"/>
          <w:highlight w:val="none"/>
        </w:rPr>
        <w:t>4</w:t>
      </w:r>
      <w:r>
        <w:rPr>
          <w:rFonts w:ascii="Calibri" w:hAnsi="Calibri"/>
          <w:sz w:val="21"/>
          <w:szCs w:val="21"/>
          <w:highlight w:val="none"/>
        </w:rPr>
        <w:t>)</w:t>
      </w:r>
      <w:r>
        <w:rPr>
          <w:rFonts w:hint="eastAsia" w:ascii="Calibri" w:hAnsi="Calibri"/>
          <w:sz w:val="21"/>
          <w:szCs w:val="21"/>
          <w:highlight w:val="none"/>
        </w:rPr>
        <w:t xml:space="preserve"> 服务系指根据合同的规定，卖方应提供的与所供货物有关的辅助服务，如运输、装卸、保险、安装调试、技术援助、人员培训、售后服务等以及合同中规定的卖方应承担的其他义务。</w:t>
      </w:r>
    </w:p>
    <w:p w14:paraId="742F3609">
      <w:pPr>
        <w:spacing w:line="420" w:lineRule="exact"/>
        <w:ind w:firstLine="420" w:firstLineChars="200"/>
        <w:rPr>
          <w:rFonts w:ascii="Calibri" w:hAnsi="Calibri"/>
          <w:sz w:val="21"/>
          <w:szCs w:val="21"/>
          <w:highlight w:val="none"/>
        </w:rPr>
      </w:pPr>
      <w:r>
        <w:rPr>
          <w:rFonts w:ascii="Calibri" w:hAnsi="Calibri"/>
          <w:sz w:val="21"/>
          <w:szCs w:val="21"/>
          <w:highlight w:val="none"/>
        </w:rPr>
        <w:t>(</w:t>
      </w:r>
      <w:r>
        <w:rPr>
          <w:rFonts w:hint="eastAsia" w:ascii="Calibri" w:hAnsi="Calibri"/>
          <w:sz w:val="21"/>
          <w:szCs w:val="21"/>
          <w:highlight w:val="none"/>
        </w:rPr>
        <w:t>5</w:t>
      </w:r>
      <w:r>
        <w:rPr>
          <w:rFonts w:ascii="Calibri" w:hAnsi="Calibri"/>
          <w:sz w:val="21"/>
          <w:szCs w:val="21"/>
          <w:highlight w:val="none"/>
        </w:rPr>
        <w:t>)</w:t>
      </w:r>
      <w:r>
        <w:rPr>
          <w:rFonts w:hint="eastAsia" w:ascii="Calibri" w:hAnsi="Calibri"/>
          <w:sz w:val="21"/>
          <w:szCs w:val="21"/>
          <w:highlight w:val="none"/>
        </w:rPr>
        <w:t xml:space="preserve"> 买方系指“合同条款前附表”第1项中所述的购买货物和服务的单位。</w:t>
      </w:r>
    </w:p>
    <w:p w14:paraId="584C4E8E">
      <w:pPr>
        <w:spacing w:line="420" w:lineRule="exact"/>
        <w:ind w:firstLine="420" w:firstLineChars="200"/>
        <w:rPr>
          <w:rFonts w:ascii="Calibri" w:hAnsi="Calibri"/>
          <w:sz w:val="21"/>
          <w:szCs w:val="21"/>
          <w:highlight w:val="none"/>
        </w:rPr>
      </w:pPr>
      <w:r>
        <w:rPr>
          <w:rFonts w:ascii="Calibri" w:hAnsi="Calibri"/>
          <w:sz w:val="21"/>
          <w:szCs w:val="21"/>
          <w:highlight w:val="none"/>
        </w:rPr>
        <w:t>(</w:t>
      </w:r>
      <w:r>
        <w:rPr>
          <w:rFonts w:hint="eastAsia" w:ascii="Calibri" w:hAnsi="Calibri"/>
          <w:sz w:val="21"/>
          <w:szCs w:val="21"/>
          <w:highlight w:val="none"/>
        </w:rPr>
        <w:t>6</w:t>
      </w:r>
      <w:r>
        <w:rPr>
          <w:rFonts w:ascii="Calibri" w:hAnsi="Calibri"/>
          <w:sz w:val="21"/>
          <w:szCs w:val="21"/>
          <w:highlight w:val="none"/>
        </w:rPr>
        <w:t>)</w:t>
      </w:r>
      <w:r>
        <w:rPr>
          <w:rFonts w:hint="eastAsia" w:ascii="Calibri" w:hAnsi="Calibri"/>
          <w:sz w:val="21"/>
          <w:szCs w:val="21"/>
          <w:highlight w:val="none"/>
        </w:rPr>
        <w:t xml:space="preserve"> 卖方系指“合同条款前附表”第2项中所述的提供货物和服务的公司或实体。</w:t>
      </w:r>
    </w:p>
    <w:p w14:paraId="498755B1">
      <w:pPr>
        <w:spacing w:line="420" w:lineRule="exact"/>
        <w:ind w:firstLine="420" w:firstLineChars="200"/>
        <w:rPr>
          <w:rFonts w:ascii="Calibri" w:hAnsi="Calibri"/>
          <w:sz w:val="21"/>
          <w:szCs w:val="21"/>
          <w:highlight w:val="none"/>
        </w:rPr>
      </w:pPr>
      <w:r>
        <w:rPr>
          <w:rFonts w:ascii="Calibri" w:hAnsi="Calibri"/>
          <w:sz w:val="21"/>
          <w:szCs w:val="21"/>
          <w:highlight w:val="none"/>
        </w:rPr>
        <w:t>(</w:t>
      </w:r>
      <w:r>
        <w:rPr>
          <w:rFonts w:hint="eastAsia" w:ascii="Calibri" w:hAnsi="Calibri"/>
          <w:sz w:val="21"/>
          <w:szCs w:val="21"/>
          <w:highlight w:val="none"/>
        </w:rPr>
        <w:t>7</w:t>
      </w:r>
      <w:r>
        <w:rPr>
          <w:rFonts w:ascii="Calibri" w:hAnsi="Calibri"/>
          <w:sz w:val="21"/>
          <w:szCs w:val="21"/>
          <w:highlight w:val="none"/>
        </w:rPr>
        <w:t>)</w:t>
      </w:r>
      <w:r>
        <w:rPr>
          <w:rFonts w:hint="eastAsia" w:ascii="Calibri" w:hAnsi="Calibri"/>
          <w:sz w:val="21"/>
          <w:szCs w:val="21"/>
          <w:highlight w:val="none"/>
        </w:rPr>
        <w:t xml:space="preserve"> 项目现场系指“合同条款前附表”第3项中指明的项目实施地点。</w:t>
      </w:r>
    </w:p>
    <w:p w14:paraId="1AB91E94">
      <w:pPr>
        <w:spacing w:line="420" w:lineRule="exact"/>
        <w:ind w:firstLine="420" w:firstLineChars="200"/>
        <w:rPr>
          <w:rFonts w:ascii="Calibri" w:hAnsi="Calibri"/>
          <w:sz w:val="21"/>
          <w:szCs w:val="21"/>
          <w:highlight w:val="none"/>
        </w:rPr>
      </w:pPr>
      <w:r>
        <w:rPr>
          <w:rFonts w:ascii="Calibri" w:hAnsi="Calibri"/>
          <w:sz w:val="21"/>
          <w:szCs w:val="21"/>
          <w:highlight w:val="none"/>
        </w:rPr>
        <w:t>(</w:t>
      </w:r>
      <w:r>
        <w:rPr>
          <w:rFonts w:hint="eastAsia" w:ascii="Calibri" w:hAnsi="Calibri"/>
          <w:sz w:val="21"/>
          <w:szCs w:val="21"/>
          <w:highlight w:val="none"/>
        </w:rPr>
        <w:t>8</w:t>
      </w:r>
      <w:r>
        <w:rPr>
          <w:rFonts w:ascii="Calibri" w:hAnsi="Calibri"/>
          <w:sz w:val="21"/>
          <w:szCs w:val="21"/>
          <w:highlight w:val="none"/>
        </w:rPr>
        <w:t>)</w:t>
      </w:r>
      <w:r>
        <w:rPr>
          <w:rFonts w:hint="eastAsia" w:ascii="Calibri" w:hAnsi="Calibri"/>
          <w:sz w:val="21"/>
          <w:szCs w:val="21"/>
          <w:highlight w:val="none"/>
        </w:rPr>
        <w:t xml:space="preserve"> “天”系指日历天数。</w:t>
      </w:r>
    </w:p>
    <w:p w14:paraId="6C0E7E0A">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  适用性</w:t>
      </w:r>
    </w:p>
    <w:p w14:paraId="0051142F">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本合同条款适用于未被合同其他部分规定所取代的范围，如出现合同其他部分规定与本合同条款不一致，以本合同条款约定优先适用。</w:t>
      </w:r>
    </w:p>
    <w:p w14:paraId="72BF64F0">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3  适用法律</w:t>
      </w:r>
    </w:p>
    <w:p w14:paraId="379E4C00">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本合同的适用法律为中华人民共和国的现行法律、法规。</w:t>
      </w:r>
    </w:p>
    <w:p w14:paraId="312EA35D">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4  适用语言和计量单位</w:t>
      </w:r>
    </w:p>
    <w:p w14:paraId="79DE67EA">
      <w:pPr>
        <w:spacing w:line="420" w:lineRule="exact"/>
        <w:ind w:firstLine="420" w:firstLineChars="200"/>
        <w:rPr>
          <w:rFonts w:ascii="Calibri" w:hAnsi="Calibri"/>
          <w:sz w:val="21"/>
          <w:szCs w:val="21"/>
          <w:highlight w:val="none"/>
        </w:rPr>
      </w:pPr>
      <w:r>
        <w:rPr>
          <w:rFonts w:ascii="Calibri" w:hAnsi="Calibri"/>
          <w:sz w:val="21"/>
          <w:szCs w:val="21"/>
          <w:highlight w:val="none"/>
        </w:rPr>
        <w:t>4.1</w:t>
      </w:r>
      <w:r>
        <w:rPr>
          <w:rFonts w:hint="eastAsia" w:ascii="Calibri" w:hAnsi="Calibri"/>
          <w:sz w:val="21"/>
          <w:szCs w:val="21"/>
          <w:highlight w:val="none"/>
        </w:rPr>
        <w:t xml:space="preserve">  本合同的适用语言为中文，所有与本合同有关的来往函件、通知及其他文件均应使用中文。</w:t>
      </w:r>
    </w:p>
    <w:p w14:paraId="49603398">
      <w:pPr>
        <w:spacing w:line="420" w:lineRule="exact"/>
        <w:ind w:firstLine="420" w:firstLineChars="200"/>
        <w:rPr>
          <w:rFonts w:ascii="Calibri" w:hAnsi="Calibri"/>
          <w:sz w:val="21"/>
          <w:szCs w:val="21"/>
          <w:highlight w:val="none"/>
        </w:rPr>
      </w:pPr>
      <w:r>
        <w:rPr>
          <w:rFonts w:ascii="Calibri" w:hAnsi="Calibri"/>
          <w:sz w:val="21"/>
          <w:szCs w:val="21"/>
          <w:highlight w:val="none"/>
        </w:rPr>
        <w:t>4.2</w:t>
      </w:r>
      <w:r>
        <w:rPr>
          <w:rFonts w:hint="eastAsia" w:ascii="Calibri" w:hAnsi="Calibri"/>
          <w:sz w:val="21"/>
          <w:szCs w:val="21"/>
          <w:highlight w:val="none"/>
        </w:rPr>
        <w:t xml:space="preserve">  除另有规定外，计量单位应采用中华人民共和国法定计量单位。</w:t>
      </w:r>
    </w:p>
    <w:p w14:paraId="766BB251">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5  原产地</w:t>
      </w:r>
    </w:p>
    <w:p w14:paraId="32439A20">
      <w:pPr>
        <w:spacing w:line="420" w:lineRule="exact"/>
        <w:ind w:firstLine="420" w:firstLineChars="200"/>
        <w:rPr>
          <w:rFonts w:ascii="Calibri" w:hAnsi="Calibri"/>
          <w:sz w:val="21"/>
          <w:szCs w:val="21"/>
          <w:highlight w:val="none"/>
        </w:rPr>
      </w:pPr>
      <w:r>
        <w:rPr>
          <w:rFonts w:ascii="Calibri" w:hAnsi="Calibri"/>
          <w:sz w:val="21"/>
          <w:szCs w:val="21"/>
          <w:highlight w:val="none"/>
        </w:rPr>
        <w:t>5.1</w:t>
      </w:r>
      <w:r>
        <w:rPr>
          <w:rFonts w:hint="eastAsia" w:ascii="Calibri" w:hAnsi="Calibri"/>
          <w:sz w:val="21"/>
          <w:szCs w:val="21"/>
          <w:highlight w:val="none"/>
        </w:rPr>
        <w:t xml:space="preserve">  本条所述的“原产地”系指货物的开采、生长或生产地，或者为所供服务的来源地。经过制造、加工的产品或经过实质上组装主要元部件而形成的产品均可称为货物。商业上公认的新产品是指在基本特征、目的或功能上与元部件有实质性区别的产品。</w:t>
      </w:r>
    </w:p>
    <w:p w14:paraId="6D76F64D">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5.2  </w:t>
      </w:r>
      <w:r>
        <w:rPr>
          <w:rFonts w:hint="eastAsia" w:ascii="Calibri" w:hAnsi="Calibri"/>
          <w:sz w:val="21"/>
          <w:szCs w:val="21"/>
          <w:highlight w:val="none"/>
        </w:rPr>
        <w:t>货物和服务的原产地有别于卖方的国籍。</w:t>
      </w:r>
    </w:p>
    <w:p w14:paraId="5863A919">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6  标准和规格</w:t>
      </w:r>
    </w:p>
    <w:p w14:paraId="3E9F102D">
      <w:pPr>
        <w:spacing w:line="420" w:lineRule="exact"/>
        <w:ind w:firstLine="420" w:firstLineChars="200"/>
        <w:rPr>
          <w:rFonts w:ascii="Calibri" w:hAnsi="Calibri"/>
          <w:sz w:val="21"/>
          <w:szCs w:val="21"/>
          <w:highlight w:val="none"/>
        </w:rPr>
      </w:pPr>
      <w:r>
        <w:rPr>
          <w:rFonts w:ascii="Calibri" w:hAnsi="Calibri"/>
          <w:sz w:val="21"/>
          <w:szCs w:val="21"/>
          <w:highlight w:val="none"/>
        </w:rPr>
        <w:t>6.1</w:t>
      </w:r>
      <w:r>
        <w:rPr>
          <w:rFonts w:hint="eastAsia" w:ascii="Calibri" w:hAnsi="Calibri"/>
          <w:sz w:val="21"/>
          <w:szCs w:val="21"/>
          <w:highlight w:val="none"/>
        </w:rPr>
        <w:t xml:space="preserve">  本合同下交付的货物应与招标文件中规定的“设备选型设计说明”、“技术性能及服务条款”和其附件及其投标（响应）文件的规格偏差表（如有的话）相一致。如果在“设备选型设计说明”、“技术性能及服务条款”和其附件中没有提及适用标准或技术规范说明不明确的，则应符合货物原产地适用的官方标准。这些标准必须是有关机构发布的最新版本的标准。</w:t>
      </w:r>
    </w:p>
    <w:p w14:paraId="38766C65">
      <w:pPr>
        <w:spacing w:line="420" w:lineRule="exact"/>
        <w:ind w:firstLine="420" w:firstLineChars="200"/>
        <w:rPr>
          <w:rFonts w:ascii="Calibri" w:hAnsi="Calibri"/>
          <w:sz w:val="21"/>
          <w:szCs w:val="21"/>
          <w:highlight w:val="none"/>
        </w:rPr>
      </w:pPr>
      <w:r>
        <w:rPr>
          <w:rFonts w:ascii="Calibri" w:hAnsi="Calibri"/>
          <w:sz w:val="21"/>
          <w:szCs w:val="21"/>
          <w:highlight w:val="none"/>
        </w:rPr>
        <w:t>6.2</w:t>
      </w:r>
      <w:r>
        <w:rPr>
          <w:rFonts w:hint="eastAsia" w:ascii="Calibri" w:hAnsi="Calibri"/>
          <w:sz w:val="21"/>
          <w:szCs w:val="21"/>
          <w:highlight w:val="none"/>
        </w:rPr>
        <w:t xml:space="preserve">  本合同下提供的运输、保险、安装调试、质量保证（修）等服务，应符合招标文件和合同规定的要求以及中华人民共和国现行国家标准、行业标准或地方标准中要求高的标准。</w:t>
      </w:r>
    </w:p>
    <w:p w14:paraId="589827FA">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7  专利权</w:t>
      </w:r>
    </w:p>
    <w:p w14:paraId="32843232">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卖方应保证买方在使用该货物或其任何一部分时，免受第三方提出侵犯其专利权、商标权或工业设计权的起诉。任何第三方如果提出侵权指控，卖方必须与第三方交涉并承担可能发生的一切法律责任和费用。</w:t>
      </w:r>
    </w:p>
    <w:p w14:paraId="692AC0CA">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8  合同价格</w:t>
      </w:r>
    </w:p>
    <w:p w14:paraId="106FB51E">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8.1卖方在正确、完整地履行本合同规定的义务后，买方应向其支付“合同条款前附表”第4项所规定的合同价格。合同价格是卖方将货物运达买方指定的现场并安装调试合格直至交付使用且完成质量保证（修）义务的价格（其中包括卖方自制的或外购的全部设备、材料的价格，随货物提供的备品备件及专用工具的价格），包括设备成本（含备品备件费）、包装费、装卸费、运输费、劳务费、供销部门手续费、环保费、安装部件费、安装调试费、检验和试验费、保险、利润、税金（也含关税、增值税）、人员培训和质量保证（修）等售后服务费、政策性文件规定及合同包含的所有风险、责任等各项应有费用；</w:t>
      </w:r>
      <w:r>
        <w:rPr>
          <w:rFonts w:hint="eastAsia" w:ascii="Calibri" w:hAnsi="Calibri"/>
          <w:sz w:val="21"/>
          <w:szCs w:val="21"/>
          <w:highlight w:val="none"/>
          <w:lang w:val="en-US" w:eastAsia="zh-CN"/>
        </w:rPr>
        <w:t>含现场施工、PLC调试、原有自控系统优化、监控施工（包含维修老视频监控，将新、老监控整合到同一个客户端操作、显示等）等。</w:t>
      </w:r>
      <w:r>
        <w:rPr>
          <w:rFonts w:hint="eastAsia" w:ascii="Calibri" w:hAnsi="Calibri"/>
          <w:sz w:val="21"/>
          <w:szCs w:val="21"/>
          <w:highlight w:val="none"/>
        </w:rPr>
        <w:t>该合同价格在合同实施期间不因市场变化因素而变动。</w:t>
      </w:r>
    </w:p>
    <w:p w14:paraId="6178DB05">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8.2 在货物安装、调试、验收过程中，如发现有漏洞、缺件，卖方应无条件、无偿补齐，所发生的费用视为已在合同价格之中，且不因此而影响交付买方使用的时间。</w:t>
      </w:r>
    </w:p>
    <w:p w14:paraId="2D42F526">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9  保险</w:t>
      </w:r>
    </w:p>
    <w:p w14:paraId="766D4939">
      <w:pPr>
        <w:spacing w:line="420" w:lineRule="exact"/>
        <w:rPr>
          <w:rFonts w:ascii="Calibri" w:hAnsi="Calibri"/>
          <w:sz w:val="21"/>
          <w:szCs w:val="21"/>
          <w:highlight w:val="none"/>
        </w:rPr>
      </w:pPr>
      <w:r>
        <w:rPr>
          <w:rFonts w:hint="eastAsia" w:ascii="Calibri" w:hAnsi="Calibri"/>
          <w:sz w:val="21"/>
          <w:szCs w:val="21"/>
          <w:highlight w:val="none"/>
        </w:rPr>
        <w:t xml:space="preserve">    9.1卖方应负责办理货物从出厂地运抵项目现场途中（包括装卸）的保险，并支付相关费用。</w:t>
      </w:r>
    </w:p>
    <w:p w14:paraId="7796FB73">
      <w:pPr>
        <w:spacing w:line="420" w:lineRule="exact"/>
        <w:rPr>
          <w:rFonts w:ascii="Calibri" w:hAnsi="Calibri"/>
          <w:sz w:val="21"/>
          <w:szCs w:val="21"/>
          <w:highlight w:val="none"/>
        </w:rPr>
      </w:pPr>
      <w:r>
        <w:rPr>
          <w:rFonts w:hint="eastAsia" w:ascii="Calibri" w:hAnsi="Calibri"/>
          <w:sz w:val="21"/>
          <w:szCs w:val="21"/>
          <w:highlight w:val="none"/>
        </w:rPr>
        <w:t xml:space="preserve">    9.2卖方承担了所供货物的安装调试施工服务，即为专项交钥匙工程，卖方应充分考虑在最终验收移交前可能发生的潜在的各类风险，并自行办理相关工程、设备、人员的投保，因为安装调试施工中的安全由卖方自行负责。</w:t>
      </w:r>
    </w:p>
    <w:p w14:paraId="1C232920">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10  包装要求</w:t>
      </w:r>
    </w:p>
    <w:p w14:paraId="5E3314BE">
      <w:pPr>
        <w:spacing w:line="420" w:lineRule="exact"/>
        <w:ind w:firstLine="420" w:firstLineChars="200"/>
        <w:rPr>
          <w:rFonts w:ascii="Calibri" w:hAnsi="Calibri"/>
          <w:sz w:val="21"/>
          <w:szCs w:val="21"/>
          <w:highlight w:val="none"/>
        </w:rPr>
      </w:pPr>
      <w:r>
        <w:rPr>
          <w:rFonts w:ascii="Calibri" w:hAnsi="Calibri"/>
          <w:sz w:val="21"/>
          <w:szCs w:val="21"/>
          <w:highlight w:val="none"/>
        </w:rPr>
        <w:t>10.1</w:t>
      </w:r>
      <w:r>
        <w:rPr>
          <w:rFonts w:hint="eastAsia" w:ascii="Calibri" w:hAnsi="Calibri"/>
          <w:sz w:val="21"/>
          <w:szCs w:val="21"/>
          <w:highlight w:val="none"/>
        </w:rPr>
        <w:t xml:space="preserve">  除在合同中另有规定外，卖方提供的全部货物均应按国家标准保护措施进行包装，这类包装应适应于远距离运输，并能防淋、防晒、防潮、防震、防锈和防野蛮装卸，以确保货物安全无损地运抵项目现场。</w:t>
      </w:r>
    </w:p>
    <w:p w14:paraId="52175F0B">
      <w:pPr>
        <w:spacing w:line="420" w:lineRule="exact"/>
        <w:ind w:firstLine="420" w:firstLineChars="200"/>
        <w:rPr>
          <w:rFonts w:ascii="Calibri" w:hAnsi="Calibri"/>
          <w:sz w:val="21"/>
          <w:szCs w:val="21"/>
          <w:highlight w:val="none"/>
        </w:rPr>
      </w:pPr>
      <w:r>
        <w:rPr>
          <w:rFonts w:ascii="Calibri" w:hAnsi="Calibri"/>
          <w:sz w:val="21"/>
          <w:szCs w:val="21"/>
          <w:highlight w:val="none"/>
        </w:rPr>
        <w:t>10.2</w:t>
      </w:r>
      <w:r>
        <w:rPr>
          <w:rFonts w:hint="eastAsia" w:ascii="Calibri" w:hAnsi="Calibri"/>
          <w:sz w:val="21"/>
          <w:szCs w:val="21"/>
          <w:highlight w:val="none"/>
        </w:rPr>
        <w:t xml:space="preserve">  每一批货物均应附有详细的货物装箱单、质量证明书、检验合格证书、质保书等，进口产品应附有海关报关单（或成批设备进口报关单复印件），所有上述资料必须随货物一起提供给买方。</w:t>
      </w:r>
    </w:p>
    <w:p w14:paraId="0F871EBE">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11  包装标志</w:t>
      </w:r>
    </w:p>
    <w:p w14:paraId="33D72308">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11.1卖方应在每一包装箱的相邻四侧用不褪色的油漆以醒目的中文字样标出每一批货物应标明的包装标志。</w:t>
      </w:r>
    </w:p>
    <w:p w14:paraId="30987715">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11.2根据货物的特点和运输的不同要求，卖方应在包装箱上清楚地标出“小心轻放”、“请勿倒置”和“防潮”等字样以及其它适当的标志。</w:t>
      </w:r>
    </w:p>
    <w:p w14:paraId="06622FF6">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12  装运条件</w:t>
      </w:r>
    </w:p>
    <w:p w14:paraId="07CC32EE">
      <w:pPr>
        <w:spacing w:line="420" w:lineRule="exact"/>
        <w:ind w:firstLine="420" w:firstLineChars="200"/>
        <w:rPr>
          <w:rFonts w:ascii="Calibri" w:hAnsi="Calibri"/>
          <w:sz w:val="21"/>
          <w:szCs w:val="21"/>
          <w:highlight w:val="none"/>
        </w:rPr>
      </w:pPr>
      <w:r>
        <w:rPr>
          <w:rFonts w:ascii="Calibri" w:hAnsi="Calibri"/>
          <w:sz w:val="21"/>
          <w:szCs w:val="21"/>
          <w:highlight w:val="none"/>
        </w:rPr>
        <w:t>12.1</w:t>
      </w:r>
      <w:r>
        <w:rPr>
          <w:rFonts w:hint="eastAsia" w:ascii="Calibri" w:hAnsi="Calibri"/>
          <w:sz w:val="21"/>
          <w:szCs w:val="21"/>
          <w:highlight w:val="none"/>
        </w:rPr>
        <w:t xml:space="preserve">  卖方应负责将货物从出厂地运抵买方指定的现场，并支付相关费用；</w:t>
      </w:r>
    </w:p>
    <w:p w14:paraId="56E555C0">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12.2  </w:t>
      </w:r>
      <w:r>
        <w:rPr>
          <w:rFonts w:hint="eastAsia" w:ascii="Calibri" w:hAnsi="Calibri"/>
          <w:sz w:val="21"/>
          <w:szCs w:val="21"/>
          <w:highlight w:val="none"/>
        </w:rPr>
        <w:t>卖方装运的货物不应超过合同规定的数量或重量，否则，由此超装而导致的一切后果均应由卖方负责。</w:t>
      </w:r>
    </w:p>
    <w:p w14:paraId="7B508DF2">
      <w:pPr>
        <w:spacing w:line="420" w:lineRule="exact"/>
        <w:ind w:firstLine="420" w:firstLineChars="200"/>
        <w:rPr>
          <w:rFonts w:ascii="黑体" w:hAnsi="Calibri" w:eastAsia="黑体"/>
          <w:sz w:val="21"/>
          <w:szCs w:val="21"/>
          <w:highlight w:val="none"/>
        </w:rPr>
      </w:pPr>
      <w:r>
        <w:rPr>
          <w:rFonts w:ascii="黑体" w:hAnsi="Calibri" w:eastAsia="黑体"/>
          <w:sz w:val="21"/>
          <w:szCs w:val="21"/>
          <w:highlight w:val="none"/>
        </w:rPr>
        <w:t>13</w:t>
      </w:r>
      <w:r>
        <w:rPr>
          <w:rFonts w:hint="eastAsia" w:ascii="黑体" w:hAnsi="Calibri" w:eastAsia="黑体"/>
          <w:sz w:val="21"/>
          <w:szCs w:val="21"/>
          <w:highlight w:val="none"/>
        </w:rPr>
        <w:t xml:space="preserve">  装运通知</w:t>
      </w:r>
    </w:p>
    <w:p w14:paraId="5B5E6B42">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卖方应按下列要求发出装运通知：</w:t>
      </w:r>
    </w:p>
    <w:p w14:paraId="426CD768">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在合同规定的买方现场工程师书面指定的到货日期的七日之前，以传真或特快专递形式将合同号、货物名称、规格、数量、总重量等通知买方。</w:t>
      </w:r>
    </w:p>
    <w:p w14:paraId="0D75870C">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14  单据</w:t>
      </w:r>
    </w:p>
    <w:p w14:paraId="48C31776">
      <w:pPr>
        <w:spacing w:line="420" w:lineRule="exact"/>
        <w:ind w:firstLine="420" w:firstLineChars="200"/>
        <w:rPr>
          <w:rFonts w:ascii="Calibri" w:hAnsi="Calibri"/>
          <w:sz w:val="21"/>
          <w:szCs w:val="21"/>
          <w:highlight w:val="none"/>
        </w:rPr>
      </w:pPr>
      <w:r>
        <w:rPr>
          <w:rFonts w:ascii="Calibri" w:hAnsi="Calibri"/>
          <w:sz w:val="21"/>
          <w:szCs w:val="21"/>
          <w:highlight w:val="none"/>
        </w:rPr>
        <w:t>14.</w:t>
      </w:r>
      <w:r>
        <w:rPr>
          <w:rFonts w:hint="eastAsia" w:ascii="Calibri" w:hAnsi="Calibri"/>
          <w:sz w:val="21"/>
          <w:szCs w:val="21"/>
          <w:highlight w:val="none"/>
        </w:rPr>
        <w:t>1  卖方在合同生效后，货物全部送达项目现场后申请支付货款时，应提供下列单据：</w:t>
      </w:r>
    </w:p>
    <w:p w14:paraId="6DAEB322">
      <w:pPr>
        <w:spacing w:line="420" w:lineRule="exact"/>
        <w:ind w:firstLine="420" w:firstLineChars="200"/>
        <w:rPr>
          <w:rFonts w:ascii="Calibri" w:hAnsi="Calibri"/>
          <w:sz w:val="21"/>
          <w:szCs w:val="21"/>
          <w:highlight w:val="none"/>
        </w:rPr>
      </w:pPr>
      <w:r>
        <w:rPr>
          <w:rFonts w:ascii="Calibri" w:hAnsi="Calibri"/>
          <w:sz w:val="21"/>
          <w:szCs w:val="21"/>
          <w:highlight w:val="none"/>
        </w:rPr>
        <w:t>14.1.1</w:t>
      </w:r>
      <w:r>
        <w:rPr>
          <w:rFonts w:hint="eastAsia" w:ascii="Calibri" w:hAnsi="Calibri"/>
          <w:sz w:val="21"/>
          <w:szCs w:val="21"/>
          <w:highlight w:val="none"/>
        </w:rPr>
        <w:t xml:space="preserve">  金额与要求支付款项相符的商业发票；</w:t>
      </w:r>
    </w:p>
    <w:p w14:paraId="7477DEB8">
      <w:pPr>
        <w:spacing w:line="420" w:lineRule="exact"/>
        <w:ind w:firstLine="420" w:firstLineChars="200"/>
        <w:rPr>
          <w:rFonts w:ascii="Calibri" w:hAnsi="Calibri"/>
          <w:sz w:val="21"/>
          <w:szCs w:val="21"/>
          <w:highlight w:val="none"/>
        </w:rPr>
      </w:pPr>
      <w:r>
        <w:rPr>
          <w:rFonts w:ascii="Calibri" w:hAnsi="Calibri"/>
          <w:sz w:val="21"/>
          <w:szCs w:val="21"/>
          <w:highlight w:val="none"/>
        </w:rPr>
        <w:t>14.1.2</w:t>
      </w:r>
      <w:r>
        <w:rPr>
          <w:rFonts w:hint="eastAsia" w:ascii="Calibri" w:hAnsi="Calibri"/>
          <w:sz w:val="21"/>
          <w:szCs w:val="21"/>
          <w:highlight w:val="none"/>
        </w:rPr>
        <w:t xml:space="preserve">  制造厂出具的货物检验合格证书；</w:t>
      </w:r>
    </w:p>
    <w:p w14:paraId="2899CFAE">
      <w:pPr>
        <w:spacing w:line="420" w:lineRule="exact"/>
        <w:ind w:firstLine="420" w:firstLineChars="200"/>
        <w:rPr>
          <w:rFonts w:ascii="Calibri" w:hAnsi="Calibri"/>
          <w:sz w:val="21"/>
          <w:szCs w:val="21"/>
          <w:highlight w:val="none"/>
        </w:rPr>
      </w:pPr>
      <w:r>
        <w:rPr>
          <w:rFonts w:ascii="Calibri" w:hAnsi="Calibri"/>
          <w:sz w:val="21"/>
          <w:szCs w:val="21"/>
          <w:highlight w:val="none"/>
        </w:rPr>
        <w:t>14.</w:t>
      </w:r>
      <w:r>
        <w:rPr>
          <w:rFonts w:hint="eastAsia" w:ascii="Calibri" w:hAnsi="Calibri"/>
          <w:sz w:val="21"/>
          <w:szCs w:val="21"/>
          <w:highlight w:val="none"/>
        </w:rPr>
        <w:t>1</w:t>
      </w:r>
      <w:r>
        <w:rPr>
          <w:rFonts w:ascii="Calibri" w:hAnsi="Calibri"/>
          <w:sz w:val="21"/>
          <w:szCs w:val="21"/>
          <w:highlight w:val="none"/>
        </w:rPr>
        <w:t>.</w:t>
      </w:r>
      <w:r>
        <w:rPr>
          <w:rFonts w:hint="eastAsia" w:ascii="Calibri" w:hAnsi="Calibri"/>
          <w:sz w:val="21"/>
          <w:szCs w:val="21"/>
          <w:highlight w:val="none"/>
        </w:rPr>
        <w:t>3  买方出具的到货检验合格证书；</w:t>
      </w:r>
    </w:p>
    <w:p w14:paraId="085578E6">
      <w:pPr>
        <w:spacing w:line="420" w:lineRule="exact"/>
        <w:ind w:firstLine="420" w:firstLineChars="200"/>
        <w:rPr>
          <w:rFonts w:ascii="Calibri" w:hAnsi="Calibri"/>
          <w:sz w:val="21"/>
          <w:szCs w:val="21"/>
          <w:highlight w:val="none"/>
        </w:rPr>
      </w:pPr>
      <w:r>
        <w:rPr>
          <w:rFonts w:ascii="Calibri" w:hAnsi="Calibri"/>
          <w:sz w:val="21"/>
          <w:szCs w:val="21"/>
          <w:highlight w:val="none"/>
        </w:rPr>
        <w:t>14.</w:t>
      </w:r>
      <w:r>
        <w:rPr>
          <w:rFonts w:hint="eastAsia" w:ascii="Calibri" w:hAnsi="Calibri"/>
          <w:sz w:val="21"/>
          <w:szCs w:val="21"/>
          <w:highlight w:val="none"/>
        </w:rPr>
        <w:t>2  成套设备安装调试合格，试运转完成并经相关部门验收通过后向买方书面提出付款要求时，提供下列单据：</w:t>
      </w:r>
    </w:p>
    <w:p w14:paraId="2D33A01A">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14.2.1  已提供全额的商业发票；</w:t>
      </w:r>
    </w:p>
    <w:p w14:paraId="59B56C2D">
      <w:pPr>
        <w:spacing w:line="420" w:lineRule="exact"/>
        <w:ind w:firstLine="420" w:firstLineChars="200"/>
        <w:rPr>
          <w:rFonts w:ascii="Calibri" w:hAnsi="Calibri"/>
          <w:sz w:val="21"/>
          <w:szCs w:val="21"/>
          <w:highlight w:val="none"/>
        </w:rPr>
      </w:pPr>
      <w:r>
        <w:rPr>
          <w:rFonts w:ascii="Calibri" w:hAnsi="Calibri"/>
          <w:sz w:val="21"/>
          <w:szCs w:val="21"/>
          <w:highlight w:val="none"/>
        </w:rPr>
        <w:t>14.</w:t>
      </w:r>
      <w:r>
        <w:rPr>
          <w:rFonts w:hint="eastAsia" w:ascii="Calibri" w:hAnsi="Calibri"/>
          <w:sz w:val="21"/>
          <w:szCs w:val="21"/>
          <w:highlight w:val="none"/>
        </w:rPr>
        <w:t>2</w:t>
      </w:r>
      <w:r>
        <w:rPr>
          <w:rFonts w:ascii="Calibri" w:hAnsi="Calibri"/>
          <w:sz w:val="21"/>
          <w:szCs w:val="21"/>
          <w:highlight w:val="none"/>
        </w:rPr>
        <w:t>.</w:t>
      </w:r>
      <w:r>
        <w:rPr>
          <w:rFonts w:hint="eastAsia" w:ascii="Calibri" w:hAnsi="Calibri"/>
          <w:sz w:val="21"/>
          <w:szCs w:val="21"/>
          <w:highlight w:val="none"/>
        </w:rPr>
        <w:t>2  安装调试结束并通过验收的相关证明材料。</w:t>
      </w:r>
    </w:p>
    <w:p w14:paraId="1B5C210A">
      <w:pPr>
        <w:spacing w:line="420" w:lineRule="exact"/>
        <w:ind w:firstLine="420" w:firstLineChars="200"/>
        <w:rPr>
          <w:rFonts w:ascii="黑体" w:hAnsi="Calibri" w:eastAsia="黑体"/>
          <w:sz w:val="21"/>
          <w:szCs w:val="21"/>
          <w:highlight w:val="none"/>
        </w:rPr>
      </w:pPr>
      <w:r>
        <w:rPr>
          <w:rFonts w:ascii="黑体" w:hAnsi="Calibri" w:eastAsia="黑体"/>
          <w:sz w:val="21"/>
          <w:szCs w:val="21"/>
          <w:highlight w:val="none"/>
        </w:rPr>
        <w:t>15</w:t>
      </w:r>
      <w:r>
        <w:rPr>
          <w:rFonts w:hint="eastAsia" w:ascii="黑体" w:hAnsi="Calibri" w:eastAsia="黑体"/>
          <w:sz w:val="21"/>
          <w:szCs w:val="21"/>
          <w:highlight w:val="none"/>
        </w:rPr>
        <w:t xml:space="preserve">  支付</w:t>
      </w:r>
    </w:p>
    <w:p w14:paraId="4F683032">
      <w:pPr>
        <w:spacing w:line="420" w:lineRule="exact"/>
        <w:ind w:firstLine="420" w:firstLineChars="200"/>
        <w:rPr>
          <w:rFonts w:ascii="Calibri" w:hAnsi="Calibri"/>
          <w:sz w:val="21"/>
          <w:szCs w:val="21"/>
          <w:highlight w:val="none"/>
        </w:rPr>
      </w:pPr>
      <w:r>
        <w:rPr>
          <w:rFonts w:ascii="Calibri" w:hAnsi="Calibri"/>
          <w:sz w:val="21"/>
          <w:szCs w:val="21"/>
          <w:highlight w:val="none"/>
        </w:rPr>
        <w:t>15.1</w:t>
      </w:r>
      <w:r>
        <w:rPr>
          <w:rFonts w:hint="eastAsia" w:ascii="Calibri" w:hAnsi="Calibri"/>
          <w:sz w:val="21"/>
          <w:szCs w:val="21"/>
          <w:highlight w:val="none"/>
        </w:rPr>
        <w:t xml:space="preserve">  价格应以“合同条款前附表”第4项中所规定的币种支付。</w:t>
      </w:r>
    </w:p>
    <w:p w14:paraId="21699BC0">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15.2  </w:t>
      </w:r>
      <w:r>
        <w:rPr>
          <w:rFonts w:hint="eastAsia" w:ascii="Calibri" w:hAnsi="Calibri"/>
          <w:sz w:val="21"/>
          <w:szCs w:val="21"/>
          <w:highlight w:val="none"/>
        </w:rPr>
        <w:t>买方应按“合同条款前附表”第5项中所规定的付款计划完成合同价格的支付，逾期按应付款同期银行贷款利率两倍计算的利息承担违约金。</w:t>
      </w:r>
    </w:p>
    <w:p w14:paraId="19D59DD2">
      <w:pPr>
        <w:spacing w:line="420" w:lineRule="exact"/>
        <w:ind w:firstLine="420" w:firstLineChars="200"/>
        <w:rPr>
          <w:rFonts w:ascii="Calibri" w:hAnsi="Calibri"/>
          <w:sz w:val="21"/>
          <w:szCs w:val="21"/>
          <w:highlight w:val="none"/>
        </w:rPr>
      </w:pPr>
      <w:r>
        <w:rPr>
          <w:rFonts w:ascii="Calibri" w:hAnsi="Calibri"/>
          <w:sz w:val="21"/>
          <w:szCs w:val="21"/>
          <w:highlight w:val="none"/>
        </w:rPr>
        <w:t>15.3</w:t>
      </w:r>
      <w:r>
        <w:rPr>
          <w:rFonts w:hint="eastAsia" w:ascii="Calibri" w:hAnsi="Calibri"/>
          <w:sz w:val="21"/>
          <w:szCs w:val="21"/>
          <w:highlight w:val="none"/>
        </w:rPr>
        <w:t xml:space="preserve">  卖方应以书面形式提出付款要求，并附上“合同条款”第14条规定的单据以及合同规定的有关义务已经履行的证明。</w:t>
      </w:r>
    </w:p>
    <w:p w14:paraId="73B449A9">
      <w:pPr>
        <w:spacing w:line="420" w:lineRule="exact"/>
        <w:ind w:firstLine="420" w:firstLineChars="200"/>
        <w:rPr>
          <w:rFonts w:ascii="Calibri" w:hAnsi="Calibri"/>
          <w:sz w:val="21"/>
          <w:szCs w:val="21"/>
          <w:highlight w:val="none"/>
        </w:rPr>
      </w:pPr>
      <w:r>
        <w:rPr>
          <w:rFonts w:ascii="Calibri" w:hAnsi="Calibri"/>
          <w:sz w:val="21"/>
          <w:szCs w:val="21"/>
          <w:highlight w:val="none"/>
        </w:rPr>
        <w:t>15.4</w:t>
      </w:r>
      <w:r>
        <w:rPr>
          <w:rFonts w:hint="eastAsia" w:ascii="Calibri" w:hAnsi="Calibri"/>
          <w:sz w:val="21"/>
          <w:szCs w:val="21"/>
          <w:highlight w:val="none"/>
        </w:rPr>
        <w:t xml:space="preserve">  买方的付款应当及时，在任何情况下，支付应在收到卖方的书面付款要求以及“合同条款”第14条规定单据并经审核无误后的</w:t>
      </w:r>
      <w:r>
        <w:rPr>
          <w:rFonts w:hint="eastAsia" w:ascii="Calibri" w:hAnsi="Calibri"/>
          <w:sz w:val="21"/>
          <w:szCs w:val="21"/>
          <w:highlight w:val="none"/>
          <w:lang w:val="en-US" w:eastAsia="zh-CN"/>
        </w:rPr>
        <w:t>2</w:t>
      </w:r>
      <w:r>
        <w:rPr>
          <w:rFonts w:hint="eastAsia" w:ascii="Calibri" w:hAnsi="Calibri"/>
          <w:sz w:val="21"/>
          <w:szCs w:val="21"/>
          <w:highlight w:val="none"/>
        </w:rPr>
        <w:t>0天内完成。如买方在审核有关单据时发现了错误或问题，应及时以书面形式通知卖方。</w:t>
      </w:r>
    </w:p>
    <w:p w14:paraId="49C4DD18">
      <w:pPr>
        <w:spacing w:line="420" w:lineRule="exact"/>
        <w:ind w:firstLine="420" w:firstLineChars="200"/>
        <w:rPr>
          <w:rFonts w:ascii="Calibri" w:hAnsi="Calibri"/>
          <w:sz w:val="21"/>
          <w:szCs w:val="21"/>
          <w:highlight w:val="none"/>
        </w:rPr>
      </w:pPr>
      <w:r>
        <w:rPr>
          <w:rFonts w:ascii="Calibri" w:hAnsi="Calibri"/>
          <w:sz w:val="21"/>
          <w:szCs w:val="21"/>
          <w:highlight w:val="none"/>
        </w:rPr>
        <w:t>15.5</w:t>
      </w:r>
      <w:r>
        <w:rPr>
          <w:rFonts w:hint="eastAsia" w:ascii="Calibri" w:hAnsi="Calibri"/>
          <w:sz w:val="21"/>
          <w:szCs w:val="21"/>
          <w:highlight w:val="none"/>
        </w:rPr>
        <w:t xml:space="preserve">  卖方未及时开具票据或提供相应证明，买方有权拒绝付款且不承担违约责任，同时卖方不得以此拖延、拒绝履行交货、安装调试及验收交付的义务。</w:t>
      </w:r>
    </w:p>
    <w:p w14:paraId="254BC2C4">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15.6  支付过程中发生的银行费用应由各方各自承担。</w:t>
      </w:r>
    </w:p>
    <w:p w14:paraId="48763CD2">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16  检验和验收</w:t>
      </w:r>
    </w:p>
    <w:p w14:paraId="70C595A8">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16.1 </w:t>
      </w:r>
      <w:r>
        <w:rPr>
          <w:rFonts w:hint="eastAsia" w:ascii="Calibri" w:hAnsi="Calibri"/>
          <w:sz w:val="21"/>
          <w:szCs w:val="21"/>
          <w:highlight w:val="none"/>
        </w:rPr>
        <w:t xml:space="preserve"> 在货物制造过程中，买方有权派人参与监造，卖方应对此给予配合和支持，并给买方监造人员提供工作和生活上的方便。买方人员不签署任何质量证明，买方人员参与监造不解除卖方的任何责任，也不替代到货后的检验和验收。</w:t>
      </w:r>
    </w:p>
    <w:p w14:paraId="569DF0F1">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16.2  在交货前，制造厂应对货物的质量、规格、性能、数量和重量等进行全面、细致的检验，并出具证明货物符合合同规定的检验合格证书，检验合格证书是支付交货付款所需单据之一，但不能作为有关质量、规格、性能、数量或重量等的最终检验凭证。制造厂检验的结果和细节应附在检验合格证书之后。</w:t>
      </w:r>
    </w:p>
    <w:p w14:paraId="595EECDC">
      <w:pPr>
        <w:spacing w:line="420" w:lineRule="exact"/>
        <w:ind w:firstLine="420" w:firstLineChars="20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3  货物运抵现场后，买方对货物的规格、数量、重量和随货提供的资料进行检验，出具到货检验合格证书之日视为卖方送货完成。</w:t>
      </w:r>
    </w:p>
    <w:p w14:paraId="28E6293C">
      <w:pPr>
        <w:spacing w:line="420" w:lineRule="exact"/>
        <w:ind w:firstLine="420" w:firstLineChars="20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4  买方或其代表应有权对货物进行检验，以确认货物是否符合规格、数量、重量和随货提供资料方面的要求，并且不承担额外的费用。买方应及时将进行检验的代表身份情况告知卖方。</w:t>
      </w:r>
    </w:p>
    <w:p w14:paraId="07929439">
      <w:pPr>
        <w:spacing w:line="420" w:lineRule="exact"/>
        <w:ind w:firstLine="420" w:firstLineChars="20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5  上述检验在项目现场进行，卖方应对检验工作免费提供合理的协助并借用可能需要的专用仪器或仪表。</w:t>
      </w:r>
    </w:p>
    <w:p w14:paraId="26003E1D">
      <w:pPr>
        <w:spacing w:line="420" w:lineRule="exact"/>
        <w:ind w:firstLine="420" w:firstLineChars="20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6  如果被检验的货物不能满足规格、数量、重量和随货提供资料方面的要求，买方可能拒绝接受该货物，卖方应免费更换被拒绝的货物。</w:t>
      </w:r>
    </w:p>
    <w:p w14:paraId="62BDB429">
      <w:pPr>
        <w:spacing w:line="420" w:lineRule="exact"/>
        <w:ind w:firstLine="420" w:firstLineChars="20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7  买方在货物运抵项目现场后对其进行检验以及必要时拒绝接受该货物的权力，将不会因为货物在其出厂地启运前通过了买方或其代表的检验及认可而受到限制或放弃。</w:t>
      </w:r>
    </w:p>
    <w:p w14:paraId="395F1B83">
      <w:pPr>
        <w:spacing w:line="420" w:lineRule="exact"/>
        <w:ind w:firstLine="420" w:firstLineChars="20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8 在货物到达项目现场后，卖方应及时以书面形式通知买方进行检验。买方应在收到检验通知后的2天之内开始进行检验。</w:t>
      </w:r>
    </w:p>
    <w:p w14:paraId="7E3BF018">
      <w:pPr>
        <w:spacing w:line="420" w:lineRule="exact"/>
        <w:ind w:firstLine="420" w:firstLineChars="20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9 买卖双方应在货物检验合格后的2天之内签署到货检验合格证书。</w:t>
      </w:r>
    </w:p>
    <w:p w14:paraId="7C483985">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16.10  买方对货物质量的检验适用质量保证（修）期的规定。</w:t>
      </w:r>
    </w:p>
    <w:p w14:paraId="1047B6DA">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16.11  因卖方承担了所供货物安装调试施工服务，为专项交钥匙工程，货物到达项目现场后仍由卖方承担保管责任和费用。</w:t>
      </w:r>
    </w:p>
    <w:p w14:paraId="2B6A7CE7">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16.12  卖方在安装施工质量、工期、安全和现场文明施工等方面应服从买方的管理，并与买方密切配合，共同实现合同所确定的目标。</w:t>
      </w:r>
    </w:p>
    <w:p w14:paraId="4D755C2D">
      <w:pPr>
        <w:spacing w:line="420" w:lineRule="exact"/>
        <w:ind w:firstLine="480"/>
        <w:rPr>
          <w:rFonts w:hint="eastAsia" w:ascii="Calibri" w:hAnsi="Calibri"/>
          <w:sz w:val="21"/>
          <w:szCs w:val="21"/>
          <w:highlight w:val="none"/>
        </w:rPr>
      </w:pPr>
      <w:r>
        <w:rPr>
          <w:rFonts w:hint="eastAsia" w:ascii="Calibri" w:hAnsi="Calibri"/>
          <w:sz w:val="21"/>
          <w:szCs w:val="21"/>
          <w:highlight w:val="none"/>
        </w:rPr>
        <w:t>16.13 卖方在安装调试结束后，应根据设计方案和验收规范自行验收</w:t>
      </w:r>
      <w:r>
        <w:rPr>
          <w:rFonts w:hint="eastAsia" w:ascii="Calibri" w:hAnsi="Calibri"/>
          <w:sz w:val="21"/>
          <w:szCs w:val="21"/>
          <w:highlight w:val="none"/>
          <w:lang w:eastAsia="zh-CN"/>
        </w:rPr>
        <w:t>。</w:t>
      </w:r>
      <w:r>
        <w:rPr>
          <w:rFonts w:hint="eastAsia" w:ascii="Calibri" w:hAnsi="Calibri"/>
          <w:sz w:val="21"/>
          <w:szCs w:val="21"/>
          <w:highlight w:val="none"/>
          <w:lang w:val="en-US" w:eastAsia="zh-CN"/>
        </w:rPr>
        <w:t>试运行3个月后，</w:t>
      </w:r>
      <w:r>
        <w:rPr>
          <w:rFonts w:hint="eastAsia" w:ascii="Calibri" w:hAnsi="Calibri"/>
          <w:sz w:val="21"/>
          <w:szCs w:val="21"/>
          <w:highlight w:val="none"/>
        </w:rPr>
        <w:t>买方组织相关单位、部门按照国家有关规范和合同要求进行验收；如果货物的或安装的质量等与合同要求不符，包括潜在的缺陷或使用不符合要求的配件、材料等，买方有权提出整改要求或提请相关检验机构进行检测；卖方整改完成或检测达到要求才能通过验收。</w:t>
      </w:r>
    </w:p>
    <w:p w14:paraId="31A5CCB8">
      <w:pPr>
        <w:spacing w:line="420" w:lineRule="exact"/>
        <w:ind w:firstLine="480"/>
        <w:rPr>
          <w:rFonts w:ascii="Calibri" w:hAnsi="Calibri"/>
          <w:sz w:val="21"/>
          <w:szCs w:val="21"/>
          <w:highlight w:val="none"/>
        </w:rPr>
      </w:pPr>
      <w:r>
        <w:rPr>
          <w:rFonts w:hint="eastAsia" w:ascii="Calibri" w:hAnsi="Calibri"/>
          <w:sz w:val="21"/>
          <w:szCs w:val="21"/>
          <w:highlight w:val="none"/>
        </w:rPr>
        <w:t>16.14 卖方的货物经其安装调试并通过买方的验收日期视为卖方的交货完成日期和质量保证（修）期的起算日，据此双方应签署工程（交货）竣工验收合格证书。</w:t>
      </w:r>
    </w:p>
    <w:p w14:paraId="7C9956FB">
      <w:pPr>
        <w:spacing w:line="420" w:lineRule="exact"/>
        <w:ind w:firstLine="480"/>
        <w:rPr>
          <w:rFonts w:ascii="Calibri" w:hAnsi="Calibri"/>
          <w:sz w:val="21"/>
          <w:szCs w:val="21"/>
          <w:highlight w:val="none"/>
        </w:rPr>
      </w:pPr>
      <w:r>
        <w:rPr>
          <w:rFonts w:ascii="Calibri" w:hAnsi="Calibri"/>
          <w:sz w:val="21"/>
          <w:szCs w:val="21"/>
          <w:highlight w:val="none"/>
        </w:rPr>
        <w:t>16.</w:t>
      </w:r>
      <w:r>
        <w:rPr>
          <w:rFonts w:hint="eastAsia" w:ascii="Calibri" w:hAnsi="Calibri"/>
          <w:sz w:val="21"/>
          <w:szCs w:val="21"/>
          <w:highlight w:val="none"/>
        </w:rPr>
        <w:t>15  “合同条款”第</w:t>
      </w:r>
      <w:r>
        <w:rPr>
          <w:rFonts w:ascii="Calibri" w:hAnsi="Calibri"/>
          <w:sz w:val="21"/>
          <w:szCs w:val="21"/>
          <w:highlight w:val="none"/>
        </w:rPr>
        <w:t>16.1-16.</w:t>
      </w:r>
      <w:r>
        <w:rPr>
          <w:rFonts w:hint="eastAsia" w:ascii="Calibri" w:hAnsi="Calibri"/>
          <w:sz w:val="21"/>
          <w:szCs w:val="21"/>
          <w:highlight w:val="none"/>
        </w:rPr>
        <w:t>14条的规定无论如何也不能免除卖方在本合同项下的质量保证（修）义务及其他义务。</w:t>
      </w:r>
    </w:p>
    <w:p w14:paraId="7385D9A1">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17  质量保证</w:t>
      </w:r>
    </w:p>
    <w:p w14:paraId="7B0F8D5B">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17.1 </w:t>
      </w:r>
      <w:r>
        <w:rPr>
          <w:rFonts w:hint="eastAsia" w:ascii="Calibri" w:hAnsi="Calibri"/>
          <w:sz w:val="21"/>
          <w:szCs w:val="21"/>
          <w:highlight w:val="none"/>
        </w:rPr>
        <w:t xml:space="preserve"> 卖方保证所供货物是全新的、未使用过的，并完全符合合同规定的质量、规格和性能要求。卖方应保证其货物在正确安装、正常使用和正常保养的条件下，在其预计使用寿命期内均具有满意的性能。</w:t>
      </w:r>
    </w:p>
    <w:p w14:paraId="294D51A9">
      <w:pPr>
        <w:spacing w:line="420" w:lineRule="exact"/>
        <w:ind w:firstLine="420" w:firstLineChars="200"/>
        <w:rPr>
          <w:rFonts w:ascii="Calibri" w:hAnsi="Calibri"/>
          <w:sz w:val="21"/>
          <w:szCs w:val="21"/>
          <w:highlight w:val="none"/>
        </w:rPr>
      </w:pPr>
      <w:r>
        <w:rPr>
          <w:rFonts w:ascii="Calibri" w:hAnsi="Calibri"/>
          <w:sz w:val="21"/>
          <w:szCs w:val="21"/>
          <w:highlight w:val="none"/>
        </w:rPr>
        <w:t>17.2</w:t>
      </w:r>
      <w:r>
        <w:rPr>
          <w:rFonts w:hint="eastAsia" w:ascii="Calibri" w:hAnsi="Calibri"/>
          <w:sz w:val="21"/>
          <w:szCs w:val="21"/>
          <w:highlight w:val="none"/>
        </w:rPr>
        <w:t xml:space="preserve">  根据当地有关部门的检验结果，或者在货物的质量保证（修）期内，发现其数量、质量或规格与合同不符，或发现设计、工艺、材料有瑕疵，或证实货物是有缺陷的，包括潜在的缺陷或使用不符合要求的材料等，买方应尽快以书面通知形式向卖方提出本保证条款下的索赔。</w:t>
      </w:r>
    </w:p>
    <w:p w14:paraId="18072870">
      <w:pPr>
        <w:spacing w:line="420" w:lineRule="exact"/>
        <w:ind w:firstLine="420" w:firstLineChars="200"/>
        <w:rPr>
          <w:rFonts w:ascii="Calibri" w:hAnsi="Calibri"/>
          <w:sz w:val="21"/>
          <w:szCs w:val="21"/>
          <w:highlight w:val="none"/>
        </w:rPr>
      </w:pPr>
      <w:r>
        <w:rPr>
          <w:rFonts w:ascii="Calibri" w:hAnsi="Calibri"/>
          <w:sz w:val="21"/>
          <w:szCs w:val="21"/>
          <w:highlight w:val="none"/>
        </w:rPr>
        <w:t>17.3</w:t>
      </w:r>
      <w:r>
        <w:rPr>
          <w:rFonts w:hint="eastAsia" w:ascii="Calibri" w:hAnsi="Calibri"/>
          <w:sz w:val="21"/>
          <w:szCs w:val="21"/>
          <w:highlight w:val="none"/>
        </w:rPr>
        <w:t xml:space="preserve">  卖方在收到通知后，在其服务承诺的时间内负责免费维修、更换有缺陷的货物或部件。否则买方可采取必要的补救措施，但风险和费用将由卖方承担，且买方根据合同规定对卖方行使的其他权利不受影响。</w:t>
      </w:r>
    </w:p>
    <w:p w14:paraId="6575A4E4">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17.4 </w:t>
      </w:r>
      <w:r>
        <w:rPr>
          <w:rFonts w:hint="eastAsia" w:ascii="Calibri" w:hAnsi="Calibri"/>
          <w:sz w:val="21"/>
          <w:szCs w:val="21"/>
          <w:highlight w:val="none"/>
        </w:rPr>
        <w:t xml:space="preserve"> 如在质量保证（修）期满之时，未发生</w:t>
      </w:r>
      <w:r>
        <w:rPr>
          <w:rFonts w:ascii="Calibri" w:hAnsi="Calibri"/>
          <w:sz w:val="21"/>
          <w:szCs w:val="21"/>
          <w:highlight w:val="none"/>
        </w:rPr>
        <w:t>17.2</w:t>
      </w:r>
      <w:r>
        <w:rPr>
          <w:rFonts w:hint="eastAsia" w:ascii="Calibri" w:hAnsi="Calibri"/>
          <w:sz w:val="21"/>
          <w:szCs w:val="21"/>
          <w:highlight w:val="none"/>
        </w:rPr>
        <w:t>条所述的索赔事宜，或虽发生但双方已按约处理结束，则买卖双方应在7天之内签署质量保证（修）期期满合格证书。</w:t>
      </w:r>
    </w:p>
    <w:p w14:paraId="728DF6D3">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17.5  在保证（修）期内，同一货物或部件由于同一质量问题经过连续两次维修仍无法正常使用的，卖方应无条件给予全套更换，并相应延长质量保证（修）期。</w:t>
      </w:r>
    </w:p>
    <w:p w14:paraId="6C3C78E7">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18  索赔</w:t>
      </w:r>
    </w:p>
    <w:p w14:paraId="238B4C80">
      <w:pPr>
        <w:spacing w:line="420" w:lineRule="exact"/>
        <w:ind w:left="13" w:leftChars="6" w:firstLine="407" w:firstLineChars="194"/>
        <w:rPr>
          <w:rFonts w:ascii="Calibri" w:hAnsi="Calibri"/>
          <w:sz w:val="21"/>
          <w:szCs w:val="21"/>
          <w:highlight w:val="none"/>
        </w:rPr>
      </w:pPr>
      <w:r>
        <w:rPr>
          <w:rFonts w:ascii="Calibri" w:hAnsi="Calibri"/>
          <w:sz w:val="21"/>
          <w:szCs w:val="21"/>
          <w:highlight w:val="none"/>
        </w:rPr>
        <w:t>18.1</w:t>
      </w:r>
      <w:r>
        <w:rPr>
          <w:rFonts w:hint="eastAsia" w:ascii="Calibri" w:hAnsi="Calibri"/>
          <w:sz w:val="21"/>
          <w:szCs w:val="21"/>
          <w:highlight w:val="none"/>
        </w:rPr>
        <w:t xml:space="preserve">  买方有权根据当地有关部门出具的检验证书向卖方提出索赔。</w:t>
      </w:r>
    </w:p>
    <w:p w14:paraId="46AE3F9C">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18.2 </w:t>
      </w:r>
      <w:r>
        <w:rPr>
          <w:rFonts w:hint="eastAsia" w:ascii="Calibri" w:hAnsi="Calibri"/>
          <w:sz w:val="21"/>
          <w:szCs w:val="21"/>
          <w:highlight w:val="none"/>
        </w:rPr>
        <w:t xml:space="preserve"> 在“合同条款”第17条规定的质量保证（修）期内，如果卖方对货物缺陷负有责任而买方提出了索赔，则卖方应按买方同意的下列一种或多种方式解决索赔事宜：</w:t>
      </w:r>
    </w:p>
    <w:p w14:paraId="2FC85333">
      <w:pPr>
        <w:spacing w:line="420" w:lineRule="exact"/>
        <w:ind w:firstLine="420" w:firstLineChars="200"/>
        <w:rPr>
          <w:rFonts w:ascii="Calibri" w:hAnsi="Calibri"/>
          <w:sz w:val="21"/>
          <w:szCs w:val="21"/>
          <w:highlight w:val="none"/>
        </w:rPr>
      </w:pPr>
      <w:r>
        <w:rPr>
          <w:rFonts w:ascii="Calibri" w:hAnsi="Calibri"/>
          <w:sz w:val="21"/>
          <w:szCs w:val="21"/>
          <w:highlight w:val="none"/>
        </w:rPr>
        <w:t>18.2.1</w:t>
      </w:r>
      <w:r>
        <w:rPr>
          <w:rFonts w:hint="eastAsia" w:ascii="Calibri" w:hAnsi="Calibri"/>
          <w:sz w:val="21"/>
          <w:szCs w:val="21"/>
          <w:highlight w:val="none"/>
        </w:rPr>
        <w:t xml:space="preserve">  卖方同意退货并用合同规定的货币将货款退还给买方，同时承担由此而导致的一切损失和费用，包括利息、银行手续费、运费、保险费、检验费、仓储费、装卸费以及为保护退回货物所需的其他费用；</w:t>
      </w:r>
    </w:p>
    <w:p w14:paraId="2C291B58">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18.2.2  </w:t>
      </w:r>
      <w:r>
        <w:rPr>
          <w:rFonts w:hint="eastAsia" w:ascii="Calibri" w:hAnsi="Calibri"/>
          <w:sz w:val="21"/>
          <w:szCs w:val="21"/>
          <w:highlight w:val="none"/>
        </w:rPr>
        <w:t>根据货物的低劣和损坏程度以及买方遭受的损失金额，经过双方商定，降低货物的价格，并及时将差额部分退还给买方；</w:t>
      </w:r>
    </w:p>
    <w:p w14:paraId="3066983F">
      <w:pPr>
        <w:spacing w:line="420" w:lineRule="exact"/>
        <w:ind w:firstLine="420" w:firstLineChars="200"/>
        <w:rPr>
          <w:rFonts w:ascii="Calibri" w:hAnsi="Calibri"/>
          <w:sz w:val="21"/>
          <w:szCs w:val="21"/>
          <w:highlight w:val="none"/>
        </w:rPr>
      </w:pPr>
      <w:r>
        <w:rPr>
          <w:rFonts w:ascii="Calibri" w:hAnsi="Calibri"/>
          <w:sz w:val="21"/>
          <w:szCs w:val="21"/>
          <w:highlight w:val="none"/>
        </w:rPr>
        <w:t>18.2.3</w:t>
      </w:r>
      <w:r>
        <w:rPr>
          <w:rFonts w:hint="eastAsia" w:ascii="Calibri" w:hAnsi="Calibri"/>
          <w:sz w:val="21"/>
          <w:szCs w:val="21"/>
          <w:highlight w:val="none"/>
        </w:rPr>
        <w:t xml:space="preserve">  用规格、质量和性能符合合同要求的新货物来更换有缺陷的部分，卖方应承担由此而导致的一切费用和保险，并负担买方因此而蒙受的全部直接经济损失。同时，卖方应按“合同条款”条17条的规定，相应延长更换货物的质量保证（修）期。</w:t>
      </w:r>
    </w:p>
    <w:p w14:paraId="1B0BB78C">
      <w:pPr>
        <w:spacing w:line="420" w:lineRule="exact"/>
        <w:ind w:firstLine="420" w:firstLineChars="200"/>
        <w:rPr>
          <w:rFonts w:ascii="Calibri" w:hAnsi="Calibri"/>
          <w:sz w:val="21"/>
          <w:szCs w:val="21"/>
          <w:highlight w:val="none"/>
        </w:rPr>
      </w:pPr>
      <w:r>
        <w:rPr>
          <w:rFonts w:ascii="Calibri" w:hAnsi="Calibri"/>
          <w:sz w:val="21"/>
          <w:szCs w:val="21"/>
          <w:highlight w:val="none"/>
        </w:rPr>
        <w:t>18.</w:t>
      </w:r>
      <w:r>
        <w:rPr>
          <w:rFonts w:hint="eastAsia" w:ascii="Calibri" w:hAnsi="Calibri"/>
          <w:sz w:val="21"/>
          <w:szCs w:val="21"/>
          <w:highlight w:val="none"/>
        </w:rPr>
        <w:t>3  如果在买方发出索赔通知后的28天内，卖方未作答复，上述索赔应视为已被卖方接受。如卖方未能在买方发出索赔通知后的28天内或在买方同意的延长期限内，按照“合同条款”第</w:t>
      </w:r>
      <w:r>
        <w:rPr>
          <w:rFonts w:ascii="Calibri" w:hAnsi="Calibri"/>
          <w:sz w:val="21"/>
          <w:szCs w:val="21"/>
          <w:highlight w:val="none"/>
        </w:rPr>
        <w:t xml:space="preserve">18.2 </w:t>
      </w:r>
      <w:r>
        <w:rPr>
          <w:rFonts w:hint="eastAsia" w:ascii="Calibri" w:hAnsi="Calibri"/>
          <w:sz w:val="21"/>
          <w:szCs w:val="21"/>
          <w:highlight w:val="none"/>
        </w:rPr>
        <w:t>条规定的任何一种或多种方法解决索赔事宜并使买方满意，买方将从卖方留存的履约保证金中扣回索赔金额而无需通过诉讼程序确认；如果索赔金额高于卖方留存的履约保证金或履约保证金已退还卖方，买方有权依约另行主张。</w:t>
      </w:r>
    </w:p>
    <w:p w14:paraId="2E811093">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19  通知与送达</w:t>
      </w:r>
    </w:p>
    <w:p w14:paraId="0E31DE92">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19.1 </w:t>
      </w:r>
      <w:r>
        <w:rPr>
          <w:rFonts w:hint="eastAsia" w:ascii="Calibri" w:hAnsi="Calibri"/>
          <w:sz w:val="21"/>
          <w:szCs w:val="21"/>
          <w:highlight w:val="none"/>
        </w:rPr>
        <w:t xml:space="preserve"> 本合同一方按照合同约定或法律规定向另一方送达任何文件、通知、回复及其他任何联系，必须用书面形式，且采用直接送达、传真、特快专递、挂号邮寄的方式，送达本合同所列另一方的地址或另一方以本条所述方式通知变更后的地址。如以直接送达的方式送达，则于另一方签收时视为送达；如以传真方式，在传真到达对方时视为已送达另一方，但须随后补发信函确认；如以特快专递方式，在投邮后（以寄出邮戳为准）第二日被视为已送达另一方；如以挂号邮寄的方式，在投邮后（以寄出邮戳为准）第四日将被视为已送达另一方。</w:t>
      </w:r>
    </w:p>
    <w:p w14:paraId="025620BC">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19.2.  文件、通知、回复等联系资料以送达之日或文件、通知、回复中规定的生效之日为生效日期，两个日期中以较晚的一个为准。</w:t>
      </w:r>
    </w:p>
    <w:p w14:paraId="6A23A6D4">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20  变更指令</w:t>
      </w:r>
    </w:p>
    <w:p w14:paraId="17172113">
      <w:pPr>
        <w:spacing w:line="420" w:lineRule="exact"/>
        <w:ind w:firstLine="420" w:firstLineChars="200"/>
        <w:rPr>
          <w:rFonts w:ascii="Calibri" w:hAnsi="Calibri"/>
          <w:sz w:val="21"/>
          <w:szCs w:val="21"/>
          <w:highlight w:val="none"/>
        </w:rPr>
      </w:pPr>
      <w:r>
        <w:rPr>
          <w:rFonts w:ascii="Calibri" w:hAnsi="Calibri"/>
          <w:sz w:val="21"/>
          <w:szCs w:val="21"/>
          <w:highlight w:val="none"/>
        </w:rPr>
        <w:t>20.1</w:t>
      </w:r>
      <w:r>
        <w:rPr>
          <w:rFonts w:hint="eastAsia" w:ascii="Calibri" w:hAnsi="Calibri"/>
          <w:sz w:val="21"/>
          <w:szCs w:val="21"/>
          <w:highlight w:val="none"/>
        </w:rPr>
        <w:t xml:space="preserve">  根据“合同条款”第19条规定，买方可在任何时候向卖方发出书面指令，以在本合同的一般范围内变更下列一项或几项：</w:t>
      </w:r>
    </w:p>
    <w:p w14:paraId="4DD9B991">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20.1.1 </w:t>
      </w:r>
      <w:r>
        <w:rPr>
          <w:rFonts w:hint="eastAsia" w:ascii="Calibri" w:hAnsi="Calibri"/>
          <w:sz w:val="21"/>
          <w:szCs w:val="21"/>
          <w:highlight w:val="none"/>
        </w:rPr>
        <w:t xml:space="preserve"> 本合同项下提供的货物是专为买方制造时，变更设计、图样或规格；</w:t>
      </w:r>
    </w:p>
    <w:p w14:paraId="2CD94448">
      <w:pPr>
        <w:spacing w:line="420" w:lineRule="exact"/>
        <w:ind w:firstLine="420" w:firstLineChars="200"/>
        <w:rPr>
          <w:rFonts w:ascii="Calibri" w:hAnsi="Calibri"/>
          <w:sz w:val="21"/>
          <w:szCs w:val="21"/>
          <w:highlight w:val="none"/>
        </w:rPr>
      </w:pPr>
      <w:r>
        <w:rPr>
          <w:rFonts w:ascii="Calibri" w:hAnsi="Calibri"/>
          <w:sz w:val="21"/>
          <w:szCs w:val="21"/>
          <w:highlight w:val="none"/>
        </w:rPr>
        <w:t>20.1.2</w:t>
      </w:r>
      <w:r>
        <w:rPr>
          <w:rFonts w:hint="eastAsia" w:ascii="Calibri" w:hAnsi="Calibri"/>
          <w:sz w:val="21"/>
          <w:szCs w:val="21"/>
          <w:highlight w:val="none"/>
        </w:rPr>
        <w:t xml:space="preserve">  货物的运输或包装方法或交货地点。</w:t>
      </w:r>
    </w:p>
    <w:p w14:paraId="26A87ED6">
      <w:pPr>
        <w:spacing w:line="420" w:lineRule="exact"/>
        <w:ind w:firstLine="420" w:firstLineChars="200"/>
        <w:rPr>
          <w:rFonts w:ascii="Calibri" w:hAnsi="Calibri"/>
          <w:sz w:val="21"/>
          <w:szCs w:val="21"/>
          <w:highlight w:val="none"/>
        </w:rPr>
      </w:pPr>
      <w:r>
        <w:rPr>
          <w:rFonts w:ascii="Calibri" w:hAnsi="Calibri"/>
          <w:sz w:val="21"/>
          <w:szCs w:val="21"/>
          <w:highlight w:val="none"/>
        </w:rPr>
        <w:t>20.2</w:t>
      </w:r>
      <w:r>
        <w:rPr>
          <w:rFonts w:hint="eastAsia" w:ascii="Calibri" w:hAnsi="Calibri"/>
          <w:sz w:val="21"/>
          <w:szCs w:val="21"/>
          <w:highlight w:val="none"/>
        </w:rPr>
        <w:t xml:space="preserve">  如果上述变更使卖方履行合同义务的费用和</w:t>
      </w:r>
      <w:r>
        <w:rPr>
          <w:rFonts w:ascii="Calibri" w:hAnsi="Calibri"/>
          <w:sz w:val="21"/>
          <w:szCs w:val="21"/>
          <w:highlight w:val="none"/>
        </w:rPr>
        <w:t>(</w:t>
      </w:r>
      <w:r>
        <w:rPr>
          <w:rFonts w:hint="eastAsia" w:ascii="Calibri" w:hAnsi="Calibri"/>
          <w:sz w:val="21"/>
          <w:szCs w:val="21"/>
          <w:highlight w:val="none"/>
        </w:rPr>
        <w:t>或</w:t>
      </w:r>
      <w:r>
        <w:rPr>
          <w:rFonts w:ascii="Calibri" w:hAnsi="Calibri"/>
          <w:sz w:val="21"/>
          <w:szCs w:val="21"/>
          <w:highlight w:val="none"/>
        </w:rPr>
        <w:t>)</w:t>
      </w:r>
      <w:r>
        <w:rPr>
          <w:rFonts w:hint="eastAsia" w:ascii="Calibri" w:hAnsi="Calibri"/>
          <w:sz w:val="21"/>
          <w:szCs w:val="21"/>
          <w:highlight w:val="none"/>
        </w:rPr>
        <w:t>时间发生了增加或减少，则相应的合同价格和</w:t>
      </w:r>
      <w:r>
        <w:rPr>
          <w:rFonts w:ascii="Calibri" w:hAnsi="Calibri"/>
          <w:sz w:val="21"/>
          <w:szCs w:val="21"/>
          <w:highlight w:val="none"/>
        </w:rPr>
        <w:t>(</w:t>
      </w:r>
      <w:r>
        <w:rPr>
          <w:rFonts w:hint="eastAsia" w:ascii="Calibri" w:hAnsi="Calibri"/>
          <w:sz w:val="21"/>
          <w:szCs w:val="21"/>
          <w:highlight w:val="none"/>
        </w:rPr>
        <w:t>或</w:t>
      </w:r>
      <w:r>
        <w:rPr>
          <w:rFonts w:ascii="Calibri" w:hAnsi="Calibri"/>
          <w:sz w:val="21"/>
          <w:szCs w:val="21"/>
          <w:highlight w:val="none"/>
        </w:rPr>
        <w:t>)</w:t>
      </w:r>
      <w:r>
        <w:rPr>
          <w:rFonts w:hint="eastAsia" w:ascii="Calibri" w:hAnsi="Calibri"/>
          <w:sz w:val="21"/>
          <w:szCs w:val="21"/>
          <w:highlight w:val="none"/>
        </w:rPr>
        <w:t>交货时间作合理的调整，同时应对合同作相应的修改。卖方根据本条进行调整的要求必须在收到买方的变更指令后的28天内提出。</w:t>
      </w:r>
    </w:p>
    <w:p w14:paraId="10721D09">
      <w:pPr>
        <w:spacing w:line="420" w:lineRule="exact"/>
        <w:ind w:firstLine="420" w:firstLineChars="200"/>
        <w:rPr>
          <w:rFonts w:ascii="黑体" w:hAnsi="Calibri" w:eastAsia="黑体"/>
          <w:sz w:val="21"/>
          <w:szCs w:val="21"/>
          <w:highlight w:val="none"/>
        </w:rPr>
      </w:pPr>
      <w:r>
        <w:rPr>
          <w:rFonts w:ascii="黑体" w:hAnsi="Calibri" w:eastAsia="黑体"/>
          <w:sz w:val="21"/>
          <w:szCs w:val="21"/>
          <w:highlight w:val="none"/>
        </w:rPr>
        <w:t>21</w:t>
      </w:r>
      <w:r>
        <w:rPr>
          <w:rFonts w:hint="eastAsia" w:ascii="黑体" w:hAnsi="Calibri" w:eastAsia="黑体"/>
          <w:sz w:val="21"/>
          <w:szCs w:val="21"/>
          <w:highlight w:val="none"/>
        </w:rPr>
        <w:t xml:space="preserve">  合同修改</w:t>
      </w:r>
    </w:p>
    <w:p w14:paraId="1DF740DC">
      <w:pPr>
        <w:spacing w:line="420" w:lineRule="exact"/>
        <w:rPr>
          <w:rFonts w:ascii="Calibri" w:hAnsi="Calibri"/>
          <w:sz w:val="21"/>
          <w:szCs w:val="21"/>
          <w:highlight w:val="none"/>
        </w:rPr>
      </w:pPr>
      <w:r>
        <w:rPr>
          <w:rFonts w:hint="eastAsia" w:ascii="Calibri" w:hAnsi="Calibri"/>
          <w:sz w:val="21"/>
          <w:szCs w:val="21"/>
          <w:highlight w:val="none"/>
        </w:rPr>
        <w:t xml:space="preserve">    除“合同条款”第20条的规定外，任何对合同条件的变更或修改均须由双方签订书面修改协议。</w:t>
      </w:r>
    </w:p>
    <w:p w14:paraId="12F725DC">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22  卖方履约期间</w:t>
      </w:r>
    </w:p>
    <w:p w14:paraId="788EC095">
      <w:pPr>
        <w:widowControl/>
        <w:tabs>
          <w:tab w:val="left" w:pos="1260"/>
        </w:tabs>
        <w:spacing w:line="420" w:lineRule="exact"/>
        <w:ind w:firstLine="420" w:firstLineChars="200"/>
        <w:jc w:val="left"/>
        <w:rPr>
          <w:rFonts w:ascii="方正仿宋_GBK" w:hAnsi="方正仿宋_GBK" w:eastAsia="方正仿宋_GBK" w:cs="方正仿宋_GBK"/>
          <w:sz w:val="21"/>
          <w:szCs w:val="21"/>
          <w:highlight w:val="none"/>
        </w:rPr>
      </w:pPr>
      <w:r>
        <w:rPr>
          <w:rFonts w:ascii="Calibri" w:hAnsi="Calibri"/>
          <w:sz w:val="21"/>
          <w:szCs w:val="21"/>
          <w:highlight w:val="none"/>
        </w:rPr>
        <w:t>22.1</w:t>
      </w:r>
      <w:r>
        <w:rPr>
          <w:rFonts w:hint="eastAsia" w:ascii="Calibri" w:hAnsi="Calibri"/>
          <w:sz w:val="21"/>
          <w:szCs w:val="21"/>
          <w:highlight w:val="none"/>
          <w:lang w:val="en-US" w:eastAsia="zh-CN"/>
        </w:rPr>
        <w:t xml:space="preserve">  </w:t>
      </w:r>
      <w:r>
        <w:rPr>
          <w:rFonts w:hint="eastAsia" w:ascii="Calibri" w:hAnsi="Calibri"/>
          <w:sz w:val="21"/>
          <w:szCs w:val="21"/>
          <w:highlight w:val="none"/>
        </w:rPr>
        <w:t>在合同签订之日起</w:t>
      </w:r>
      <w:r>
        <w:rPr>
          <w:rFonts w:hint="eastAsia" w:ascii="Calibri" w:hAnsi="Calibri"/>
          <w:sz w:val="21"/>
          <w:szCs w:val="21"/>
          <w:highlight w:val="none"/>
          <w:lang w:val="en-US" w:eastAsia="zh-CN"/>
        </w:rPr>
        <w:t>9</w:t>
      </w:r>
      <w:r>
        <w:rPr>
          <w:rFonts w:hint="eastAsia" w:ascii="Calibri" w:hAnsi="Calibri"/>
          <w:sz w:val="21"/>
          <w:szCs w:val="21"/>
          <w:highlight w:val="none"/>
        </w:rPr>
        <w:t>0个日历天内，卖方应按买方要求安装调试完毕。除不可抗力的原因外，卖方超过合同规定的履行期限十日内仍不能交付本合同项目货物的，视为不能交货，买方有权选择决定是否继续履行本合同，如买方决定终止本合同的履行，则卖方必须承担不能交货的违约责任。</w:t>
      </w:r>
    </w:p>
    <w:p w14:paraId="4398B6D4">
      <w:pPr>
        <w:spacing w:line="420" w:lineRule="exact"/>
        <w:ind w:firstLine="420" w:firstLineChars="200"/>
        <w:rPr>
          <w:rFonts w:ascii="Calibri" w:hAnsi="Calibri"/>
          <w:sz w:val="21"/>
          <w:szCs w:val="21"/>
          <w:highlight w:val="none"/>
        </w:rPr>
      </w:pPr>
      <w:r>
        <w:rPr>
          <w:rFonts w:ascii="Calibri" w:hAnsi="Calibri"/>
          <w:sz w:val="21"/>
          <w:szCs w:val="21"/>
          <w:highlight w:val="none"/>
        </w:rPr>
        <w:t>22.2</w:t>
      </w:r>
      <w:r>
        <w:rPr>
          <w:rFonts w:hint="eastAsia" w:ascii="Calibri" w:hAnsi="Calibri"/>
          <w:sz w:val="21"/>
          <w:szCs w:val="21"/>
          <w:highlight w:val="none"/>
        </w:rPr>
        <w:t xml:space="preserve">  在履行合同过程中，如果卖方遇到了可能妨碍按时交货或提供服务的情况时，应及时以书面形式将拖延的原因、可能拖延的时间及理由通知买方。买方在收到卖方的通知后，应尽快对所述情况进行评价，并确定是否通过修改合同，酌情延长交货时间或延期提供服务。</w:t>
      </w:r>
    </w:p>
    <w:p w14:paraId="3F8ED30F">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23  误期赔偿</w:t>
      </w:r>
    </w:p>
    <w:p w14:paraId="12D926E1">
      <w:pPr>
        <w:spacing w:line="420" w:lineRule="exact"/>
        <w:ind w:firstLine="480"/>
        <w:rPr>
          <w:rFonts w:ascii="Calibri" w:hAnsi="Calibri"/>
          <w:sz w:val="21"/>
          <w:szCs w:val="21"/>
          <w:highlight w:val="none"/>
        </w:rPr>
      </w:pPr>
      <w:r>
        <w:rPr>
          <w:rFonts w:hint="eastAsia" w:ascii="Calibri" w:hAnsi="Calibri"/>
          <w:sz w:val="21"/>
          <w:szCs w:val="21"/>
          <w:highlight w:val="none"/>
        </w:rPr>
        <w:t>除“合同条款”第24条规定外，如果卖方没有按照合同规定的期限交货或提供服务，买方将从合同价款中扣除误期赔偿费，且不会因此而影响在合同项下要求卖方采取其他补救措施。并处每延误一天交付买方使用的，按合同价格1%罚款，直至交付买方使用为止；每延误一天提供质量保证（修）服务的，按合同价格的1%罚款，直至完成保证（修）服务至买方满意为止。买方也可考虑根据“合同条款”第28条的规定终止合同。</w:t>
      </w:r>
    </w:p>
    <w:p w14:paraId="109B1A56">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24  不可抗力</w:t>
      </w:r>
    </w:p>
    <w:p w14:paraId="593CD10D">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24.1 </w:t>
      </w:r>
      <w:r>
        <w:rPr>
          <w:rFonts w:hint="eastAsia" w:ascii="Calibri" w:hAnsi="Calibri"/>
          <w:sz w:val="21"/>
          <w:szCs w:val="21"/>
          <w:highlight w:val="none"/>
        </w:rPr>
        <w:t xml:space="preserve"> 如果因不可抗力而导致合同实施延误或不能履行合同义务的话，受不可抗力影响的一方不应承担违约责任</w:t>
      </w:r>
      <w:r>
        <w:rPr>
          <w:rFonts w:ascii="Calibri" w:hAnsi="Calibri"/>
          <w:sz w:val="21"/>
          <w:szCs w:val="21"/>
          <w:highlight w:val="none"/>
        </w:rPr>
        <w:t>(</w:t>
      </w:r>
      <w:r>
        <w:rPr>
          <w:rFonts w:hint="eastAsia" w:ascii="Calibri" w:hAnsi="Calibri"/>
          <w:sz w:val="21"/>
          <w:szCs w:val="21"/>
          <w:highlight w:val="none"/>
        </w:rPr>
        <w:t>包括误期赔偿责任、被没收履约保证金或被终止合同等</w:t>
      </w:r>
      <w:r>
        <w:rPr>
          <w:rFonts w:ascii="Calibri" w:hAnsi="Calibri"/>
          <w:sz w:val="21"/>
          <w:szCs w:val="21"/>
          <w:highlight w:val="none"/>
        </w:rPr>
        <w:t>)</w:t>
      </w:r>
      <w:r>
        <w:rPr>
          <w:rFonts w:hint="eastAsia" w:ascii="Calibri" w:hAnsi="Calibri"/>
          <w:sz w:val="21"/>
          <w:szCs w:val="21"/>
          <w:highlight w:val="none"/>
        </w:rPr>
        <w:t>。</w:t>
      </w:r>
    </w:p>
    <w:p w14:paraId="1FFBBDE1">
      <w:pPr>
        <w:spacing w:line="420" w:lineRule="exact"/>
        <w:ind w:firstLine="420" w:firstLineChars="200"/>
        <w:rPr>
          <w:rFonts w:ascii="Calibri" w:hAnsi="Calibri"/>
          <w:sz w:val="21"/>
          <w:szCs w:val="21"/>
          <w:highlight w:val="none"/>
        </w:rPr>
      </w:pPr>
      <w:r>
        <w:rPr>
          <w:rFonts w:ascii="Calibri" w:hAnsi="Calibri"/>
          <w:sz w:val="21"/>
          <w:szCs w:val="21"/>
          <w:highlight w:val="none"/>
        </w:rPr>
        <w:t>24.2</w:t>
      </w:r>
      <w:r>
        <w:rPr>
          <w:rFonts w:hint="eastAsia" w:ascii="Calibri" w:hAnsi="Calibri"/>
          <w:sz w:val="21"/>
          <w:szCs w:val="21"/>
          <w:highlight w:val="none"/>
        </w:rPr>
        <w:t xml:space="preserve">  本条所述的“不可抗力”系指那些不能预见、不能避免并不能克服的客观情况，但不包括违约或疏忽。这些情况包括但不限于：战争、严重火灾、洪水、8级以上台风、5级以上地震以及政府相关部门发布的认为是不可抗力的事件。</w:t>
      </w:r>
    </w:p>
    <w:p w14:paraId="2A2425FA">
      <w:pPr>
        <w:spacing w:line="420" w:lineRule="exact"/>
        <w:ind w:firstLine="420" w:firstLineChars="200"/>
        <w:rPr>
          <w:rFonts w:ascii="Calibri" w:hAnsi="Calibri"/>
          <w:sz w:val="21"/>
          <w:szCs w:val="21"/>
          <w:highlight w:val="none"/>
        </w:rPr>
      </w:pPr>
      <w:r>
        <w:rPr>
          <w:rFonts w:ascii="Calibri" w:hAnsi="Calibri"/>
          <w:sz w:val="21"/>
          <w:szCs w:val="21"/>
          <w:highlight w:val="none"/>
        </w:rPr>
        <w:t>24.3</w:t>
      </w:r>
      <w:r>
        <w:rPr>
          <w:rFonts w:hint="eastAsia" w:ascii="Calibri" w:hAnsi="Calibri"/>
          <w:sz w:val="21"/>
          <w:szCs w:val="21"/>
          <w:highlight w:val="none"/>
        </w:rPr>
        <w:t xml:space="preserve">  在不可抗力事件发生后，受不可抗力影响的一方应尽快以书面形式将不可抗力的情况和原因通知对方。除对方书面另行要求外，受不可抗力影响的一方应尽实际可能继续履行合同义务，并积极寻求采取合理的方案履行未受到不可抗力影响的其他合同事项。</w:t>
      </w:r>
    </w:p>
    <w:p w14:paraId="43E711F0">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25  税费</w:t>
      </w:r>
    </w:p>
    <w:p w14:paraId="73461840">
      <w:pPr>
        <w:spacing w:line="420" w:lineRule="exact"/>
        <w:ind w:firstLine="420" w:firstLineChars="200"/>
        <w:rPr>
          <w:rFonts w:ascii="Calibri" w:hAnsi="Calibri"/>
          <w:sz w:val="21"/>
          <w:szCs w:val="21"/>
          <w:highlight w:val="none"/>
        </w:rPr>
      </w:pPr>
      <w:r>
        <w:rPr>
          <w:rFonts w:ascii="Calibri" w:hAnsi="Calibri"/>
          <w:sz w:val="21"/>
          <w:szCs w:val="21"/>
          <w:highlight w:val="none"/>
        </w:rPr>
        <w:t>25.1</w:t>
      </w:r>
      <w:r>
        <w:rPr>
          <w:rFonts w:hint="eastAsia" w:ascii="Calibri" w:hAnsi="Calibri"/>
          <w:sz w:val="21"/>
          <w:szCs w:val="21"/>
          <w:highlight w:val="none"/>
        </w:rPr>
        <w:t xml:space="preserve">  根据现行税法规定对买方征收的与本合同有关的一切税费均应由买方负担。</w:t>
      </w:r>
    </w:p>
    <w:p w14:paraId="4F848776">
      <w:pPr>
        <w:spacing w:line="420" w:lineRule="exact"/>
        <w:ind w:firstLine="420" w:firstLineChars="200"/>
        <w:rPr>
          <w:rFonts w:ascii="Calibri" w:hAnsi="Calibri"/>
          <w:sz w:val="21"/>
          <w:szCs w:val="21"/>
          <w:highlight w:val="none"/>
        </w:rPr>
      </w:pPr>
      <w:r>
        <w:rPr>
          <w:rFonts w:ascii="Calibri" w:hAnsi="Calibri"/>
          <w:sz w:val="21"/>
          <w:szCs w:val="21"/>
          <w:highlight w:val="none"/>
        </w:rPr>
        <w:t>25.2</w:t>
      </w:r>
      <w:r>
        <w:rPr>
          <w:rFonts w:hint="eastAsia" w:ascii="Calibri" w:hAnsi="Calibri"/>
          <w:sz w:val="21"/>
          <w:szCs w:val="21"/>
          <w:highlight w:val="none"/>
        </w:rPr>
        <w:t xml:space="preserve">  根据现行税法规定对卖方征收的与本合同有关的一切税费均应由卖方负担。</w:t>
      </w:r>
    </w:p>
    <w:p w14:paraId="010BFD0D">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26 履约保证金</w:t>
      </w:r>
    </w:p>
    <w:p w14:paraId="15383B75">
      <w:pPr>
        <w:spacing w:line="420" w:lineRule="exact"/>
        <w:ind w:firstLine="420" w:firstLineChars="200"/>
        <w:rPr>
          <w:rFonts w:ascii="黑体" w:hAnsi="Calibri" w:eastAsia="黑体"/>
          <w:sz w:val="21"/>
          <w:szCs w:val="21"/>
          <w:highlight w:val="none"/>
        </w:rPr>
      </w:pPr>
      <w:r>
        <w:rPr>
          <w:rFonts w:hint="eastAsia" w:ascii="Calibri" w:hAnsi="Calibri"/>
          <w:sz w:val="21"/>
          <w:szCs w:val="21"/>
          <w:highlight w:val="none"/>
        </w:rPr>
        <w:t>合同签订合同前，卖方缴纳合同价10%的履约保证金至买方账户。按“合同条款前附表”第5项中所规定的付款计划</w:t>
      </w:r>
      <w:r>
        <w:rPr>
          <w:rFonts w:hint="eastAsia" w:ascii="Calibri" w:hAnsi="Calibri"/>
          <w:sz w:val="21"/>
          <w:szCs w:val="21"/>
          <w:highlight w:val="none"/>
          <w:lang w:val="en-US" w:eastAsia="zh-CN"/>
        </w:rPr>
        <w:t>执行</w:t>
      </w:r>
      <w:r>
        <w:rPr>
          <w:rFonts w:hint="eastAsia" w:ascii="Calibri" w:hAnsi="Calibri"/>
          <w:sz w:val="21"/>
          <w:szCs w:val="21"/>
          <w:highlight w:val="none"/>
        </w:rPr>
        <w:t>。</w:t>
      </w:r>
    </w:p>
    <w:p w14:paraId="35F07699">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27  合同争议的解决方式</w:t>
      </w:r>
    </w:p>
    <w:p w14:paraId="5A579D33">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合同在履行过程中如果发生争议，先由双方协商解决，协商不成时，任何一方均可向本工程所在地即买方所在地</w:t>
      </w:r>
      <w:r>
        <w:rPr>
          <w:rFonts w:hint="eastAsia" w:ascii="Calibri" w:hAnsi="Calibri"/>
          <w:sz w:val="21"/>
          <w:szCs w:val="21"/>
          <w:highlight w:val="none"/>
          <w:lang w:val="en-US" w:eastAsia="zh-CN"/>
        </w:rPr>
        <w:t>南通市通州区</w:t>
      </w:r>
      <w:r>
        <w:rPr>
          <w:rFonts w:hint="eastAsia" w:ascii="Calibri" w:hAnsi="Calibri"/>
          <w:sz w:val="21"/>
          <w:szCs w:val="21"/>
          <w:highlight w:val="none"/>
        </w:rPr>
        <w:t>人民法院起诉。</w:t>
      </w:r>
    </w:p>
    <w:p w14:paraId="2F1E977B">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28 违约终止合同</w:t>
      </w:r>
    </w:p>
    <w:p w14:paraId="10400CA9">
      <w:pPr>
        <w:spacing w:line="420" w:lineRule="exact"/>
        <w:ind w:firstLine="420" w:firstLineChars="200"/>
        <w:rPr>
          <w:rFonts w:ascii="Calibri" w:hAnsi="Calibri"/>
          <w:sz w:val="21"/>
          <w:szCs w:val="21"/>
          <w:highlight w:val="none"/>
        </w:rPr>
      </w:pPr>
      <w:r>
        <w:rPr>
          <w:rFonts w:ascii="Calibri" w:hAnsi="Calibri"/>
          <w:sz w:val="21"/>
          <w:szCs w:val="21"/>
          <w:highlight w:val="none"/>
        </w:rPr>
        <w:t>28.1</w:t>
      </w:r>
      <w:r>
        <w:rPr>
          <w:rFonts w:hint="eastAsia" w:ascii="Calibri" w:hAnsi="Calibri"/>
          <w:sz w:val="21"/>
          <w:szCs w:val="21"/>
          <w:highlight w:val="none"/>
        </w:rPr>
        <w:t xml:space="preserve">  在买方对卖方违约而采取的任何补救措施不受影响的情况下，买方可在下列情况下向卖方发出书面通知书，提出终止部分或全部合同；</w:t>
      </w:r>
    </w:p>
    <w:p w14:paraId="314F1EA6">
      <w:pPr>
        <w:spacing w:line="420" w:lineRule="exact"/>
        <w:ind w:firstLine="420" w:firstLineChars="200"/>
        <w:rPr>
          <w:rFonts w:ascii="Calibri" w:hAnsi="Calibri"/>
          <w:sz w:val="21"/>
          <w:szCs w:val="21"/>
          <w:highlight w:val="none"/>
        </w:rPr>
      </w:pPr>
      <w:r>
        <w:rPr>
          <w:rFonts w:ascii="Calibri" w:hAnsi="Calibri"/>
          <w:sz w:val="21"/>
          <w:szCs w:val="21"/>
          <w:highlight w:val="none"/>
        </w:rPr>
        <w:t>28.1.1</w:t>
      </w:r>
      <w:r>
        <w:rPr>
          <w:rFonts w:hint="eastAsia" w:ascii="Calibri" w:hAnsi="Calibri"/>
          <w:sz w:val="21"/>
          <w:szCs w:val="21"/>
          <w:highlight w:val="none"/>
        </w:rPr>
        <w:t xml:space="preserve">  卖方未能在合同规定的限期或买方同意延长的限期内提供部分或全部货物；</w:t>
      </w:r>
    </w:p>
    <w:p w14:paraId="3E50F835">
      <w:pPr>
        <w:spacing w:line="420" w:lineRule="exact"/>
        <w:ind w:firstLine="420" w:firstLineChars="200"/>
        <w:rPr>
          <w:rFonts w:ascii="Calibri" w:hAnsi="Calibri"/>
          <w:sz w:val="21"/>
          <w:szCs w:val="21"/>
          <w:highlight w:val="none"/>
        </w:rPr>
      </w:pPr>
      <w:r>
        <w:rPr>
          <w:rFonts w:ascii="Calibri" w:hAnsi="Calibri"/>
          <w:sz w:val="21"/>
          <w:szCs w:val="21"/>
          <w:highlight w:val="none"/>
        </w:rPr>
        <w:t>28.1.2</w:t>
      </w:r>
      <w:r>
        <w:rPr>
          <w:rFonts w:hint="eastAsia" w:ascii="Calibri" w:hAnsi="Calibri"/>
          <w:sz w:val="21"/>
          <w:szCs w:val="21"/>
          <w:highlight w:val="none"/>
        </w:rPr>
        <w:t xml:space="preserve">  卖方未能履行合同规定的其他任何义务。</w:t>
      </w:r>
    </w:p>
    <w:p w14:paraId="1C01E50F">
      <w:pPr>
        <w:spacing w:line="420" w:lineRule="exact"/>
        <w:ind w:firstLine="420" w:firstLineChars="200"/>
        <w:rPr>
          <w:rFonts w:ascii="Calibri" w:hAnsi="Calibri"/>
          <w:sz w:val="21"/>
          <w:szCs w:val="21"/>
          <w:highlight w:val="none"/>
        </w:rPr>
      </w:pPr>
      <w:r>
        <w:rPr>
          <w:rFonts w:ascii="Calibri" w:hAnsi="Calibri"/>
          <w:sz w:val="21"/>
          <w:szCs w:val="21"/>
          <w:highlight w:val="none"/>
        </w:rPr>
        <w:t>28.2</w:t>
      </w:r>
      <w:r>
        <w:rPr>
          <w:rFonts w:hint="eastAsia" w:ascii="Calibri" w:hAnsi="Calibri"/>
          <w:sz w:val="21"/>
          <w:szCs w:val="21"/>
          <w:highlight w:val="none"/>
        </w:rPr>
        <w:t xml:space="preserve">  如果买方根据上述第</w:t>
      </w:r>
      <w:r>
        <w:rPr>
          <w:rFonts w:ascii="Calibri" w:hAnsi="Calibri"/>
          <w:sz w:val="21"/>
          <w:szCs w:val="21"/>
          <w:highlight w:val="none"/>
        </w:rPr>
        <w:t xml:space="preserve">28.1 </w:t>
      </w:r>
      <w:r>
        <w:rPr>
          <w:rFonts w:hint="eastAsia" w:ascii="Calibri" w:hAnsi="Calibri"/>
          <w:sz w:val="21"/>
          <w:szCs w:val="21"/>
          <w:highlight w:val="none"/>
        </w:rPr>
        <w:t>条的规定，终止了部分或全部合同，买方可以依其认为适当的条件和方法购买与未交货物相类似的货物，卖方应对购买类似货物所超出的那部分费用负责。同时，卖方仍应继续执行合同中未终止的部分。</w:t>
      </w:r>
    </w:p>
    <w:p w14:paraId="6F3F59A2">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29  破产终止合同</w:t>
      </w:r>
    </w:p>
    <w:p w14:paraId="6293E05C">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如果卖方破产或丧失清偿能力，买方可在任何时候以书面形式通知卖方终止合同而不给卖方补偿。该终止合同的行为将不损害或影响买方在本合同项下已经或将要采取的任何其他行动或补救措施的权力。</w:t>
      </w:r>
    </w:p>
    <w:p w14:paraId="19457C80">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30  便利终止合同</w:t>
      </w:r>
    </w:p>
    <w:p w14:paraId="54486D7B">
      <w:pPr>
        <w:spacing w:line="420" w:lineRule="exact"/>
        <w:ind w:firstLine="420" w:firstLineChars="200"/>
        <w:rPr>
          <w:rFonts w:ascii="Calibri" w:hAnsi="Calibri"/>
          <w:sz w:val="21"/>
          <w:szCs w:val="21"/>
          <w:highlight w:val="none"/>
        </w:rPr>
      </w:pPr>
      <w:r>
        <w:rPr>
          <w:rFonts w:ascii="Calibri" w:hAnsi="Calibri"/>
          <w:sz w:val="21"/>
          <w:szCs w:val="21"/>
          <w:highlight w:val="none"/>
        </w:rPr>
        <w:t>30.1</w:t>
      </w:r>
      <w:r>
        <w:rPr>
          <w:rFonts w:hint="eastAsia" w:ascii="Calibri" w:hAnsi="Calibri"/>
          <w:sz w:val="21"/>
          <w:szCs w:val="21"/>
          <w:highlight w:val="none"/>
        </w:rPr>
        <w:t xml:space="preserve">  买方可在任何时候出于自身的便利向卖方发出部分或全部终止合同的书面通知，该书面通知应明确终止合同是出于买方的便利，终止合同的书面通知到达卖方时生效。</w:t>
      </w:r>
    </w:p>
    <w:p w14:paraId="2B4FD0AB">
      <w:pPr>
        <w:spacing w:line="420" w:lineRule="exact"/>
        <w:ind w:firstLine="420" w:firstLineChars="200"/>
        <w:rPr>
          <w:rFonts w:ascii="Calibri" w:hAnsi="Calibri"/>
          <w:sz w:val="21"/>
          <w:szCs w:val="21"/>
          <w:highlight w:val="none"/>
        </w:rPr>
      </w:pPr>
      <w:r>
        <w:rPr>
          <w:rFonts w:ascii="Calibri" w:hAnsi="Calibri"/>
          <w:sz w:val="21"/>
          <w:szCs w:val="21"/>
          <w:highlight w:val="none"/>
        </w:rPr>
        <w:t>30.2</w:t>
      </w:r>
      <w:r>
        <w:rPr>
          <w:rFonts w:hint="eastAsia" w:ascii="Calibri" w:hAnsi="Calibri"/>
          <w:sz w:val="21"/>
          <w:szCs w:val="21"/>
          <w:highlight w:val="none"/>
        </w:rPr>
        <w:t xml:space="preserve">  对卖方在收到终止合同通知后28天内可完成并准备装运的货物，买方应按原合同价格的条款予以接收。对于剩下的货物，买方可按下列方法处置：</w:t>
      </w:r>
    </w:p>
    <w:p w14:paraId="2D8E7EB5">
      <w:pPr>
        <w:spacing w:line="420" w:lineRule="exact"/>
        <w:ind w:firstLine="420" w:firstLineChars="200"/>
        <w:rPr>
          <w:rFonts w:ascii="Calibri" w:hAnsi="Calibri"/>
          <w:sz w:val="21"/>
          <w:szCs w:val="21"/>
          <w:highlight w:val="none"/>
        </w:rPr>
      </w:pPr>
      <w:r>
        <w:rPr>
          <w:rFonts w:ascii="Calibri" w:hAnsi="Calibri"/>
          <w:sz w:val="21"/>
          <w:szCs w:val="21"/>
          <w:highlight w:val="none"/>
        </w:rPr>
        <w:t>30.2.1</w:t>
      </w:r>
      <w:r>
        <w:rPr>
          <w:rFonts w:hint="eastAsia" w:ascii="Calibri" w:hAnsi="Calibri"/>
          <w:sz w:val="21"/>
          <w:szCs w:val="21"/>
          <w:highlight w:val="none"/>
        </w:rPr>
        <w:t xml:space="preserve">  让任一部分按照原来的合同价格和条款完成装运和交货；</w:t>
      </w:r>
    </w:p>
    <w:p w14:paraId="2F6E039B">
      <w:pPr>
        <w:spacing w:line="420" w:lineRule="exact"/>
        <w:ind w:firstLine="420" w:firstLineChars="200"/>
        <w:rPr>
          <w:rFonts w:ascii="Calibri" w:hAnsi="Calibri"/>
          <w:sz w:val="21"/>
          <w:szCs w:val="21"/>
          <w:highlight w:val="none"/>
        </w:rPr>
      </w:pPr>
      <w:r>
        <w:rPr>
          <w:rFonts w:ascii="Calibri" w:hAnsi="Calibri"/>
          <w:sz w:val="21"/>
          <w:szCs w:val="21"/>
          <w:highlight w:val="none"/>
        </w:rPr>
        <w:t>30.2.2</w:t>
      </w:r>
      <w:r>
        <w:rPr>
          <w:rFonts w:hint="eastAsia" w:ascii="Calibri" w:hAnsi="Calibri"/>
          <w:sz w:val="21"/>
          <w:szCs w:val="21"/>
          <w:highlight w:val="none"/>
        </w:rPr>
        <w:t xml:space="preserve">  取消该剩下货物的装运和交货，并按双方商定的金额向卖方支付部分已完成货物的制造和服务费用以及卖方此前为制造所订货物而已采购的材料和部件的费用。</w:t>
      </w:r>
    </w:p>
    <w:p w14:paraId="2F889A09">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31  转让和分包</w:t>
      </w:r>
    </w:p>
    <w:p w14:paraId="5F3B3BBA">
      <w:pPr>
        <w:spacing w:line="420" w:lineRule="exact"/>
        <w:ind w:firstLine="420" w:firstLineChars="200"/>
        <w:rPr>
          <w:rFonts w:ascii="Calibri" w:hAnsi="Calibri"/>
          <w:sz w:val="21"/>
          <w:szCs w:val="21"/>
          <w:highlight w:val="none"/>
        </w:rPr>
      </w:pPr>
      <w:r>
        <w:rPr>
          <w:rFonts w:ascii="Calibri" w:hAnsi="Calibri"/>
          <w:sz w:val="21"/>
          <w:szCs w:val="21"/>
          <w:highlight w:val="none"/>
        </w:rPr>
        <w:t>31.1</w:t>
      </w:r>
      <w:r>
        <w:rPr>
          <w:rFonts w:hint="eastAsia" w:ascii="Calibri" w:hAnsi="Calibri"/>
          <w:sz w:val="21"/>
          <w:szCs w:val="21"/>
          <w:highlight w:val="none"/>
        </w:rPr>
        <w:t xml:space="preserve">  除买方事先书面同意外，卖方不得部分或全部转让其应履行的合同义务。</w:t>
      </w:r>
    </w:p>
    <w:p w14:paraId="35110DB0">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31.2 </w:t>
      </w:r>
      <w:r>
        <w:rPr>
          <w:rFonts w:hint="eastAsia" w:ascii="Calibri" w:hAnsi="Calibri"/>
          <w:sz w:val="21"/>
          <w:szCs w:val="21"/>
          <w:highlight w:val="none"/>
        </w:rPr>
        <w:t xml:space="preserve"> 如投标文件中没有明确分包合同，在本合同签约前，卖方应书面通知买方其在本合同中所分包的全部分包合同，无论是原投标文件中的还是后续通知的分包合同均不能解除卖方履行本合同的责任和义务。</w:t>
      </w:r>
    </w:p>
    <w:p w14:paraId="2725525A">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32  合同文件和资料的使用</w:t>
      </w:r>
    </w:p>
    <w:p w14:paraId="2EB5F55F">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32.1 </w:t>
      </w:r>
      <w:r>
        <w:rPr>
          <w:rFonts w:hint="eastAsia" w:ascii="Calibri" w:hAnsi="Calibri"/>
          <w:sz w:val="21"/>
          <w:szCs w:val="21"/>
          <w:highlight w:val="none"/>
        </w:rPr>
        <w:t xml:space="preserve"> 未经买方事先书面同意，卖方不得将由买方提供的有关合同、合同条文、规格、计划、图样、模型、样品或资料提供给与履行本合同无关的任何其他人。即使向本合同的雇员提供，也应注意保密并限于履行本合同所必需的范围。</w:t>
      </w:r>
    </w:p>
    <w:p w14:paraId="4F127868">
      <w:pPr>
        <w:spacing w:line="420" w:lineRule="exact"/>
        <w:ind w:firstLine="420" w:firstLineChars="200"/>
        <w:rPr>
          <w:rFonts w:ascii="Calibri" w:hAnsi="Calibri"/>
          <w:sz w:val="21"/>
          <w:szCs w:val="21"/>
          <w:highlight w:val="none"/>
        </w:rPr>
      </w:pPr>
      <w:r>
        <w:rPr>
          <w:rFonts w:ascii="Calibri" w:hAnsi="Calibri"/>
          <w:sz w:val="21"/>
          <w:szCs w:val="21"/>
          <w:highlight w:val="none"/>
        </w:rPr>
        <w:t>32.2</w:t>
      </w:r>
      <w:r>
        <w:rPr>
          <w:rFonts w:hint="eastAsia" w:ascii="Calibri" w:hAnsi="Calibri"/>
          <w:sz w:val="21"/>
          <w:szCs w:val="21"/>
          <w:highlight w:val="none"/>
        </w:rPr>
        <w:t xml:space="preserve">  未经买方事先书面同意，除履行本合同之外，卖方不应使用“合同条款”第</w:t>
      </w:r>
      <w:r>
        <w:rPr>
          <w:rFonts w:ascii="Calibri" w:hAnsi="Calibri"/>
          <w:sz w:val="21"/>
          <w:szCs w:val="21"/>
          <w:highlight w:val="none"/>
        </w:rPr>
        <w:t>32.1</w:t>
      </w:r>
      <w:r>
        <w:rPr>
          <w:rFonts w:hint="eastAsia" w:ascii="Calibri" w:hAnsi="Calibri"/>
          <w:sz w:val="21"/>
          <w:szCs w:val="21"/>
          <w:highlight w:val="none"/>
        </w:rPr>
        <w:t>条所列举的任何文件和资料。</w:t>
      </w:r>
    </w:p>
    <w:p w14:paraId="3E351044">
      <w:pPr>
        <w:spacing w:line="420" w:lineRule="exact"/>
        <w:ind w:firstLine="420" w:firstLineChars="200"/>
        <w:rPr>
          <w:rFonts w:ascii="Calibri" w:hAnsi="Calibri"/>
          <w:sz w:val="21"/>
          <w:szCs w:val="21"/>
          <w:highlight w:val="none"/>
        </w:rPr>
      </w:pPr>
      <w:r>
        <w:rPr>
          <w:rFonts w:ascii="Calibri" w:hAnsi="Calibri"/>
          <w:sz w:val="21"/>
          <w:szCs w:val="21"/>
          <w:highlight w:val="none"/>
        </w:rPr>
        <w:t>32.3</w:t>
      </w:r>
      <w:r>
        <w:rPr>
          <w:rFonts w:hint="eastAsia" w:ascii="Calibri" w:hAnsi="Calibri"/>
          <w:sz w:val="21"/>
          <w:szCs w:val="21"/>
          <w:highlight w:val="none"/>
        </w:rPr>
        <w:t xml:space="preserve">  除合同本身外，“合同条款”第</w:t>
      </w:r>
      <w:r>
        <w:rPr>
          <w:rFonts w:ascii="Calibri" w:hAnsi="Calibri"/>
          <w:sz w:val="21"/>
          <w:szCs w:val="21"/>
          <w:highlight w:val="none"/>
        </w:rPr>
        <w:t>32.1</w:t>
      </w:r>
      <w:r>
        <w:rPr>
          <w:rFonts w:hint="eastAsia" w:ascii="Calibri" w:hAnsi="Calibri"/>
          <w:sz w:val="21"/>
          <w:szCs w:val="21"/>
          <w:highlight w:val="none"/>
        </w:rPr>
        <w:t>条所列举的任何文件和资料是买方的财产。如果买方有要求，卖方应在完成合同后将这些文件和资料</w:t>
      </w:r>
      <w:r>
        <w:rPr>
          <w:rFonts w:ascii="Calibri" w:hAnsi="Calibri"/>
          <w:sz w:val="21"/>
          <w:szCs w:val="21"/>
          <w:highlight w:val="none"/>
        </w:rPr>
        <w:t>(</w:t>
      </w:r>
      <w:r>
        <w:rPr>
          <w:rFonts w:hint="eastAsia" w:ascii="Calibri" w:hAnsi="Calibri"/>
          <w:sz w:val="21"/>
          <w:szCs w:val="21"/>
          <w:highlight w:val="none"/>
        </w:rPr>
        <w:t>包括全部副本</w:t>
      </w:r>
      <w:r>
        <w:rPr>
          <w:rFonts w:ascii="Calibri" w:hAnsi="Calibri"/>
          <w:sz w:val="21"/>
          <w:szCs w:val="21"/>
          <w:highlight w:val="none"/>
        </w:rPr>
        <w:t>)</w:t>
      </w:r>
      <w:r>
        <w:rPr>
          <w:rFonts w:hint="eastAsia" w:ascii="Calibri" w:hAnsi="Calibri"/>
          <w:sz w:val="21"/>
          <w:szCs w:val="21"/>
          <w:highlight w:val="none"/>
        </w:rPr>
        <w:t>还给买方。</w:t>
      </w:r>
    </w:p>
    <w:p w14:paraId="1078B6B7">
      <w:pPr>
        <w:spacing w:line="420" w:lineRule="exact"/>
        <w:ind w:firstLine="420" w:firstLineChars="200"/>
        <w:rPr>
          <w:rFonts w:ascii="黑体" w:hAnsi="Calibri" w:eastAsia="黑体"/>
          <w:sz w:val="21"/>
          <w:szCs w:val="21"/>
          <w:highlight w:val="none"/>
        </w:rPr>
      </w:pPr>
      <w:r>
        <w:rPr>
          <w:rFonts w:hint="eastAsia" w:ascii="黑体" w:hAnsi="Calibri" w:eastAsia="黑体"/>
          <w:sz w:val="21"/>
          <w:szCs w:val="21"/>
          <w:highlight w:val="none"/>
        </w:rPr>
        <w:t>33  合同生效</w:t>
      </w:r>
    </w:p>
    <w:p w14:paraId="5AD351CB">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本合同在满足下列所有条件时即生效：</w:t>
      </w:r>
    </w:p>
    <w:p w14:paraId="77F1E2C9">
      <w:pPr>
        <w:spacing w:line="420" w:lineRule="exact"/>
        <w:ind w:firstLine="420" w:firstLineChars="200"/>
        <w:rPr>
          <w:rFonts w:ascii="Calibri" w:hAnsi="Calibri"/>
          <w:sz w:val="21"/>
          <w:szCs w:val="21"/>
          <w:highlight w:val="none"/>
        </w:rPr>
      </w:pPr>
      <w:r>
        <w:rPr>
          <w:rFonts w:ascii="Calibri" w:hAnsi="Calibri"/>
          <w:sz w:val="21"/>
          <w:szCs w:val="21"/>
          <w:highlight w:val="none"/>
        </w:rPr>
        <w:t>33.1</w:t>
      </w:r>
      <w:r>
        <w:rPr>
          <w:rFonts w:hint="eastAsia" w:ascii="Calibri" w:hAnsi="Calibri"/>
          <w:sz w:val="21"/>
          <w:szCs w:val="21"/>
          <w:highlight w:val="none"/>
        </w:rPr>
        <w:t xml:space="preserve">  合同已由双方的法定代表人或其授权代表签署并加盖了单位印章；</w:t>
      </w:r>
    </w:p>
    <w:p w14:paraId="721F8073">
      <w:pPr>
        <w:spacing w:line="420" w:lineRule="exact"/>
        <w:ind w:firstLine="420" w:firstLineChars="200"/>
        <w:rPr>
          <w:rFonts w:ascii="Calibri" w:hAnsi="Calibri"/>
          <w:sz w:val="21"/>
          <w:szCs w:val="21"/>
          <w:highlight w:val="none"/>
        </w:rPr>
      </w:pPr>
      <w:r>
        <w:rPr>
          <w:rFonts w:ascii="Calibri" w:hAnsi="Calibri"/>
          <w:sz w:val="21"/>
          <w:szCs w:val="21"/>
          <w:highlight w:val="none"/>
        </w:rPr>
        <w:t xml:space="preserve">33.2 </w:t>
      </w:r>
      <w:r>
        <w:rPr>
          <w:rFonts w:hint="eastAsia" w:ascii="Calibri" w:hAnsi="Calibri"/>
          <w:sz w:val="21"/>
          <w:szCs w:val="21"/>
          <w:highlight w:val="none"/>
        </w:rPr>
        <w:t xml:space="preserve"> 卖方已按规定递交了履约保证金。</w:t>
      </w:r>
    </w:p>
    <w:p w14:paraId="0B8C43E9">
      <w:pPr>
        <w:spacing w:line="420" w:lineRule="exact"/>
        <w:ind w:firstLine="420" w:firstLineChars="200"/>
        <w:rPr>
          <w:rFonts w:ascii="黑体" w:hAnsi="Calibri" w:eastAsia="黑体"/>
          <w:sz w:val="21"/>
          <w:szCs w:val="21"/>
          <w:highlight w:val="none"/>
        </w:rPr>
      </w:pPr>
      <w:r>
        <w:rPr>
          <w:rFonts w:ascii="黑体" w:hAnsi="Calibri" w:eastAsia="黑体"/>
          <w:sz w:val="21"/>
          <w:szCs w:val="21"/>
          <w:highlight w:val="none"/>
        </w:rPr>
        <w:t>34</w:t>
      </w:r>
      <w:r>
        <w:rPr>
          <w:rFonts w:hint="eastAsia" w:ascii="黑体" w:hAnsi="Calibri" w:eastAsia="黑体"/>
          <w:sz w:val="21"/>
          <w:szCs w:val="21"/>
          <w:highlight w:val="none"/>
        </w:rPr>
        <w:t xml:space="preserve">  其他</w:t>
      </w:r>
    </w:p>
    <w:p w14:paraId="36F0814A">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34.1  卖方应履行投标文件中明确的项目技术服务和售后维修人员的承诺提供安装调试和维修服务，卖方的售后服务响应时间为：在免费质保期内，卖方在接到用户单位报修通知后，须在</w:t>
      </w:r>
      <w:r>
        <w:rPr>
          <w:rFonts w:hint="eastAsia" w:cs="宋体"/>
          <w:b/>
          <w:bCs/>
          <w:sz w:val="24"/>
          <w:highlight w:val="none"/>
          <w:lang w:val="en-US" w:eastAsia="zh-CN"/>
        </w:rPr>
        <w:t>2小时</w:t>
      </w:r>
      <w:r>
        <w:rPr>
          <w:rFonts w:hint="eastAsia" w:cs="宋体"/>
          <w:b/>
          <w:bCs/>
          <w:sz w:val="24"/>
          <w:highlight w:val="none"/>
        </w:rPr>
        <w:t>内到达现场。</w:t>
      </w:r>
      <w:r>
        <w:rPr>
          <w:rFonts w:hint="eastAsia"/>
          <w:b/>
          <w:bCs/>
          <w:sz w:val="24"/>
          <w:szCs w:val="24"/>
          <w:highlight w:val="none"/>
          <w:lang w:val="en-US" w:eastAsia="zh-CN"/>
        </w:rPr>
        <w:t>不更换设备的4小时内完成修复；更换设备的24小时内完成修复。如发生超时发包人有权扣罚款1000元/次</w:t>
      </w:r>
      <w:r>
        <w:rPr>
          <w:rFonts w:hint="eastAsia" w:ascii="Calibri" w:hAnsi="Calibri"/>
          <w:sz w:val="21"/>
          <w:szCs w:val="21"/>
          <w:highlight w:val="none"/>
        </w:rPr>
        <w:t>。</w:t>
      </w:r>
    </w:p>
    <w:p w14:paraId="33F78DB6">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34.2  卖方应按投标文件的承诺向买方提供人员培训服务。</w:t>
      </w:r>
    </w:p>
    <w:p w14:paraId="256FF878">
      <w:pPr>
        <w:spacing w:line="420" w:lineRule="exact"/>
        <w:ind w:firstLine="420" w:firstLineChars="200"/>
        <w:rPr>
          <w:rFonts w:ascii="Calibri" w:hAnsi="Calibri"/>
          <w:sz w:val="21"/>
          <w:szCs w:val="21"/>
          <w:highlight w:val="none"/>
        </w:rPr>
      </w:pPr>
      <w:r>
        <w:rPr>
          <w:rFonts w:hint="eastAsia" w:ascii="Calibri" w:hAnsi="Calibri"/>
          <w:sz w:val="21"/>
          <w:szCs w:val="21"/>
          <w:highlight w:val="none"/>
        </w:rPr>
        <w:t>34.3  本合同条款，中标通知书，投标过程中的澄清、补漏记录，招标文件，投标文件，相关国家标准、规范均为合同文件的组成部分，且按上列顺序进行解释。</w:t>
      </w:r>
    </w:p>
    <w:p w14:paraId="79036B97">
      <w:pPr>
        <w:spacing w:line="420" w:lineRule="exact"/>
        <w:ind w:firstLine="420" w:firstLineChars="200"/>
        <w:rPr>
          <w:rFonts w:hint="eastAsia" w:ascii="宋体" w:hAnsi="宋体" w:cs="宋体"/>
          <w:sz w:val="21"/>
          <w:szCs w:val="21"/>
          <w:highlight w:val="none"/>
        </w:rPr>
      </w:pPr>
      <w:r>
        <w:rPr>
          <w:rFonts w:hint="eastAsia" w:ascii="Calibri" w:hAnsi="Calibri"/>
          <w:sz w:val="21"/>
          <w:szCs w:val="21"/>
          <w:highlight w:val="none"/>
        </w:rPr>
        <w:t>34.4</w:t>
      </w:r>
      <w:r>
        <w:rPr>
          <w:rFonts w:hint="eastAsia" w:ascii="宋体" w:hAnsi="宋体" w:cs="宋体"/>
          <w:sz w:val="21"/>
          <w:szCs w:val="21"/>
          <w:highlight w:val="none"/>
        </w:rPr>
        <w:t xml:space="preserve">  本合同未尽部分，按照招标文件及投标书执行</w:t>
      </w:r>
    </w:p>
    <w:p w14:paraId="05D7E0AC">
      <w:pPr>
        <w:spacing w:line="420" w:lineRule="exact"/>
        <w:ind w:firstLine="420" w:firstLineChars="200"/>
        <w:rPr>
          <w:rFonts w:ascii="Calibri" w:hAnsi="Calibri"/>
          <w:sz w:val="24"/>
          <w:szCs w:val="24"/>
          <w:highlight w:val="none"/>
        </w:rPr>
      </w:pPr>
      <w:r>
        <w:rPr>
          <w:rFonts w:hint="eastAsia" w:ascii="Calibri" w:hAnsi="Calibri"/>
          <w:sz w:val="21"/>
          <w:szCs w:val="21"/>
          <w:highlight w:val="none"/>
        </w:rPr>
        <w:t>34.</w:t>
      </w:r>
      <w:r>
        <w:rPr>
          <w:rFonts w:hint="eastAsia" w:ascii="Calibri" w:hAnsi="Calibri"/>
          <w:sz w:val="21"/>
          <w:szCs w:val="21"/>
          <w:highlight w:val="none"/>
          <w:lang w:val="en-US" w:eastAsia="zh-CN"/>
        </w:rPr>
        <w:t>5</w:t>
      </w:r>
      <w:r>
        <w:rPr>
          <w:rFonts w:hint="eastAsia" w:ascii="Calibri" w:hAnsi="Calibri"/>
          <w:sz w:val="21"/>
          <w:szCs w:val="21"/>
          <w:highlight w:val="none"/>
        </w:rPr>
        <w:t xml:space="preserve">  本合同一式肆份，双方各执贰份。 </w:t>
      </w:r>
    </w:p>
    <w:p w14:paraId="0742C172">
      <w:pPr>
        <w:spacing w:line="480" w:lineRule="auto"/>
        <w:rPr>
          <w:rFonts w:hint="eastAsia" w:ascii="Calibri" w:hAnsi="Calibri"/>
          <w:sz w:val="21"/>
          <w:szCs w:val="21"/>
          <w:highlight w:val="none"/>
          <w:lang w:val="en-US" w:eastAsia="zh-CN"/>
        </w:rPr>
      </w:pPr>
      <w:r>
        <w:rPr>
          <w:rFonts w:hint="eastAsia" w:ascii="Calibri" w:hAnsi="Calibri"/>
          <w:sz w:val="21"/>
          <w:szCs w:val="21"/>
          <w:highlight w:val="none"/>
          <w:lang w:val="en-US" w:eastAsia="zh-CN"/>
        </w:rPr>
        <w:t>甲方单位：（盖章）                        乙方单位：（盖章）</w:t>
      </w:r>
    </w:p>
    <w:p w14:paraId="29AFEF80">
      <w:pPr>
        <w:spacing w:line="480" w:lineRule="auto"/>
        <w:rPr>
          <w:rFonts w:hint="default" w:ascii="Calibri" w:hAnsi="Calibri"/>
          <w:sz w:val="21"/>
          <w:szCs w:val="21"/>
          <w:highlight w:val="none"/>
          <w:lang w:val="en-US" w:eastAsia="zh-CN"/>
        </w:rPr>
      </w:pPr>
      <w:r>
        <w:rPr>
          <w:rFonts w:hint="eastAsia" w:ascii="Calibri" w:hAnsi="Calibri"/>
          <w:sz w:val="21"/>
          <w:szCs w:val="21"/>
          <w:highlight w:val="none"/>
          <w:lang w:val="en-US" w:eastAsia="zh-CN"/>
        </w:rPr>
        <w:t>地址：                                    地址：</w:t>
      </w:r>
    </w:p>
    <w:p w14:paraId="41C61D8B">
      <w:pPr>
        <w:spacing w:line="480" w:lineRule="auto"/>
        <w:rPr>
          <w:rFonts w:hint="eastAsia" w:ascii="Calibri" w:hAnsi="Calibri"/>
          <w:sz w:val="21"/>
          <w:szCs w:val="21"/>
          <w:highlight w:val="none"/>
          <w:lang w:val="en-US" w:eastAsia="zh-CN"/>
        </w:rPr>
      </w:pPr>
      <w:r>
        <w:rPr>
          <w:rFonts w:hint="eastAsia" w:ascii="Calibri" w:hAnsi="Calibri"/>
          <w:sz w:val="21"/>
          <w:szCs w:val="21"/>
          <w:highlight w:val="none"/>
          <w:lang w:val="en-US" w:eastAsia="zh-CN"/>
        </w:rPr>
        <w:t>法定代表人：                              法定代表人：</w:t>
      </w:r>
    </w:p>
    <w:p w14:paraId="3843033D">
      <w:pPr>
        <w:spacing w:line="480" w:lineRule="auto"/>
        <w:rPr>
          <w:rFonts w:hint="default" w:ascii="Calibri" w:hAnsi="Calibri"/>
          <w:sz w:val="21"/>
          <w:szCs w:val="21"/>
          <w:highlight w:val="none"/>
          <w:lang w:val="en-US" w:eastAsia="zh-CN"/>
        </w:rPr>
      </w:pPr>
      <w:r>
        <w:rPr>
          <w:rFonts w:hint="eastAsia" w:ascii="Calibri" w:hAnsi="Calibri"/>
          <w:sz w:val="21"/>
          <w:szCs w:val="21"/>
          <w:highlight w:val="none"/>
          <w:lang w:val="en-US" w:eastAsia="zh-CN"/>
        </w:rPr>
        <w:t>委托代理人：                              委托代理人：</w:t>
      </w:r>
    </w:p>
    <w:p w14:paraId="1B536384">
      <w:pPr>
        <w:spacing w:line="480" w:lineRule="auto"/>
        <w:rPr>
          <w:rFonts w:hint="eastAsia" w:ascii="Calibri" w:hAnsi="Calibri"/>
          <w:sz w:val="21"/>
          <w:szCs w:val="21"/>
          <w:highlight w:val="none"/>
          <w:lang w:val="en-US" w:eastAsia="zh-CN"/>
        </w:rPr>
      </w:pPr>
      <w:r>
        <w:rPr>
          <w:rFonts w:hint="eastAsia" w:ascii="Calibri" w:hAnsi="Calibri"/>
          <w:sz w:val="21"/>
          <w:szCs w:val="21"/>
          <w:highlight w:val="none"/>
          <w:lang w:val="en-US" w:eastAsia="zh-CN"/>
        </w:rPr>
        <w:t>联系方式：                                联系方式：</w:t>
      </w:r>
    </w:p>
    <w:p w14:paraId="4D6FC93B">
      <w:pPr>
        <w:spacing w:line="480" w:lineRule="auto"/>
        <w:rPr>
          <w:rFonts w:hint="eastAsia" w:ascii="Calibri" w:hAnsi="Calibri"/>
          <w:sz w:val="21"/>
          <w:szCs w:val="21"/>
          <w:highlight w:val="none"/>
          <w:lang w:val="en-US" w:eastAsia="zh-CN"/>
        </w:rPr>
      </w:pPr>
      <w:r>
        <w:rPr>
          <w:rFonts w:hint="eastAsia" w:ascii="Calibri" w:hAnsi="Calibri"/>
          <w:sz w:val="21"/>
          <w:szCs w:val="21"/>
          <w:highlight w:val="none"/>
          <w:lang w:val="en-US" w:eastAsia="zh-CN"/>
        </w:rPr>
        <w:t>签订地点：</w:t>
      </w:r>
    </w:p>
    <w:p w14:paraId="1DACE413">
      <w:pPr>
        <w:spacing w:line="400" w:lineRule="exact"/>
        <w:ind w:left="629"/>
        <w:rPr>
          <w:rFonts w:ascii="Calibri" w:hAnsi="Calibri"/>
          <w:sz w:val="24"/>
          <w:szCs w:val="24"/>
          <w:highlight w:val="none"/>
        </w:rPr>
      </w:pPr>
    </w:p>
    <w:p w14:paraId="06F6C78D">
      <w:pPr>
        <w:spacing w:line="480" w:lineRule="exact"/>
        <w:ind w:firstLine="3839" w:firstLineChars="1195"/>
        <w:rPr>
          <w:rFonts w:ascii="Calibri" w:hAnsi="Calibri"/>
          <w:b/>
          <w:bCs/>
          <w:sz w:val="32"/>
          <w:szCs w:val="24"/>
          <w:highlight w:val="none"/>
        </w:rPr>
      </w:pPr>
      <w:r>
        <w:rPr>
          <w:rFonts w:hint="eastAsia" w:ascii="Calibri" w:hAnsi="Calibri"/>
          <w:b/>
          <w:bCs/>
          <w:sz w:val="32"/>
          <w:szCs w:val="24"/>
          <w:highlight w:val="none"/>
        </w:rPr>
        <w:t>廉政协议</w:t>
      </w:r>
    </w:p>
    <w:p w14:paraId="119BC217">
      <w:pPr>
        <w:spacing w:line="480" w:lineRule="exact"/>
        <w:rPr>
          <w:rFonts w:ascii="Calibri" w:hAnsi="Calibri"/>
          <w:sz w:val="24"/>
          <w:szCs w:val="24"/>
          <w:highlight w:val="none"/>
          <w:u w:val="single"/>
        </w:rPr>
      </w:pPr>
      <w:r>
        <w:rPr>
          <w:rFonts w:hint="eastAsia" w:ascii="Calibri" w:hAnsi="Calibri"/>
          <w:sz w:val="24"/>
          <w:szCs w:val="24"/>
          <w:highlight w:val="none"/>
        </w:rPr>
        <w:t>协议单位：买方（简称买方）：南通市通州区水务有限公司</w:t>
      </w:r>
    </w:p>
    <w:p w14:paraId="7860561F">
      <w:pPr>
        <w:spacing w:line="480" w:lineRule="exact"/>
        <w:ind w:firstLine="1200" w:firstLineChars="500"/>
        <w:rPr>
          <w:rFonts w:ascii="Calibri" w:hAnsi="Calibri"/>
          <w:sz w:val="24"/>
          <w:szCs w:val="24"/>
          <w:highlight w:val="none"/>
          <w:u w:val="single"/>
        </w:rPr>
      </w:pPr>
      <w:r>
        <w:rPr>
          <w:rFonts w:hint="eastAsia" w:ascii="Calibri" w:hAnsi="Calibri"/>
          <w:sz w:val="24"/>
          <w:szCs w:val="24"/>
          <w:highlight w:val="none"/>
        </w:rPr>
        <w:t>卖方（简称卖方）：</w:t>
      </w:r>
    </w:p>
    <w:p w14:paraId="6B63CFE4">
      <w:pPr>
        <w:spacing w:line="480" w:lineRule="exact"/>
        <w:ind w:firstLine="480" w:firstLineChars="200"/>
        <w:rPr>
          <w:rFonts w:ascii="Calibri" w:hAnsi="Calibri"/>
          <w:sz w:val="24"/>
          <w:szCs w:val="24"/>
          <w:highlight w:val="none"/>
        </w:rPr>
      </w:pPr>
      <w:r>
        <w:rPr>
          <w:rFonts w:hint="eastAsia" w:ascii="Calibri" w:hAnsi="Calibri"/>
          <w:sz w:val="24"/>
          <w:szCs w:val="24"/>
          <w:highlight w:val="none"/>
        </w:rPr>
        <w:t>为加强工程建设中的廉政建设，规范工程建设项目各方的各项活动，共同维护建设市场的秩序，确保工程质量。经协议各方协商，现就</w:t>
      </w:r>
      <w:r>
        <w:rPr>
          <w:rFonts w:hint="eastAsia" w:ascii="Calibri" w:hAnsi="Calibri"/>
          <w:sz w:val="24"/>
          <w:szCs w:val="24"/>
          <w:highlight w:val="none"/>
          <w:u w:val="single"/>
          <w:lang w:val="en-US" w:eastAsia="zh-CN"/>
        </w:rPr>
        <w:t>通州区应急水源地自控系统及监控安防改造升级</w:t>
      </w:r>
      <w:r>
        <w:rPr>
          <w:rFonts w:hint="eastAsia" w:ascii="Calibri" w:hAnsi="Calibri"/>
          <w:sz w:val="24"/>
          <w:szCs w:val="24"/>
          <w:highlight w:val="none"/>
          <w:u w:val="single"/>
        </w:rPr>
        <w:t>采购及安装项目</w:t>
      </w:r>
      <w:r>
        <w:rPr>
          <w:rFonts w:hint="eastAsia" w:ascii="Calibri" w:hAnsi="Calibri"/>
          <w:sz w:val="24"/>
          <w:szCs w:val="24"/>
          <w:highlight w:val="none"/>
        </w:rPr>
        <w:t>自愿签订廉政协议：</w:t>
      </w:r>
    </w:p>
    <w:p w14:paraId="3B697B6C">
      <w:pPr>
        <w:spacing w:line="520" w:lineRule="exact"/>
        <w:ind w:firstLine="645"/>
        <w:rPr>
          <w:rFonts w:ascii="Calibri" w:hAnsi="Calibri"/>
          <w:sz w:val="24"/>
          <w:szCs w:val="24"/>
          <w:highlight w:val="none"/>
        </w:rPr>
      </w:pPr>
      <w:r>
        <w:rPr>
          <w:rFonts w:hint="eastAsia" w:ascii="Calibri" w:hAnsi="Calibri"/>
          <w:sz w:val="24"/>
          <w:szCs w:val="24"/>
          <w:highlight w:val="none"/>
        </w:rPr>
        <w:t>一、协议各方应当自觉遵守国家、省、市关于建设工程材料采购工作规则以及有关廉政建设的各项规定。</w:t>
      </w:r>
    </w:p>
    <w:p w14:paraId="0BB16110">
      <w:pPr>
        <w:spacing w:line="520" w:lineRule="exact"/>
        <w:ind w:firstLine="645"/>
        <w:rPr>
          <w:rFonts w:ascii="Calibri" w:hAnsi="Calibri"/>
          <w:sz w:val="24"/>
          <w:szCs w:val="24"/>
          <w:highlight w:val="none"/>
        </w:rPr>
      </w:pPr>
      <w:r>
        <w:rPr>
          <w:rFonts w:hint="eastAsia" w:ascii="Calibri" w:hAnsi="Calibri"/>
          <w:sz w:val="24"/>
          <w:szCs w:val="24"/>
          <w:highlight w:val="none"/>
        </w:rPr>
        <w:t>二、买方及其工作人员不得以任何形式向卖方索要和收受回扣等好处费。</w:t>
      </w:r>
    </w:p>
    <w:p w14:paraId="2D1098D7">
      <w:pPr>
        <w:spacing w:line="520" w:lineRule="exact"/>
        <w:ind w:firstLine="645"/>
        <w:rPr>
          <w:rFonts w:ascii="Calibri" w:hAnsi="Calibri"/>
          <w:sz w:val="24"/>
          <w:szCs w:val="24"/>
          <w:highlight w:val="none"/>
        </w:rPr>
      </w:pPr>
      <w:r>
        <w:rPr>
          <w:rFonts w:hint="eastAsia" w:ascii="Calibri" w:hAnsi="Calibri"/>
          <w:sz w:val="24"/>
          <w:szCs w:val="24"/>
          <w:highlight w:val="none"/>
        </w:rPr>
        <w:t>三、买方工作人员应保持与卖方的正常业务交往，不得接受卖方的礼金、有价证券和贵重物品，不得在卖方报销任何应当由个人支付的费用。</w:t>
      </w:r>
    </w:p>
    <w:p w14:paraId="68649B1E">
      <w:pPr>
        <w:spacing w:line="520" w:lineRule="exact"/>
        <w:ind w:firstLine="645"/>
        <w:rPr>
          <w:rFonts w:ascii="Calibri" w:hAnsi="Calibri"/>
          <w:sz w:val="24"/>
          <w:szCs w:val="24"/>
          <w:highlight w:val="none"/>
        </w:rPr>
      </w:pPr>
      <w:r>
        <w:rPr>
          <w:rFonts w:hint="eastAsia" w:ascii="Calibri" w:hAnsi="Calibri"/>
          <w:sz w:val="24"/>
          <w:szCs w:val="24"/>
          <w:highlight w:val="none"/>
        </w:rPr>
        <w:t>四、买方人员不得参加可能对执行公务有影响的宴请和娱乐活动。</w:t>
      </w:r>
    </w:p>
    <w:p w14:paraId="55DB3585">
      <w:pPr>
        <w:spacing w:line="520" w:lineRule="exact"/>
        <w:ind w:firstLine="645"/>
        <w:rPr>
          <w:rFonts w:ascii="Calibri" w:hAnsi="Calibri"/>
          <w:sz w:val="24"/>
          <w:szCs w:val="24"/>
          <w:highlight w:val="none"/>
        </w:rPr>
      </w:pPr>
      <w:r>
        <w:rPr>
          <w:rFonts w:hint="eastAsia" w:ascii="Calibri" w:hAnsi="Calibri"/>
          <w:sz w:val="24"/>
          <w:szCs w:val="24"/>
          <w:highlight w:val="none"/>
        </w:rPr>
        <w:t>五、买方工作人员不得要求或者接受卖方为其住房装修、参与婚丧嫁娶、家属和子女的工作安排以及出国等提供方便。</w:t>
      </w:r>
    </w:p>
    <w:p w14:paraId="4614F753">
      <w:pPr>
        <w:spacing w:line="520" w:lineRule="exact"/>
        <w:ind w:firstLine="645"/>
        <w:rPr>
          <w:rFonts w:ascii="Calibri" w:hAnsi="Calibri"/>
          <w:sz w:val="24"/>
          <w:szCs w:val="24"/>
          <w:highlight w:val="none"/>
        </w:rPr>
      </w:pPr>
      <w:r>
        <w:rPr>
          <w:rFonts w:hint="eastAsia" w:ascii="Calibri" w:hAnsi="Calibri"/>
          <w:sz w:val="24"/>
          <w:szCs w:val="24"/>
          <w:highlight w:val="none"/>
        </w:rPr>
        <w:t>六、买方工作人员不得向卖方介绍家属或者亲友从事与买方工程有关的材料设备供应等经济活动。</w:t>
      </w:r>
    </w:p>
    <w:p w14:paraId="047FBA88">
      <w:pPr>
        <w:spacing w:line="520" w:lineRule="exact"/>
        <w:ind w:firstLine="645"/>
        <w:rPr>
          <w:rFonts w:ascii="Calibri" w:hAnsi="Calibri"/>
          <w:sz w:val="24"/>
          <w:szCs w:val="24"/>
          <w:highlight w:val="none"/>
        </w:rPr>
      </w:pPr>
      <w:r>
        <w:rPr>
          <w:rFonts w:hint="eastAsia" w:ascii="Calibri" w:hAnsi="Calibri"/>
          <w:sz w:val="24"/>
          <w:szCs w:val="24"/>
          <w:highlight w:val="none"/>
        </w:rPr>
        <w:t>七、卖方应当通过正常途径开展相关工作，不得为获取某些利益向买方工作人员赠送礼金、有价证券和贵重物品等。</w:t>
      </w:r>
    </w:p>
    <w:p w14:paraId="42A7377E">
      <w:pPr>
        <w:spacing w:line="520" w:lineRule="exact"/>
        <w:ind w:firstLine="645"/>
        <w:rPr>
          <w:rFonts w:ascii="Calibri" w:hAnsi="Calibri"/>
          <w:sz w:val="24"/>
          <w:szCs w:val="24"/>
          <w:highlight w:val="none"/>
        </w:rPr>
      </w:pPr>
      <w:r>
        <w:rPr>
          <w:rFonts w:hint="eastAsia" w:ascii="Calibri" w:hAnsi="Calibri"/>
          <w:sz w:val="24"/>
          <w:szCs w:val="24"/>
          <w:highlight w:val="none"/>
        </w:rPr>
        <w:t>八、卖方不得为谋取利益擅自与买方工作人员就工程材料设备供应问题处理进行私下商谈或者达成默契。</w:t>
      </w:r>
    </w:p>
    <w:p w14:paraId="09DDAA40">
      <w:pPr>
        <w:spacing w:line="520" w:lineRule="exact"/>
        <w:ind w:firstLine="645"/>
        <w:rPr>
          <w:rFonts w:ascii="Calibri" w:hAnsi="Calibri"/>
          <w:sz w:val="24"/>
          <w:szCs w:val="24"/>
          <w:highlight w:val="none"/>
        </w:rPr>
      </w:pPr>
      <w:r>
        <w:rPr>
          <w:rFonts w:hint="eastAsia" w:ascii="Calibri" w:hAnsi="Calibri"/>
          <w:sz w:val="24"/>
          <w:szCs w:val="24"/>
          <w:highlight w:val="none"/>
        </w:rPr>
        <w:t>九、卖方不得以洽谈业务、签订经济合同为借口，邀请买方工作人员外出旅游和进入营业性娱乐场所娱乐。</w:t>
      </w:r>
    </w:p>
    <w:p w14:paraId="106A064D">
      <w:pPr>
        <w:spacing w:line="520" w:lineRule="exact"/>
        <w:ind w:firstLine="645"/>
        <w:rPr>
          <w:rFonts w:ascii="Calibri" w:hAnsi="Calibri"/>
          <w:sz w:val="24"/>
          <w:szCs w:val="24"/>
          <w:highlight w:val="none"/>
        </w:rPr>
      </w:pPr>
      <w:r>
        <w:rPr>
          <w:rFonts w:hint="eastAsia" w:ascii="Calibri" w:hAnsi="Calibri"/>
          <w:sz w:val="24"/>
          <w:szCs w:val="24"/>
          <w:highlight w:val="none"/>
        </w:rPr>
        <w:t>十、卖方不得为买方单位和个人购置或者提供通讯工具、交通工具、家电、高档办公用品等物品。</w:t>
      </w:r>
    </w:p>
    <w:p w14:paraId="7FE5B1AD">
      <w:pPr>
        <w:spacing w:line="520" w:lineRule="exact"/>
        <w:ind w:firstLine="645"/>
        <w:rPr>
          <w:rFonts w:ascii="Calibri" w:hAnsi="Calibri"/>
          <w:sz w:val="24"/>
          <w:szCs w:val="24"/>
          <w:highlight w:val="none"/>
        </w:rPr>
      </w:pPr>
      <w:r>
        <w:rPr>
          <w:rFonts w:hint="eastAsia" w:ascii="Calibri" w:hAnsi="Calibri"/>
          <w:sz w:val="24"/>
          <w:szCs w:val="24"/>
          <w:highlight w:val="none"/>
        </w:rPr>
        <w:t>十一、卖方如发现买方工作人员有违反上述协议者，应向买方领导或者买方上级单位举报。买方不得找任何借口对卖方进行报复。</w:t>
      </w:r>
    </w:p>
    <w:p w14:paraId="21D8D20A">
      <w:pPr>
        <w:spacing w:line="520" w:lineRule="exact"/>
        <w:ind w:firstLine="645"/>
        <w:rPr>
          <w:rFonts w:ascii="Calibri" w:hAnsi="Calibri"/>
          <w:sz w:val="24"/>
          <w:szCs w:val="24"/>
          <w:highlight w:val="none"/>
        </w:rPr>
      </w:pPr>
      <w:r>
        <w:rPr>
          <w:rFonts w:hint="eastAsia" w:ascii="Calibri" w:hAnsi="Calibri"/>
          <w:sz w:val="24"/>
          <w:szCs w:val="24"/>
          <w:highlight w:val="none"/>
        </w:rPr>
        <w:t>十二、买方发现卖方有违反本协议或者采取不正当的手段行贿买方工作人员，买方根据具体情节和造成的后果有权按合同价款的1%追究卖方的违约金。由此给买方单位造成的损失均由卖方承担，卖方用不正当手段获取的非法所得由买方单位予以追缴。</w:t>
      </w:r>
    </w:p>
    <w:p w14:paraId="1975A3B2">
      <w:pPr>
        <w:spacing w:line="520" w:lineRule="exact"/>
        <w:ind w:firstLine="645"/>
        <w:rPr>
          <w:rFonts w:ascii="Calibri" w:hAnsi="Calibri"/>
          <w:sz w:val="24"/>
          <w:szCs w:val="24"/>
          <w:highlight w:val="none"/>
        </w:rPr>
      </w:pPr>
      <w:r>
        <w:rPr>
          <w:rFonts w:hint="eastAsia" w:ascii="Calibri" w:hAnsi="Calibri"/>
          <w:sz w:val="24"/>
          <w:szCs w:val="24"/>
          <w:highlight w:val="none"/>
        </w:rPr>
        <w:t>十三、本廉政合同作为 合同书的附件，与合同书具有同等法律效力，经协议双方签署后立即生效。</w:t>
      </w:r>
    </w:p>
    <w:p w14:paraId="48A3AB92">
      <w:pPr>
        <w:spacing w:line="480" w:lineRule="exact"/>
        <w:ind w:firstLine="480" w:firstLineChars="200"/>
        <w:rPr>
          <w:rFonts w:ascii="Calibri" w:hAnsi="Calibri"/>
          <w:sz w:val="24"/>
          <w:szCs w:val="24"/>
          <w:highlight w:val="none"/>
        </w:rPr>
      </w:pPr>
      <w:r>
        <w:rPr>
          <w:rFonts w:hint="eastAsia" w:ascii="Calibri" w:hAnsi="Calibri"/>
          <w:sz w:val="24"/>
          <w:szCs w:val="24"/>
          <w:highlight w:val="none"/>
        </w:rPr>
        <w:t>十四、本合同一式肆份，双方各执贰份。</w:t>
      </w:r>
    </w:p>
    <w:p w14:paraId="522FE38D">
      <w:pPr>
        <w:spacing w:line="480" w:lineRule="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甲方单位：（盖章）                        乙方单位：（盖章）</w:t>
      </w:r>
    </w:p>
    <w:p w14:paraId="00BB2045">
      <w:pPr>
        <w:spacing w:line="480" w:lineRule="auto"/>
        <w:rPr>
          <w:rFonts w:hint="default" w:ascii="Calibri" w:hAnsi="Calibri"/>
          <w:sz w:val="24"/>
          <w:szCs w:val="24"/>
          <w:highlight w:val="none"/>
          <w:lang w:val="en-US" w:eastAsia="zh-CN"/>
        </w:rPr>
      </w:pPr>
      <w:r>
        <w:rPr>
          <w:rFonts w:hint="eastAsia" w:ascii="Calibri" w:hAnsi="Calibri"/>
          <w:sz w:val="24"/>
          <w:szCs w:val="24"/>
          <w:highlight w:val="none"/>
          <w:lang w:val="en-US" w:eastAsia="zh-CN"/>
        </w:rPr>
        <w:t>地址：                                    地址：</w:t>
      </w:r>
    </w:p>
    <w:p w14:paraId="1677F626">
      <w:pPr>
        <w:spacing w:line="480" w:lineRule="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法定代表人：                              法定代表人：</w:t>
      </w:r>
    </w:p>
    <w:p w14:paraId="4322D409">
      <w:pPr>
        <w:spacing w:line="480" w:lineRule="auto"/>
        <w:rPr>
          <w:rFonts w:hint="default" w:ascii="Calibri" w:hAnsi="Calibri"/>
          <w:sz w:val="24"/>
          <w:szCs w:val="24"/>
          <w:highlight w:val="none"/>
          <w:lang w:val="en-US" w:eastAsia="zh-CN"/>
        </w:rPr>
      </w:pPr>
      <w:r>
        <w:rPr>
          <w:rFonts w:hint="eastAsia" w:ascii="Calibri" w:hAnsi="Calibri"/>
          <w:sz w:val="24"/>
          <w:szCs w:val="24"/>
          <w:highlight w:val="none"/>
          <w:lang w:val="en-US" w:eastAsia="zh-CN"/>
        </w:rPr>
        <w:t>委托代理人：                              委托代理人：</w:t>
      </w:r>
    </w:p>
    <w:p w14:paraId="323DBA14">
      <w:pPr>
        <w:spacing w:line="480" w:lineRule="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联系方式：                                联系方式：</w:t>
      </w:r>
    </w:p>
    <w:p w14:paraId="530430F2">
      <w:pPr>
        <w:spacing w:line="480" w:lineRule="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签订地点：</w:t>
      </w:r>
    </w:p>
    <w:p w14:paraId="5D9CAF6B">
      <w:pPr>
        <w:pStyle w:val="16"/>
        <w:rPr>
          <w:rFonts w:hint="eastAsia" w:ascii="Calibri" w:hAnsi="Calibri"/>
          <w:sz w:val="24"/>
          <w:szCs w:val="24"/>
          <w:highlight w:val="none"/>
          <w:lang w:val="en-US" w:eastAsia="zh-CN"/>
        </w:rPr>
      </w:pPr>
    </w:p>
    <w:p w14:paraId="46F79674">
      <w:pPr>
        <w:pStyle w:val="16"/>
        <w:rPr>
          <w:rFonts w:hint="eastAsia" w:ascii="Calibri" w:hAnsi="Calibri"/>
          <w:sz w:val="24"/>
          <w:szCs w:val="24"/>
          <w:highlight w:val="none"/>
          <w:lang w:val="en-US" w:eastAsia="zh-CN"/>
        </w:rPr>
      </w:pPr>
    </w:p>
    <w:p w14:paraId="5AD19036">
      <w:pPr>
        <w:pStyle w:val="16"/>
        <w:rPr>
          <w:rFonts w:hint="eastAsia" w:ascii="Calibri" w:hAnsi="Calibri"/>
          <w:sz w:val="24"/>
          <w:szCs w:val="24"/>
          <w:highlight w:val="none"/>
          <w:lang w:val="en-US" w:eastAsia="zh-CN"/>
        </w:rPr>
      </w:pPr>
    </w:p>
    <w:p w14:paraId="2427FFFF">
      <w:pPr>
        <w:pStyle w:val="16"/>
        <w:rPr>
          <w:rFonts w:hint="eastAsia" w:ascii="Calibri" w:hAnsi="Calibri"/>
          <w:sz w:val="24"/>
          <w:szCs w:val="24"/>
          <w:highlight w:val="none"/>
          <w:lang w:val="en-US" w:eastAsia="zh-CN"/>
        </w:rPr>
      </w:pPr>
    </w:p>
    <w:p w14:paraId="2F6D9214">
      <w:pPr>
        <w:pStyle w:val="16"/>
        <w:rPr>
          <w:rFonts w:hint="eastAsia" w:ascii="Calibri" w:hAnsi="Calibri"/>
          <w:sz w:val="24"/>
          <w:szCs w:val="24"/>
          <w:highlight w:val="none"/>
          <w:lang w:val="en-US" w:eastAsia="zh-CN"/>
        </w:rPr>
      </w:pPr>
    </w:p>
    <w:p w14:paraId="43A72E78">
      <w:pPr>
        <w:pStyle w:val="16"/>
        <w:rPr>
          <w:rFonts w:hint="eastAsia" w:ascii="Calibri" w:hAnsi="Calibri"/>
          <w:sz w:val="24"/>
          <w:szCs w:val="24"/>
          <w:highlight w:val="none"/>
          <w:lang w:val="en-US" w:eastAsia="zh-CN"/>
        </w:rPr>
      </w:pPr>
    </w:p>
    <w:p w14:paraId="26623CE2">
      <w:pPr>
        <w:pStyle w:val="16"/>
        <w:rPr>
          <w:rFonts w:hint="eastAsia" w:ascii="Calibri" w:hAnsi="Calibri"/>
          <w:sz w:val="24"/>
          <w:szCs w:val="24"/>
          <w:highlight w:val="none"/>
          <w:lang w:val="en-US" w:eastAsia="zh-CN"/>
        </w:rPr>
      </w:pPr>
    </w:p>
    <w:p w14:paraId="42E1A4B9">
      <w:pPr>
        <w:pStyle w:val="16"/>
        <w:rPr>
          <w:rFonts w:hint="eastAsia" w:ascii="Calibri" w:hAnsi="Calibri"/>
          <w:sz w:val="24"/>
          <w:szCs w:val="24"/>
          <w:highlight w:val="none"/>
          <w:lang w:val="en-US" w:eastAsia="zh-CN"/>
        </w:rPr>
      </w:pPr>
    </w:p>
    <w:p w14:paraId="49E3EAB0">
      <w:pPr>
        <w:pStyle w:val="16"/>
        <w:rPr>
          <w:rFonts w:hint="eastAsia" w:ascii="Calibri" w:hAnsi="Calibri"/>
          <w:sz w:val="24"/>
          <w:szCs w:val="24"/>
          <w:highlight w:val="none"/>
          <w:lang w:val="en-US" w:eastAsia="zh-CN"/>
        </w:rPr>
      </w:pPr>
    </w:p>
    <w:p w14:paraId="23ED3834">
      <w:pPr>
        <w:pStyle w:val="16"/>
        <w:rPr>
          <w:rFonts w:hint="eastAsia" w:ascii="Calibri" w:hAnsi="Calibri"/>
          <w:sz w:val="24"/>
          <w:szCs w:val="24"/>
          <w:highlight w:val="none"/>
          <w:lang w:val="en-US" w:eastAsia="zh-CN"/>
        </w:rPr>
      </w:pPr>
    </w:p>
    <w:p w14:paraId="65C2C04D">
      <w:pPr>
        <w:pStyle w:val="16"/>
        <w:rPr>
          <w:rFonts w:hint="eastAsia" w:ascii="Calibri" w:hAnsi="Calibri"/>
          <w:sz w:val="24"/>
          <w:szCs w:val="24"/>
          <w:highlight w:val="none"/>
          <w:lang w:val="en-US" w:eastAsia="zh-CN"/>
        </w:rPr>
      </w:pPr>
    </w:p>
    <w:p w14:paraId="043B3E99">
      <w:pPr>
        <w:pStyle w:val="16"/>
        <w:rPr>
          <w:rFonts w:hint="eastAsia" w:ascii="Calibri" w:hAnsi="Calibri"/>
          <w:sz w:val="24"/>
          <w:szCs w:val="24"/>
          <w:highlight w:val="none"/>
          <w:lang w:val="en-US" w:eastAsia="zh-CN"/>
        </w:rPr>
      </w:pPr>
    </w:p>
    <w:p w14:paraId="73571658">
      <w:pPr>
        <w:pStyle w:val="16"/>
        <w:rPr>
          <w:rFonts w:hint="eastAsia" w:ascii="Calibri" w:hAnsi="Calibri"/>
          <w:sz w:val="24"/>
          <w:szCs w:val="24"/>
          <w:highlight w:val="none"/>
          <w:lang w:val="en-US" w:eastAsia="zh-CN"/>
        </w:rPr>
      </w:pPr>
    </w:p>
    <w:p w14:paraId="19873872">
      <w:pPr>
        <w:pStyle w:val="16"/>
        <w:rPr>
          <w:rFonts w:hint="eastAsia" w:ascii="Calibri" w:hAnsi="Calibri"/>
          <w:sz w:val="24"/>
          <w:szCs w:val="24"/>
          <w:highlight w:val="none"/>
          <w:lang w:val="en-US" w:eastAsia="zh-CN"/>
        </w:rPr>
      </w:pPr>
    </w:p>
    <w:p w14:paraId="36BBE018">
      <w:pPr>
        <w:pStyle w:val="16"/>
        <w:rPr>
          <w:rFonts w:hint="eastAsia" w:ascii="Calibri" w:hAnsi="Calibri"/>
          <w:sz w:val="24"/>
          <w:szCs w:val="24"/>
          <w:highlight w:val="none"/>
          <w:lang w:val="en-US" w:eastAsia="zh-CN"/>
        </w:rPr>
      </w:pPr>
    </w:p>
    <w:p w14:paraId="0F71291E">
      <w:pPr>
        <w:pStyle w:val="16"/>
        <w:rPr>
          <w:rFonts w:hint="eastAsia" w:ascii="Calibri" w:hAnsi="Calibri"/>
          <w:sz w:val="24"/>
          <w:szCs w:val="24"/>
          <w:highlight w:val="none"/>
          <w:lang w:val="en-US" w:eastAsia="zh-CN"/>
        </w:rPr>
      </w:pPr>
    </w:p>
    <w:p w14:paraId="7D65AD56">
      <w:pPr>
        <w:pStyle w:val="16"/>
        <w:rPr>
          <w:rFonts w:hint="eastAsia" w:ascii="Calibri" w:hAnsi="Calibri"/>
          <w:sz w:val="24"/>
          <w:szCs w:val="24"/>
          <w:highlight w:val="none"/>
          <w:lang w:val="en-US" w:eastAsia="zh-CN"/>
        </w:rPr>
      </w:pPr>
    </w:p>
    <w:p w14:paraId="7B14044D">
      <w:pPr>
        <w:pStyle w:val="16"/>
        <w:rPr>
          <w:rFonts w:hint="eastAsia" w:ascii="Calibri" w:hAnsi="Calibri"/>
          <w:sz w:val="24"/>
          <w:szCs w:val="24"/>
          <w:highlight w:val="none"/>
          <w:lang w:val="en-US" w:eastAsia="zh-CN"/>
        </w:rPr>
      </w:pPr>
    </w:p>
    <w:p w14:paraId="5D7DDC04">
      <w:pPr>
        <w:pStyle w:val="16"/>
        <w:rPr>
          <w:rFonts w:hint="eastAsia" w:ascii="Calibri" w:hAnsi="Calibri"/>
          <w:sz w:val="24"/>
          <w:szCs w:val="24"/>
          <w:highlight w:val="none"/>
          <w:lang w:val="en-US" w:eastAsia="zh-CN"/>
        </w:rPr>
      </w:pPr>
    </w:p>
    <w:p w14:paraId="1408AEB5">
      <w:pPr>
        <w:pStyle w:val="16"/>
        <w:rPr>
          <w:rFonts w:hint="default" w:ascii="Calibri" w:hAnsi="Calibri"/>
          <w:sz w:val="24"/>
          <w:szCs w:val="24"/>
          <w:highlight w:val="none"/>
          <w:lang w:val="en-US" w:eastAsia="zh-CN"/>
        </w:rPr>
      </w:pPr>
    </w:p>
    <w:p w14:paraId="6B338C6D">
      <w:pPr>
        <w:spacing w:line="480" w:lineRule="exact"/>
        <w:ind w:firstLine="3839" w:firstLineChars="1195"/>
        <w:rPr>
          <w:rFonts w:hint="eastAsia" w:ascii="Calibri" w:hAnsi="Calibri"/>
          <w:b/>
          <w:bCs/>
          <w:sz w:val="32"/>
          <w:szCs w:val="24"/>
          <w:highlight w:val="none"/>
        </w:rPr>
      </w:pPr>
    </w:p>
    <w:p w14:paraId="65BEDFAF">
      <w:pPr>
        <w:spacing w:line="480" w:lineRule="exact"/>
        <w:ind w:firstLine="3839" w:firstLineChars="1195"/>
        <w:rPr>
          <w:rFonts w:hint="eastAsia" w:ascii="Calibri" w:hAnsi="Calibri"/>
          <w:b/>
          <w:bCs/>
          <w:sz w:val="32"/>
          <w:szCs w:val="24"/>
          <w:highlight w:val="none"/>
        </w:rPr>
      </w:pPr>
    </w:p>
    <w:p w14:paraId="3823F2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jc w:val="center"/>
        <w:textAlignment w:val="auto"/>
        <w:rPr>
          <w:rStyle w:val="26"/>
          <w:rFonts w:hint="eastAsia" w:ascii="方正小标宋_GBK" w:hAnsi="方正小标宋_GBK" w:eastAsia="方正小标宋_GBK" w:cs="方正小标宋_GBK"/>
          <w:color w:val="auto"/>
          <w:sz w:val="24"/>
          <w:szCs w:val="24"/>
          <w:lang w:eastAsia="zh-CN"/>
        </w:rPr>
      </w:pPr>
      <w:r>
        <w:rPr>
          <w:rStyle w:val="26"/>
          <w:rFonts w:hint="eastAsia" w:ascii="方正小标宋_GBK" w:hAnsi="方正小标宋_GBK" w:eastAsia="方正小标宋_GBK" w:cs="方正小标宋_GBK"/>
          <w:color w:val="auto"/>
          <w:sz w:val="24"/>
          <w:szCs w:val="24"/>
          <w:lang w:eastAsia="zh-CN"/>
        </w:rPr>
        <w:t>、</w:t>
      </w:r>
    </w:p>
    <w:p w14:paraId="597098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55" w:firstLineChars="85"/>
        <w:jc w:val="center"/>
        <w:textAlignment w:val="auto"/>
        <w:rPr>
          <w:rFonts w:hint="eastAsia" w:ascii="方正小标宋_GBK" w:hAnsi="方正小标宋_GBK" w:eastAsia="方正小标宋_GBK" w:cs="方正小标宋_GBK"/>
          <w:b w:val="0"/>
          <w:bCs w:val="0"/>
          <w:color w:val="auto"/>
          <w:sz w:val="30"/>
          <w:szCs w:val="30"/>
        </w:rPr>
      </w:pPr>
      <w:r>
        <w:rPr>
          <w:rStyle w:val="26"/>
          <w:rFonts w:hint="eastAsia" w:ascii="方正小标宋_GBK" w:hAnsi="方正小标宋_GBK" w:eastAsia="方正小标宋_GBK" w:cs="方正小标宋_GBK"/>
          <w:b w:val="0"/>
          <w:bCs w:val="0"/>
          <w:color w:val="auto"/>
          <w:sz w:val="30"/>
          <w:szCs w:val="30"/>
        </w:rPr>
        <w:t>安全</w:t>
      </w:r>
      <w:r>
        <w:rPr>
          <w:rStyle w:val="26"/>
          <w:rFonts w:hint="eastAsia" w:ascii="方正小标宋_GBK" w:hAnsi="方正小标宋_GBK" w:eastAsia="方正小标宋_GBK" w:cs="方正小标宋_GBK"/>
          <w:b w:val="0"/>
          <w:bCs w:val="0"/>
          <w:color w:val="auto"/>
          <w:sz w:val="30"/>
          <w:szCs w:val="30"/>
          <w:lang w:eastAsia="zh-CN"/>
        </w:rPr>
        <w:t>生产</w:t>
      </w:r>
      <w:r>
        <w:rPr>
          <w:rStyle w:val="26"/>
          <w:rFonts w:hint="eastAsia" w:ascii="方正小标宋_GBK" w:hAnsi="方正小标宋_GBK" w:eastAsia="方正小标宋_GBK" w:cs="方正小标宋_GBK"/>
          <w:b w:val="0"/>
          <w:bCs w:val="0"/>
          <w:color w:val="auto"/>
          <w:sz w:val="30"/>
          <w:szCs w:val="30"/>
        </w:rPr>
        <w:t>协议书</w:t>
      </w:r>
    </w:p>
    <w:p w14:paraId="022B174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jc w:val="center"/>
        <w:textAlignment w:val="auto"/>
        <w:rPr>
          <w:rFonts w:hint="eastAsia" w:ascii="方正仿宋_GBK" w:hAnsi="方正仿宋_GBK" w:eastAsia="方正仿宋_GBK" w:cs="方正仿宋_GBK"/>
          <w:sz w:val="24"/>
          <w:szCs w:val="24"/>
        </w:rPr>
      </w:pPr>
    </w:p>
    <w:p w14:paraId="621DD5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5" w:firstLineChars="85"/>
        <w:textAlignment w:val="auto"/>
        <w:rPr>
          <w:rFonts w:hint="eastAsia" w:ascii="方正仿宋_GBK" w:hAnsi="方正仿宋_GBK" w:eastAsia="方正仿宋_GBK" w:cs="方正仿宋_GBK"/>
          <w:sz w:val="24"/>
          <w:szCs w:val="24"/>
        </w:rPr>
      </w:pPr>
      <w:r>
        <w:rPr>
          <w:rStyle w:val="26"/>
          <w:rFonts w:hint="eastAsia" w:ascii="方正仿宋_GBK" w:hAnsi="方正仿宋_GBK" w:eastAsia="方正仿宋_GBK" w:cs="方正仿宋_GBK"/>
          <w:sz w:val="24"/>
          <w:szCs w:val="24"/>
        </w:rPr>
        <w:t>甲方：</w:t>
      </w:r>
    </w:p>
    <w:p w14:paraId="3D70777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184DD9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66F914E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p>
    <w:p w14:paraId="5F992A4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5" w:firstLineChars="85"/>
        <w:textAlignment w:val="auto"/>
        <w:rPr>
          <w:rFonts w:hint="eastAsia" w:ascii="方正仿宋_GBK" w:hAnsi="方正仿宋_GBK" w:eastAsia="方正仿宋_GBK" w:cs="方正仿宋_GBK"/>
          <w:sz w:val="24"/>
          <w:szCs w:val="24"/>
        </w:rPr>
      </w:pPr>
      <w:r>
        <w:rPr>
          <w:rStyle w:val="26"/>
          <w:rFonts w:hint="eastAsia" w:ascii="方正仿宋_GBK" w:hAnsi="方正仿宋_GBK" w:eastAsia="方正仿宋_GBK" w:cs="方正仿宋_GBK"/>
          <w:sz w:val="24"/>
          <w:szCs w:val="24"/>
        </w:rPr>
        <w:t>乙方：</w:t>
      </w:r>
    </w:p>
    <w:p w14:paraId="397CAAA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2FB7C5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139EC1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p>
    <w:p w14:paraId="171492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p>
    <w:p w14:paraId="1E0FB5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为了加强</w:t>
      </w:r>
      <w:r>
        <w:rPr>
          <w:rFonts w:hint="eastAsia" w:ascii="方正仿宋_GBK" w:hAnsi="方正仿宋_GBK" w:eastAsia="方正仿宋_GBK" w:cs="方正仿宋_GBK"/>
          <w:sz w:val="24"/>
          <w:szCs w:val="24"/>
          <w:lang w:eastAsia="zh-CN"/>
        </w:rPr>
        <w:t>该项目</w:t>
      </w:r>
      <w:r>
        <w:rPr>
          <w:rFonts w:hint="eastAsia" w:ascii="方正仿宋_GBK" w:hAnsi="方正仿宋_GBK" w:eastAsia="方正仿宋_GBK" w:cs="方正仿宋_GBK"/>
          <w:sz w:val="24"/>
          <w:szCs w:val="24"/>
        </w:rPr>
        <w:t>现场安全管理，坚决防范和遏制安全生产事故，明确</w:t>
      </w:r>
      <w:r>
        <w:rPr>
          <w:rFonts w:hint="eastAsia" w:ascii="方正仿宋_GBK" w:hAnsi="方正仿宋_GBK" w:eastAsia="方正仿宋_GBK" w:cs="方正仿宋_GBK"/>
          <w:sz w:val="24"/>
          <w:szCs w:val="24"/>
          <w:lang w:eastAsia="zh-CN"/>
        </w:rPr>
        <w:t>该项目</w:t>
      </w:r>
      <w:r>
        <w:rPr>
          <w:rFonts w:hint="eastAsia" w:ascii="方正仿宋_GBK" w:hAnsi="方正仿宋_GBK" w:eastAsia="方正仿宋_GBK" w:cs="方正仿宋_GBK"/>
          <w:sz w:val="24"/>
          <w:szCs w:val="24"/>
        </w:rPr>
        <w:t>安全主体责任，根据《中华人民共和国消防法》、《中华人民共和国民安全生产法》、《中华人民共和国民法典》</w:t>
      </w:r>
      <w:r>
        <w:rPr>
          <w:rFonts w:hint="eastAsia" w:ascii="方正仿宋_GBK" w:hAnsi="方正仿宋_GBK" w:eastAsia="方正仿宋_GBK" w:cs="方正仿宋_GBK"/>
          <w:sz w:val="24"/>
          <w:szCs w:val="24"/>
          <w:lang w:eastAsia="zh-CN"/>
        </w:rPr>
        <w:t>、《建设工程安全生产管理条例》</w:t>
      </w:r>
      <w:r>
        <w:rPr>
          <w:rFonts w:hint="eastAsia" w:ascii="方正仿宋_GBK" w:hAnsi="方正仿宋_GBK" w:eastAsia="方正仿宋_GBK" w:cs="方正仿宋_GBK"/>
          <w:sz w:val="24"/>
          <w:szCs w:val="24"/>
        </w:rPr>
        <w:t>等有关法律法规，双方本着平等、自愿原则，签订本协议书，双方应严格遵守并执行本协议书规定的责任、权力和义务。</w:t>
      </w:r>
    </w:p>
    <w:p w14:paraId="6A675B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w:t>
      </w:r>
      <w:r>
        <w:rPr>
          <w:rFonts w:hint="eastAsia" w:ascii="方正黑体_GBK" w:hAnsi="方正黑体_GBK" w:eastAsia="方正黑体_GBK" w:cs="方正黑体_GBK"/>
          <w:sz w:val="24"/>
          <w:szCs w:val="24"/>
          <w:lang w:eastAsia="zh-CN"/>
        </w:rPr>
        <w:t>项目</w:t>
      </w:r>
      <w:r>
        <w:rPr>
          <w:rFonts w:hint="eastAsia" w:ascii="方正黑体_GBK" w:hAnsi="方正黑体_GBK" w:eastAsia="方正黑体_GBK" w:cs="方正黑体_GBK"/>
          <w:sz w:val="24"/>
          <w:szCs w:val="24"/>
        </w:rPr>
        <w:t>名称：</w:t>
      </w:r>
    </w:p>
    <w:p w14:paraId="02DF96B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eastAsia="zh-CN"/>
        </w:rPr>
        <w:t>项目</w:t>
      </w:r>
      <w:r>
        <w:rPr>
          <w:rFonts w:hint="eastAsia" w:ascii="方正黑体_GBK" w:hAnsi="方正黑体_GBK" w:eastAsia="方正黑体_GBK" w:cs="方正黑体_GBK"/>
          <w:sz w:val="24"/>
          <w:szCs w:val="24"/>
        </w:rPr>
        <w:t>地点： </w:t>
      </w:r>
    </w:p>
    <w:p w14:paraId="2CAF601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w:t>
      </w:r>
      <w:r>
        <w:rPr>
          <w:rFonts w:hint="eastAsia" w:ascii="方正黑体_GBK" w:hAnsi="方正黑体_GBK" w:eastAsia="方正黑体_GBK" w:cs="方正黑体_GBK"/>
          <w:sz w:val="24"/>
          <w:szCs w:val="24"/>
          <w:lang w:eastAsia="zh-CN"/>
        </w:rPr>
        <w:t>项目</w:t>
      </w:r>
      <w:r>
        <w:rPr>
          <w:rFonts w:hint="eastAsia" w:ascii="方正黑体_GBK" w:hAnsi="方正黑体_GBK" w:eastAsia="方正黑体_GBK" w:cs="方正黑体_GBK"/>
          <w:sz w:val="24"/>
          <w:szCs w:val="24"/>
        </w:rPr>
        <w:t>工期：</w:t>
      </w:r>
    </w:p>
    <w:p w14:paraId="63038CA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四、说明</w:t>
      </w:r>
    </w:p>
    <w:p w14:paraId="31FED9B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）乙方指派【</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】为本</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乙方项目负责人，身份证号：【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w:t>
      </w:r>
    </w:p>
    <w:p w14:paraId="67AA0D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）上述乙方项目负责人全权负责本</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的安全管理工作，</w:t>
      </w:r>
      <w:r>
        <w:rPr>
          <w:rFonts w:hint="eastAsia" w:ascii="方正仿宋_GBK" w:hAnsi="方正仿宋_GBK" w:eastAsia="方正仿宋_GBK" w:cs="方正仿宋_GBK"/>
          <w:sz w:val="24"/>
          <w:szCs w:val="24"/>
          <w:lang w:eastAsia="zh-CN"/>
        </w:rPr>
        <w:t>如</w:t>
      </w:r>
      <w:r>
        <w:rPr>
          <w:rFonts w:hint="eastAsia" w:ascii="方正仿宋_GBK" w:hAnsi="方正仿宋_GBK" w:eastAsia="方正仿宋_GBK" w:cs="方正仿宋_GBK"/>
          <w:sz w:val="24"/>
          <w:szCs w:val="24"/>
        </w:rPr>
        <w:t>人员发生变更，</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应及时</w:t>
      </w:r>
      <w:r>
        <w:rPr>
          <w:rFonts w:hint="eastAsia" w:ascii="方正仿宋_GBK" w:hAnsi="方正仿宋_GBK" w:eastAsia="方正仿宋_GBK" w:cs="方正仿宋_GBK"/>
          <w:sz w:val="24"/>
          <w:szCs w:val="24"/>
          <w:lang w:eastAsia="zh-CN"/>
        </w:rPr>
        <w:t>向甲方</w:t>
      </w:r>
      <w:r>
        <w:rPr>
          <w:rFonts w:hint="eastAsia" w:ascii="方正仿宋_GBK" w:hAnsi="方正仿宋_GBK" w:eastAsia="方正仿宋_GBK" w:cs="方正仿宋_GBK"/>
          <w:sz w:val="24"/>
          <w:szCs w:val="24"/>
        </w:rPr>
        <w:t>沟通，并进行书面记录变更后生效。</w:t>
      </w:r>
    </w:p>
    <w:p w14:paraId="637F4BC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）甲乙双方应根据本协议要求，分别认真做好各自的安全管理工作，最大限度减少和杜绝各类伤亡事故的发生。</w:t>
      </w:r>
    </w:p>
    <w:p w14:paraId="55834CD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）甲乙双方在履行法律法规要求的安全职责过程中，需要合作共同完成的工作，必须严格按照协议约定的工作程序执行，确保法律法规要求的安全职责得到落实。</w:t>
      </w:r>
    </w:p>
    <w:p w14:paraId="2219F6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五</w:t>
      </w:r>
      <w:r>
        <w:rPr>
          <w:rFonts w:hint="eastAsia" w:ascii="方正仿宋_GBK" w:hAnsi="方正仿宋_GBK" w:eastAsia="方正仿宋_GBK" w:cs="方正仿宋_GBK"/>
          <w:sz w:val="24"/>
          <w:szCs w:val="24"/>
        </w:rPr>
        <w:t>）依据国家、地方的法律法规及本协议内容，在</w:t>
      </w:r>
      <w:r>
        <w:rPr>
          <w:rFonts w:hint="eastAsia" w:ascii="方正仿宋_GBK" w:hAnsi="方正仿宋_GBK" w:eastAsia="方正仿宋_GBK" w:cs="方正仿宋_GBK"/>
          <w:sz w:val="24"/>
          <w:szCs w:val="24"/>
          <w:lang w:eastAsia="zh-CN"/>
        </w:rPr>
        <w:t>项目施工</w:t>
      </w:r>
      <w:r>
        <w:rPr>
          <w:rFonts w:hint="eastAsia" w:ascii="方正仿宋_GBK" w:hAnsi="方正仿宋_GBK" w:eastAsia="方正仿宋_GBK" w:cs="方正仿宋_GBK"/>
          <w:sz w:val="24"/>
          <w:szCs w:val="24"/>
        </w:rPr>
        <w:t>过程中留存的书面记录，将作为双方履行各自安全职责的主要证据。</w:t>
      </w:r>
    </w:p>
    <w:p w14:paraId="60C002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五、甲方权利和义务</w:t>
      </w:r>
    </w:p>
    <w:p w14:paraId="2D8DA43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（一）甲方以书面形式告知乙方本</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所涉及的安全生产规章制度，有权要求乙方提供并完善建立与</w:t>
      </w:r>
      <w:r>
        <w:rPr>
          <w:rFonts w:hint="eastAsia" w:ascii="方正仿宋_GBK" w:hAnsi="方正仿宋_GBK" w:eastAsia="方正仿宋_GBK" w:cs="方正仿宋_GBK"/>
          <w:sz w:val="24"/>
          <w:szCs w:val="24"/>
          <w:lang w:eastAsia="zh-CN"/>
        </w:rPr>
        <w:t>该项目作业</w:t>
      </w:r>
      <w:r>
        <w:rPr>
          <w:rFonts w:hint="eastAsia" w:ascii="方正仿宋_GBK" w:hAnsi="方正仿宋_GBK" w:eastAsia="方正仿宋_GBK" w:cs="方正仿宋_GBK"/>
          <w:sz w:val="24"/>
          <w:szCs w:val="24"/>
        </w:rPr>
        <w:t>相关的安全规章制度、技术文件和有关资料。</w:t>
      </w:r>
    </w:p>
    <w:p w14:paraId="281FEFC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）甲方有权要求乙方必</w:t>
      </w:r>
      <w:r>
        <w:rPr>
          <w:rFonts w:hint="eastAsia" w:ascii="方正仿宋_GBK" w:hAnsi="方正仿宋_GBK" w:eastAsia="方正仿宋_GBK" w:cs="方正仿宋_GBK"/>
          <w:sz w:val="24"/>
          <w:szCs w:val="24"/>
          <w:lang w:eastAsia="zh-CN"/>
        </w:rPr>
        <w:t>须</w:t>
      </w:r>
      <w:r>
        <w:rPr>
          <w:rFonts w:hint="eastAsia" w:ascii="方正仿宋_GBK" w:hAnsi="方正仿宋_GBK" w:eastAsia="方正仿宋_GBK" w:cs="方正仿宋_GBK"/>
          <w:sz w:val="24"/>
          <w:szCs w:val="24"/>
        </w:rPr>
        <w:t>严格遵守安全生产法律、法规、标准、安全生产规章制度和操作规程，熟练掌握事故防范措施和事故应急处理预案。</w:t>
      </w:r>
    </w:p>
    <w:p w14:paraId="27BE35B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）甲方应设立专门安全管理机构和人员，组织协调</w:t>
      </w:r>
      <w:r>
        <w:rPr>
          <w:rFonts w:hint="eastAsia" w:ascii="方正仿宋_GBK" w:hAnsi="方正仿宋_GBK" w:eastAsia="方正仿宋_GBK" w:cs="方正仿宋_GBK"/>
          <w:sz w:val="24"/>
          <w:szCs w:val="24"/>
          <w:lang w:eastAsia="zh-CN"/>
        </w:rPr>
        <w:t>该项目</w:t>
      </w:r>
      <w:r>
        <w:rPr>
          <w:rFonts w:hint="eastAsia" w:ascii="方正仿宋_GBK" w:hAnsi="方正仿宋_GBK" w:eastAsia="方正仿宋_GBK" w:cs="方正仿宋_GBK"/>
          <w:sz w:val="24"/>
          <w:szCs w:val="24"/>
        </w:rPr>
        <w:t>现场管理工作。配合乙方做好公共区域的安保、环境卫生、施工人员车辆出入、危险作业审批、临时物料场地选址、临时施工用水、用电的接洽工作以及协助做好由施工引发纠纷的调解工作。</w:t>
      </w:r>
    </w:p>
    <w:p w14:paraId="2FF51D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（四）甲方应告知乙方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施工的禁止行为和相关注意事项。</w:t>
      </w:r>
    </w:p>
    <w:p w14:paraId="4AEDEF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五</w:t>
      </w:r>
      <w:r>
        <w:rPr>
          <w:rFonts w:hint="eastAsia" w:ascii="方正仿宋_GBK" w:hAnsi="方正仿宋_GBK" w:eastAsia="方正仿宋_GBK" w:cs="方正仿宋_GBK"/>
          <w:sz w:val="24"/>
          <w:szCs w:val="24"/>
        </w:rPr>
        <w:t>）甲方有权检查乙方施工现场的各种安全措施的落实情况，有权制止乙方施工人员违章指挥和违章作业行为，有权对于检查发现隐患要求乙方予以整改，并监督乙方整改落实情况。有权对乙方重大违章行为责令其停工整顿，有权对乙方违法行为进行举报。</w:t>
      </w:r>
    </w:p>
    <w:p w14:paraId="5CB0C7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）甲方有义务对乙方提出的安全生产要求积极提供帮助，有义务在乙方发生生产安全事故时提供协助救援服务。</w:t>
      </w:r>
    </w:p>
    <w:p w14:paraId="2CCA1A0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六、乙方权利和义务</w:t>
      </w:r>
    </w:p>
    <w:p w14:paraId="6B52161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（一）施工安全管理</w:t>
      </w:r>
    </w:p>
    <w:p w14:paraId="0083FFF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1、乙方应遵守并贯彻执行国家法律、法规、标准规定的</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施工安全和规范要求，所从事的</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施工应当具备国家规定的注册资本、专业技术人员、技术装备和安全生产等条件，依法取得相应等级的资质证书，承揽资质等级许可范围内的</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w:t>
      </w:r>
    </w:p>
    <w:p w14:paraId="37C0CA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2、乙方接受甲方的施工资质审查，所提供的资料应真实、合法、有效，遵守并服从甲方的安全生产管理制度和规定，有权拒绝甲方违反安全生产法规的指令。</w:t>
      </w:r>
    </w:p>
    <w:p w14:paraId="121620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3、乙方依法将</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分包给其他施工单位的，分包合同中应当明确各自的安全生产方面的权利、义务，乙方和分包单位对分包</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的安全生产承担连带责任。</w:t>
      </w:r>
    </w:p>
    <w:p w14:paraId="54A9BC4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4、乙方应当在施工组织设计中编制安全技术措施和施工现场临时用火、用电、用气方案，对危险性较大的分部分项工程编制专项施工方案，达到国家规定规模标准的应当通过专家论证。</w:t>
      </w:r>
    </w:p>
    <w:p w14:paraId="0108D4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必须建立安全生产规章制度、安全生产责任制和操作规程，熟练掌握事故防范措施和事故应急处理预案。确定现场安全负责人和安全管理人员，明确安全管理职责。作业人员必须经过安全技术培训，取得相应的资格证书，作业前进行安全教育、培训和作业安全技术交底，作业时严格遵守操作规程，禁止违章作业。</w:t>
      </w:r>
    </w:p>
    <w:p w14:paraId="4ADFB3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的安全防护用具、机械设备、机具、配件及材料等应符合安全技术规范、质量和环保要求。特种设备具有特种设备安全检测机构出具的有效的检测合格证书或审批手续，在施工前进行安全查验，并督促作业人员严守操作规程、正确使用。</w:t>
      </w:r>
    </w:p>
    <w:p w14:paraId="3CD0605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7、乙方使用甲方提供的安全防护设施设备需办理相关手续，并负责使用期间的安全维护，对在使用期间由于使用或管理不善造成的生产安全事故负责。</w:t>
      </w:r>
    </w:p>
    <w:p w14:paraId="5173D3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8、乙方应在施工作业现场设置围挡，封闭作业区域，设置安全警示标识或告知牌。占道作业的，在作业区域设置交通安全设施。夜间施工的，在作业区域设置警示灯，人员穿着高可视警示服。</w:t>
      </w:r>
    </w:p>
    <w:p w14:paraId="4B1628B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应对施工区域进行安全检查，落实施工区域隐患排查、治理和防控的主体责任，对检查中存在的安全问题应立即落实整改。施工区域存在安全隐患而导致无法施工时，由甲乙方共同协商，隐患未除，禁止施工。</w:t>
      </w:r>
    </w:p>
    <w:p w14:paraId="6AC96A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10、发生安全生产事故，应立即组织救援，及时如实向甲方报告。因乙方原因导致设施设备损毁、人员伤亡时，由乙方承担事故责任和经济责任。</w:t>
      </w:r>
    </w:p>
    <w:p w14:paraId="45FDC9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（二）治安保卫</w:t>
      </w:r>
    </w:p>
    <w:p w14:paraId="18FC19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施工现场的治安安全负责。</w:t>
      </w:r>
    </w:p>
    <w:p w14:paraId="38F664F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2、根据</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施工现场情况，制定施工区域安全保卫工作计划，明确责任、突出重点、强化措施、落实到人。</w:t>
      </w:r>
    </w:p>
    <w:p w14:paraId="31AAA4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3、乙方应严把施工作业人员政审关，对进场施工人员登记造册备查。</w:t>
      </w:r>
    </w:p>
    <w:p w14:paraId="4E8DA40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4、乙方应加强入场人员思想、职业、法制教育和管理，文明施工，及时妥善解决由</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施工所引发的各种纠纷，杜绝施工期间发生盗窃、赌博、色情、寻衅滋事、打架斗殴等违规、违法犯罪事件的发生。</w:t>
      </w:r>
    </w:p>
    <w:p w14:paraId="4A783D3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5、乙方应加强施工现场的巡视检查，及时发现和消除安全隐患。阻止与施工无关的人员进入施工现场，施工人员未经允许不得进入非施工区域。</w:t>
      </w:r>
    </w:p>
    <w:p w14:paraId="3A8AA9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6、乙方严格遵守并执行甲方的各项安全管理规定。</w:t>
      </w:r>
    </w:p>
    <w:p w14:paraId="61050B2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（三）职业病危害预防</w:t>
      </w:r>
    </w:p>
    <w:p w14:paraId="36CA495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施工人员因施工产生的职业病危害、工伤、死亡等事故承担全部责任。</w:t>
      </w:r>
    </w:p>
    <w:p w14:paraId="51BC748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2、乙方应严格按照GB/T 13861—2022《生产过程危险和有害因素分类与代码》以及国家法律法规规定的相关职业病危害预防，将</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施工全过程中的危险、有害因素和伤亡事故进行辨识和分析，有效预防、控制，保障从业人员健康和相关权益。</w:t>
      </w:r>
    </w:p>
    <w:p w14:paraId="20C003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3、乙方应为本单位从业人员投保意外伤害保险，密切关注施工过程中作业人员的心理和身体健康状态，禁止作业人员带病上岗作业。</w:t>
      </w:r>
    </w:p>
    <w:p w14:paraId="440536E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（四）施工车辆管理</w:t>
      </w:r>
    </w:p>
    <w:p w14:paraId="5F1845B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施工现场工程车辆、电动车辆的安全管理工作负责。</w:t>
      </w:r>
    </w:p>
    <w:p w14:paraId="26C627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2、乙方应严格遵守《中华人民共和国道路交通安全法》和甲方的《车辆出入管理规定》。</w:t>
      </w:r>
    </w:p>
    <w:p w14:paraId="312F1A2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3、乙方保证交通法规培训教育到位，工程车辆车况完好，特种车辆符合特有的安全条件和操作规程要求。</w:t>
      </w:r>
    </w:p>
    <w:p w14:paraId="399E5D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（五）环境卫生管理</w:t>
      </w:r>
    </w:p>
    <w:p w14:paraId="6FC3EB8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1、乙方对施工现场的环境卫生全面负责。</w:t>
      </w:r>
    </w:p>
    <w:p w14:paraId="788CA29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2、乙方应严格遵守甲方的施工作业时间，施工现场采取有效措施，防止或者减少粉尘、废气、废水、固体废物、噪声、振动和施工照明对人和环境的危害和污染。</w:t>
      </w:r>
    </w:p>
    <w:p w14:paraId="6A9D0EE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3、乙方应将施工物料按照指定位置分类码放，整齐有序，易产生扬尘的物料应全部蓬盖，不得堵塞消防通道，不得妨碍消防设施的使用，不得影响消防安全。</w:t>
      </w:r>
    </w:p>
    <w:p w14:paraId="5BE798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4、乙方应将建筑垃圾按照指定位置分类存放，及时处置。收集运输、装卸时应采取封闭或其他防护措施，建筑垃圾的消纳和运输按照本市有关垃圾管理的规定处理。</w:t>
      </w:r>
    </w:p>
    <w:p w14:paraId="47424C7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5、乙方应严格执行国家法律法规规定的环境卫生有关规定。</w:t>
      </w:r>
    </w:p>
    <w:p w14:paraId="598EE80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（六）消防安全</w:t>
      </w:r>
    </w:p>
    <w:p w14:paraId="5EB68B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施工现场的消防安全管理负责。</w:t>
      </w:r>
    </w:p>
    <w:p w14:paraId="517A48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2、乙方应严格落实国家法律法规规定的施工消防安全，履行消防责任和义务。</w:t>
      </w:r>
    </w:p>
    <w:p w14:paraId="4F9BC18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3、乙方应加强消防安全风险动态管控，施工前识别、分析施工现场存在的可能引起火灾事故的各类风险源，编制施工现场防火技术方案和灭火及应急疏散预案，根据现场情况变化及时修改、完善。</w:t>
      </w:r>
    </w:p>
    <w:p w14:paraId="5A74D3A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4、乙方应制订消防安全管理制度，建立消防安全管理组织机构及义务消防组织，确定现场消防安全负责人和消防安全管理人员，落实相关人员的消防安全管理责任。</w:t>
      </w:r>
    </w:p>
    <w:p w14:paraId="6F7074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5、乙方应按规定配备消防设施和灭火器材，放置在明显便于取用的部位，确保消防设施和器材完好、有效。</w:t>
      </w:r>
    </w:p>
    <w:p w14:paraId="5FB801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6、乙方应向现场</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施工人员进行作业前的消防安全教育、培训和安全技术交底，依据灭火及应急疏散预案组织开展演练。</w:t>
      </w:r>
    </w:p>
    <w:p w14:paraId="6083C7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7、乙方应对施工现场进行消防安全检查，对火灾隐患迅速整改落实，严防各类火灾事故的发生。</w:t>
      </w:r>
    </w:p>
    <w:p w14:paraId="3B34D9D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8、乙方应建立并保存现场消防安全管理的相关文件和记录档案。</w:t>
      </w:r>
    </w:p>
    <w:p w14:paraId="46A79B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（七）动火作业</w:t>
      </w:r>
    </w:p>
    <w:p w14:paraId="7FD2F7D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施工现场动火作业的安全负责。</w:t>
      </w:r>
    </w:p>
    <w:p w14:paraId="562AD4F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2、乙方应严格落实国家法律法规规定的动火作业安全有关规定。</w:t>
      </w:r>
    </w:p>
    <w:p w14:paraId="348BE4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动火作业应严格执行作业审批，在动火作业前，制定动火计划，必须办理“动火许可证”。动火许可证应清楚地标明动火等级、动火有效期、申请办证单位、动火详细位置、工作内容、动火方式、防火安全措施等。</w:t>
      </w:r>
    </w:p>
    <w:p w14:paraId="612B89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4、乙方应在动火作业前，安排专人对动火现场周边进行可燃物清理，确认动火现场无可燃物及火灾隐患。对现场动火作业人员进行消防安全教育、培训和动火作业安全技术交底，动火作业人员应具有操作资格。</w:t>
      </w:r>
    </w:p>
    <w:p w14:paraId="62FD79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5、乙方应在动火区域备足灭火器材和灭火用水，高处作业要配备防火安全带和接火斗。</w:t>
      </w:r>
    </w:p>
    <w:p w14:paraId="024AE65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6、乙方应落实旁站看护制度，确保各项防护措施落实到位，遇节假日、重大活动保障期间提级管理，实行“双看火”制度，看火人员具备看火能力以及消防四个能力要求。</w:t>
      </w:r>
    </w:p>
    <w:p w14:paraId="2D2F4E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7、遇大风蓝色及以上预警天气时，严禁焊接、切割等室外动火作业。具有火灾、爆炸危险的场所严禁使用明火。</w:t>
      </w:r>
    </w:p>
    <w:p w14:paraId="3F69CDF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8、乙方应在动火作业后对现场进行清理、检查，确认动火后残留的可燃物等清理干净，无火灾隐患危险。在动火作业结束后应再次前往作业地点进行复查。</w:t>
      </w:r>
    </w:p>
    <w:p w14:paraId="7C0992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（八）用电安全</w:t>
      </w:r>
    </w:p>
    <w:p w14:paraId="452131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施工现场的用电安全负责。</w:t>
      </w:r>
    </w:p>
    <w:p w14:paraId="11A610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2、乙方施工现场供用电设施的设计、施工、运行、维护及拆除，应严格按照中华人民共和国国家标准</w:t>
      </w:r>
      <w:r>
        <w:rPr>
          <w:rFonts w:hint="default" w:ascii="Times New Roman" w:hAnsi="Times New Roman" w:eastAsia="方正仿宋_GBK" w:cs="Times New Roman"/>
          <w:sz w:val="24"/>
          <w:szCs w:val="24"/>
        </w:rPr>
        <w:t>GB50194-2014</w:t>
      </w:r>
      <w:r>
        <w:rPr>
          <w:rFonts w:hint="eastAsia" w:ascii="方正仿宋_GBK" w:hAnsi="方正仿宋_GBK" w:eastAsia="方正仿宋_GBK" w:cs="方正仿宋_GBK"/>
          <w:sz w:val="24"/>
          <w:szCs w:val="24"/>
        </w:rPr>
        <w:t>《建设工程施工现场供电安全规范》</w:t>
      </w:r>
      <w:r>
        <w:rPr>
          <w:rFonts w:hint="eastAsia" w:ascii="方正仿宋_GBK" w:hAnsi="方正仿宋_GBK" w:eastAsia="方正仿宋_GBK" w:cs="方正仿宋_GBK"/>
          <w:sz w:val="24"/>
          <w:szCs w:val="24"/>
          <w:lang w:eastAsia="zh-CN"/>
        </w:rPr>
        <w:t>、</w:t>
      </w:r>
      <w:r>
        <w:rPr>
          <w:rFonts w:hint="default" w:ascii="Times New Roman" w:hAnsi="Times New Roman" w:eastAsia="方正仿宋_GBK" w:cs="Times New Roman"/>
          <w:i w:val="0"/>
          <w:iCs w:val="0"/>
          <w:caps w:val="0"/>
          <w:color w:val="000000"/>
          <w:spacing w:val="0"/>
          <w:sz w:val="24"/>
          <w:szCs w:val="24"/>
          <w:shd w:val="clear" w:fill="FFFFFF"/>
        </w:rPr>
        <w:t>《建筑与市政工程施工现场临时用电安全技术标准》为行业标准，编号为JGJ/T46-2024</w:t>
      </w:r>
      <w:r>
        <w:rPr>
          <w:rFonts w:hint="eastAsia" w:ascii="方正仿宋_GBK" w:hAnsi="方正仿宋_GBK" w:eastAsia="方正仿宋_GBK" w:cs="方正仿宋_GBK"/>
          <w:sz w:val="24"/>
          <w:szCs w:val="24"/>
        </w:rPr>
        <w:t>执行，还应符合国家现行有关标准规定。</w:t>
      </w:r>
    </w:p>
    <w:p w14:paraId="2E2A042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3、乙方临时用电应严格执行作业审批，临时用电220/380V三相五线制低电压电力系统必须符合“三级配电系统 - TN-S接零保护系统 – 三级漏电保护系统，配备总配电箱 – 二级分配电箱  - 三级配电开关箱系统”，使用前应检查电气装置和保护装置的可靠性。</w:t>
      </w:r>
    </w:p>
    <w:p w14:paraId="090C3C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4、乙方临时用电设备和线路应按供电电压等级和容量正确使用，所用的电器元件应符合国家规定的相关产品要求，禁止使用不合格、绝缘老化或失去绝缘性能的电气线路和国家明令禁止淘汰使用的电器产品。</w:t>
      </w:r>
    </w:p>
    <w:p w14:paraId="00BFAC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5、乙方配电箱或开关箱应有名称、用途、编号、分路标识及系统接线图，箱内排列整齐，绑扎成束。配置门锁，专人负责，并设有防水、防尘、危险标志、围栏等措施装置。</w:t>
      </w:r>
    </w:p>
    <w:p w14:paraId="7A26BC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6、乙方应为电工作业人员提供试验合格的电工工具和防护用具。</w:t>
      </w:r>
    </w:p>
    <w:p w14:paraId="504128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7、乙方应配置适用于扑灭电气火灾的消防器材。</w:t>
      </w:r>
    </w:p>
    <w:p w14:paraId="5CEB81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（九）高处作业</w:t>
      </w:r>
    </w:p>
    <w:p w14:paraId="31AD08F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施工现场高处作业的安全负责。</w:t>
      </w:r>
    </w:p>
    <w:p w14:paraId="451FC5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2、乙方应严格执行中华人民共和国住房和城乡建设部《建筑施工高处作业安全技术规范》，还应符合国家高处作业有关法律法规的规定。</w:t>
      </w:r>
    </w:p>
    <w:p w14:paraId="3C33E6E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3、乙方应在施工前结合</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特点编制针对性的高处作业安全技术措施，各类操作平台等还应编制专项施工方案。</w:t>
      </w:r>
    </w:p>
    <w:p w14:paraId="43699B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4、乙方从事高处悬吊作业的人员应当按照国家有关规定设定的特种作业类别，经专门的安全作业培训，取得相应的登高作业的特种作业操作资格证书后，方可上岗作业。</w:t>
      </w:r>
    </w:p>
    <w:p w14:paraId="66AC796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对作业设备和装置实施严格的管理，进行经常性的检查、维护和保养，并依法进行定期检测。在租赁悬吊设备时，应当租赁具有产品合格证和使用说明书等相关资料的悬吊设备，并签订租赁合同，明确各自的安全生产管理职责。</w:t>
      </w:r>
    </w:p>
    <w:p w14:paraId="434677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6、乙方高处作业应严格执行作业审批。施工前，应当将高处悬吊作业人员的特种作业资格证书复印件、人员意外伤害保险证明、作业设备或防护用具的检测报告、施工方案等有关材料报甲方备案。</w:t>
      </w:r>
    </w:p>
    <w:p w14:paraId="757243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应当依法设置安全生产管理机构，配备专职或者兼职安全生产管理人员，负责作业现场的安全检查和施工过程的安全监控，对发现的从业人员“三违”行为及时阻止或责令停止施工，对检查或监控中发现违章行为，应当立即处理和纠正，对存在的安全隐患及时消除。</w:t>
      </w:r>
    </w:p>
    <w:p w14:paraId="730E6A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8、乙方应为从业人员提供符合国家标准或行业标准的劳动防护用具，并督促从业人员按照有关规定使用。</w:t>
      </w:r>
    </w:p>
    <w:p w14:paraId="177C04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9、乙方在高处作业施工前，应对相关人员进行针对性的安全教育和安全技术交底，对安全防护设施进行验收。高处作业人员定期体检，身体健康符合作业要求，方可持证上岗作业。</w:t>
      </w:r>
    </w:p>
    <w:p w14:paraId="1B267E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10、乙方应当在其作业下方设置警戒线，在醒目处设置安全警示标志牌，并设专人看守，符合安全要求方可进行作业。</w:t>
      </w:r>
    </w:p>
    <w:p w14:paraId="76BB104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11、乙方应当制定安全生产应急救援预案，明确应急救援组织、救援人员、救援程序、紧急处置措施等内容。</w:t>
      </w:r>
    </w:p>
    <w:p w14:paraId="6817A3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（十）有限空间作业</w:t>
      </w:r>
    </w:p>
    <w:p w14:paraId="78EB82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1、乙方对有限空间作业安全负责。</w:t>
      </w:r>
    </w:p>
    <w:p w14:paraId="2CEABE0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2、乙方有限空间作业应严格按照</w:t>
      </w:r>
      <w:r>
        <w:rPr>
          <w:rFonts w:hint="eastAsia" w:ascii="方正仿宋_GBK" w:hAnsi="方正仿宋_GBK" w:eastAsia="方正仿宋_GBK" w:cs="方正仿宋_GBK"/>
          <w:sz w:val="24"/>
          <w:szCs w:val="24"/>
          <w:lang w:eastAsia="zh-CN"/>
        </w:rPr>
        <w:t>中华人民共和国住房城乡建设部《房屋市政工程有限空间识别及施工安全作业指南（试行）》、</w:t>
      </w:r>
      <w:r>
        <w:rPr>
          <w:rFonts w:hint="eastAsia" w:ascii="方正仿宋_GBK" w:hAnsi="方正仿宋_GBK" w:eastAsia="方正仿宋_GBK" w:cs="方正仿宋_GBK"/>
          <w:sz w:val="24"/>
          <w:szCs w:val="24"/>
        </w:rPr>
        <w:t>中华人民共和国应急管理部办公厅文件 [2020]299号关于印发《有限空间作业安全指导手册》和4个专项系列折页的通知执行，还应符合国家现行的有限空间作业有关标准规定。</w:t>
      </w:r>
    </w:p>
    <w:p w14:paraId="4F1E9A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3、乙方有限空间作业严格执行作业审批制度，未经审批严禁作业。</w:t>
      </w:r>
    </w:p>
    <w:p w14:paraId="033361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4、乙方实施有限空间作业前，应当对作业环境进行评估，分析存在的危险有害因素，提出消除、控制危害的措施，制定有限空间作业方案。</w:t>
      </w:r>
    </w:p>
    <w:p w14:paraId="0E6997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5、乙方应当根据有限空间存在危险有害因素的种类和危害程度，为作业人员提供符合国家标准或者行业标准规定的劳动防护用品，并教育监督作业人员正确佩戴与使用。</w:t>
      </w:r>
    </w:p>
    <w:p w14:paraId="5875AA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6、乙方应当明确作业现场负责人、监护人员、作业人员及其安全职责。</w:t>
      </w:r>
    </w:p>
    <w:p w14:paraId="0D4EAD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7、乙方实施有限空间作业前，应当将有限空间作业方案和作业现场可能存在的危险有害因素、防控措施告知作业人员，进行书面安全技术交底。</w:t>
      </w:r>
    </w:p>
    <w:p w14:paraId="724E5FF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8、乙方应当采取可靠的安全措施，将可能危及作业安全的设施设备、存在有毒有害物质的空间与作业地点隔开，确认作业环境、作业程序、安全防护设备和个体防护用品等符合作业要求。</w:t>
      </w:r>
    </w:p>
    <w:p w14:paraId="271E9AB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9、乙方应当严格遵守“先通风、再检测、后作业</w:t>
      </w:r>
      <w:r>
        <w:rPr>
          <w:rFonts w:hint="eastAsia" w:ascii="方正仿宋_GBK" w:hAnsi="方正仿宋_GBK" w:eastAsia="方正仿宋_GBK" w:cs="方正仿宋_GBK"/>
          <w:sz w:val="24"/>
          <w:szCs w:val="24"/>
          <w:lang w:eastAsia="zh-CN"/>
        </w:rPr>
        <w:t>、有监护</w:t>
      </w:r>
      <w:r>
        <w:rPr>
          <w:rFonts w:hint="eastAsia" w:ascii="方正仿宋_GBK" w:hAnsi="方正仿宋_GBK" w:eastAsia="方正仿宋_GBK" w:cs="方正仿宋_GBK"/>
          <w:sz w:val="24"/>
          <w:szCs w:val="24"/>
        </w:rPr>
        <w:t>”的原则，作业中对危险有害因素进行连续检测或监测，未经通风和检测合格，严禁作业。</w:t>
      </w:r>
    </w:p>
    <w:p w14:paraId="34AD87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10、有限空间作业结束后，作业现场负责人、监护人员应当对作业现场进行清理，撤离作业人员。</w:t>
      </w:r>
    </w:p>
    <w:p w14:paraId="392AC6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11、乙方应当根据有限空间作业的特点，制定应急预案并演练，提高应急处置能力。有限空间作业中发生事故，应当立即报告，应急救援人员在做好自身防护的同时，佩戴必要的呼吸器具和救援器材实施救援，禁止盲目施救。</w:t>
      </w:r>
      <w:r>
        <w:rPr>
          <w:rFonts w:hint="eastAsia" w:ascii="方正仿宋_GBK" w:hAnsi="方正仿宋_GBK" w:eastAsia="方正仿宋_GBK" w:cs="方正仿宋_GBK"/>
          <w:sz w:val="24"/>
          <w:szCs w:val="24"/>
          <w:lang w:val="en-US" w:eastAsia="zh-CN"/>
        </w:rPr>
        <w:t xml:space="preserve"> </w:t>
      </w:r>
    </w:p>
    <w:p w14:paraId="73441A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七、附则</w:t>
      </w:r>
    </w:p>
    <w:p w14:paraId="2173A56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（一）本协议书与</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施工合同一并签订，并同时终止。</w:t>
      </w:r>
    </w:p>
    <w:p w14:paraId="23607A5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04" w:firstLineChars="8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（二）本协议书一式肆份，甲方执贰份、乙方执贰份，具有同等法律效力，自双方签章即生效。</w:t>
      </w:r>
    </w:p>
    <w:p w14:paraId="037F94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firstLine="271" w:firstLineChars="113"/>
        <w:textAlignment w:val="auto"/>
        <w:rPr>
          <w:rFonts w:hint="eastAsia" w:ascii="宋体" w:hAnsi="宋体" w:eastAsia="宋体" w:cs="宋体"/>
          <w:sz w:val="24"/>
          <w:szCs w:val="24"/>
        </w:rPr>
      </w:pPr>
    </w:p>
    <w:p w14:paraId="48AFBE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firstLine="271" w:firstLineChars="113"/>
        <w:textAlignment w:val="auto"/>
        <w:rPr>
          <w:rFonts w:hint="eastAsia" w:ascii="宋体" w:hAnsi="宋体" w:eastAsia="宋体" w:cs="宋体"/>
          <w:sz w:val="24"/>
          <w:szCs w:val="24"/>
        </w:rPr>
      </w:pPr>
    </w:p>
    <w:p w14:paraId="609E726A">
      <w:pPr>
        <w:keepNext w:val="0"/>
        <w:keepLines w:val="0"/>
        <w:pageBreakBefore w:val="0"/>
        <w:kinsoku/>
        <w:wordWrap/>
        <w:overflowPunct/>
        <w:topLinePunct w:val="0"/>
        <w:bidi w:val="0"/>
        <w:spacing w:line="520" w:lineRule="exact"/>
        <w:textAlignment w:val="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甲方单位：（盖章）                            乙方单位：（盖章）</w:t>
      </w:r>
    </w:p>
    <w:p w14:paraId="1E7F49B4">
      <w:pPr>
        <w:keepNext w:val="0"/>
        <w:keepLines w:val="0"/>
        <w:pageBreakBefore w:val="0"/>
        <w:kinsoku/>
        <w:wordWrap/>
        <w:overflowPunct/>
        <w:topLinePunct w:val="0"/>
        <w:bidi w:val="0"/>
        <w:spacing w:line="520" w:lineRule="exact"/>
        <w:textAlignment w:val="auto"/>
        <w:rPr>
          <w:rFonts w:hint="default" w:ascii="Calibri" w:hAnsi="Calibri"/>
          <w:sz w:val="24"/>
          <w:szCs w:val="24"/>
          <w:highlight w:val="none"/>
          <w:lang w:val="en-US" w:eastAsia="zh-CN"/>
        </w:rPr>
      </w:pPr>
      <w:r>
        <w:rPr>
          <w:rFonts w:hint="eastAsia" w:ascii="Calibri" w:hAnsi="Calibri"/>
          <w:sz w:val="24"/>
          <w:szCs w:val="24"/>
          <w:highlight w:val="none"/>
          <w:lang w:val="en-US" w:eastAsia="zh-CN"/>
        </w:rPr>
        <w:t>地址：江苏省南通市通州区                  地址：</w:t>
      </w:r>
    </w:p>
    <w:p w14:paraId="3209B047">
      <w:pPr>
        <w:keepNext w:val="0"/>
        <w:keepLines w:val="0"/>
        <w:pageBreakBefore w:val="0"/>
        <w:kinsoku/>
        <w:wordWrap/>
        <w:overflowPunct/>
        <w:topLinePunct w:val="0"/>
        <w:bidi w:val="0"/>
        <w:spacing w:line="520" w:lineRule="exact"/>
        <w:textAlignment w:val="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金沙镇金通路银河路口</w:t>
      </w:r>
    </w:p>
    <w:p w14:paraId="60CF0A87">
      <w:pPr>
        <w:keepNext w:val="0"/>
        <w:keepLines w:val="0"/>
        <w:pageBreakBefore w:val="0"/>
        <w:kinsoku/>
        <w:wordWrap/>
        <w:overflowPunct/>
        <w:topLinePunct w:val="0"/>
        <w:bidi w:val="0"/>
        <w:spacing w:line="520" w:lineRule="exact"/>
        <w:textAlignment w:val="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法定代表人：                              法定代表人：</w:t>
      </w:r>
    </w:p>
    <w:p w14:paraId="10365E0C">
      <w:pPr>
        <w:keepNext w:val="0"/>
        <w:keepLines w:val="0"/>
        <w:pageBreakBefore w:val="0"/>
        <w:kinsoku/>
        <w:wordWrap/>
        <w:overflowPunct/>
        <w:topLinePunct w:val="0"/>
        <w:bidi w:val="0"/>
        <w:spacing w:line="520" w:lineRule="exact"/>
        <w:textAlignment w:val="auto"/>
        <w:rPr>
          <w:rFonts w:hint="default" w:ascii="Calibri" w:hAnsi="Calibri"/>
          <w:sz w:val="24"/>
          <w:szCs w:val="24"/>
          <w:highlight w:val="none"/>
          <w:lang w:val="en-US" w:eastAsia="zh-CN"/>
        </w:rPr>
      </w:pPr>
      <w:r>
        <w:rPr>
          <w:rFonts w:hint="eastAsia" w:ascii="Calibri" w:hAnsi="Calibri"/>
          <w:sz w:val="24"/>
          <w:szCs w:val="24"/>
          <w:highlight w:val="none"/>
          <w:lang w:val="en-US" w:eastAsia="zh-CN"/>
        </w:rPr>
        <w:t>委托代理人：                              委托代理人：</w:t>
      </w:r>
    </w:p>
    <w:p w14:paraId="2AAFAB61">
      <w:pPr>
        <w:keepNext w:val="0"/>
        <w:keepLines w:val="0"/>
        <w:pageBreakBefore w:val="0"/>
        <w:kinsoku/>
        <w:wordWrap/>
        <w:overflowPunct/>
        <w:topLinePunct w:val="0"/>
        <w:bidi w:val="0"/>
        <w:spacing w:line="520" w:lineRule="exact"/>
        <w:textAlignment w:val="auto"/>
        <w:rPr>
          <w:rFonts w:hint="eastAsia" w:ascii="Calibri" w:hAnsi="Calibri"/>
          <w:sz w:val="24"/>
          <w:szCs w:val="24"/>
          <w:highlight w:val="none"/>
          <w:lang w:val="en-US" w:eastAsia="zh-CN"/>
        </w:rPr>
      </w:pPr>
      <w:r>
        <w:rPr>
          <w:rFonts w:hint="eastAsia" w:ascii="Calibri" w:hAnsi="Calibri"/>
          <w:sz w:val="24"/>
          <w:szCs w:val="24"/>
          <w:highlight w:val="none"/>
          <w:lang w:val="en-US" w:eastAsia="zh-CN"/>
        </w:rPr>
        <w:t>联系方式：                                联系方式：</w:t>
      </w:r>
    </w:p>
    <w:p w14:paraId="014BF58C">
      <w:pPr>
        <w:spacing w:line="480" w:lineRule="auto"/>
        <w:rPr>
          <w:sz w:val="24"/>
          <w:szCs w:val="24"/>
          <w:highlight w:val="none"/>
        </w:rPr>
      </w:pPr>
      <w:r>
        <w:rPr>
          <w:rFonts w:hint="eastAsia" w:ascii="Calibri" w:hAnsi="Calibri"/>
          <w:sz w:val="24"/>
          <w:szCs w:val="24"/>
          <w:highlight w:val="none"/>
          <w:lang w:val="en-US" w:eastAsia="zh-CN"/>
        </w:rPr>
        <w:t>签订地点：</w:t>
      </w:r>
    </w:p>
    <w:p w14:paraId="3DF92239">
      <w:pPr>
        <w:spacing w:line="520" w:lineRule="exact"/>
        <w:jc w:val="left"/>
        <w:rPr>
          <w:rFonts w:hint="eastAsia" w:asciiTheme="minorEastAsia" w:hAnsiTheme="minorEastAsia" w:eastAsiaTheme="minorEastAsia" w:cstheme="minorEastAsia"/>
          <w:b/>
          <w:bCs/>
          <w:color w:val="0D0D0D" w:themeColor="text1" w:themeTint="F2"/>
          <w:sz w:val="24"/>
          <w:szCs w:val="24"/>
          <w:highlight w:val="none"/>
          <w14:textFill>
            <w14:solidFill>
              <w14:schemeClr w14:val="tx1">
                <w14:lumMod w14:val="95000"/>
                <w14:lumOff w14:val="5000"/>
              </w14:schemeClr>
            </w14:solidFill>
          </w14:textFill>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olor w:val="000000"/>
          <w:sz w:val="24"/>
          <w:szCs w:val="24"/>
          <w:highlight w:val="none"/>
        </w:rPr>
        <w:t>招标人保留对本合同及协议进行修改和完善的权利</w:t>
      </w:r>
    </w:p>
    <w:p w14:paraId="5609C409">
      <w:pPr>
        <w:spacing w:line="360" w:lineRule="auto"/>
        <w:jc w:val="center"/>
        <w:rPr>
          <w:rFonts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t>第五章   投标文件格式</w:t>
      </w:r>
    </w:p>
    <w:p w14:paraId="1B186E2D">
      <w:pPr>
        <w:spacing w:line="360" w:lineRule="auto"/>
        <w:ind w:right="-334" w:rightChars="-159"/>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3CB95F94">
      <w:pPr>
        <w:spacing w:line="360" w:lineRule="auto"/>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34BB8952">
      <w:pPr>
        <w:jc w:val="center"/>
        <w:rPr>
          <w:rFonts w:asciiTheme="minorEastAsia" w:hAnsiTheme="minorEastAsia" w:eastAsiaTheme="minorEastAsia" w:cstheme="minorEastAsia"/>
          <w:bCs/>
          <w:sz w:val="48"/>
          <w:szCs w:val="48"/>
          <w:highlight w:val="none"/>
        </w:rPr>
      </w:pPr>
    </w:p>
    <w:p w14:paraId="451E8B44">
      <w:pPr>
        <w:spacing w:line="360" w:lineRule="auto"/>
        <w:jc w:val="center"/>
        <w:rPr>
          <w:rFonts w:asciiTheme="minorEastAsia" w:hAnsiTheme="minorEastAsia" w:eastAsiaTheme="minorEastAsia" w:cstheme="minorEastAsia"/>
          <w:bCs/>
          <w:sz w:val="48"/>
          <w:szCs w:val="48"/>
          <w:highlight w:val="none"/>
        </w:rPr>
      </w:pPr>
      <w:r>
        <w:rPr>
          <w:rFonts w:hint="eastAsia" w:asciiTheme="minorEastAsia" w:hAnsiTheme="minorEastAsia" w:eastAsiaTheme="minorEastAsia" w:cstheme="minorEastAsia"/>
          <w:bCs/>
          <w:sz w:val="48"/>
          <w:szCs w:val="48"/>
          <w:highlight w:val="none"/>
          <w:lang w:val="en-US" w:eastAsia="zh-CN"/>
        </w:rPr>
        <w:t>通州区应急水源地自控系统及监控安防改造升级</w:t>
      </w:r>
      <w:r>
        <w:rPr>
          <w:rFonts w:hint="eastAsia" w:ascii="Calibri" w:hAnsi="Calibri"/>
          <w:sz w:val="48"/>
          <w:szCs w:val="48"/>
          <w:highlight w:val="none"/>
        </w:rPr>
        <w:t>采购及安装项目</w:t>
      </w:r>
    </w:p>
    <w:p w14:paraId="1C49D5D0">
      <w:pPr>
        <w:spacing w:line="360" w:lineRule="auto"/>
        <w:ind w:right="-334" w:rightChars="-159"/>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53D048EE">
      <w:pPr>
        <w:spacing w:line="360" w:lineRule="auto"/>
        <w:ind w:right="-334" w:rightChars="-159"/>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20C75A3F">
      <w:pPr>
        <w:spacing w:line="360" w:lineRule="auto"/>
        <w:ind w:right="-334" w:rightChars="-159"/>
        <w:jc w:val="center"/>
        <w:rPr>
          <w:rFonts w:asciiTheme="minorEastAsia" w:hAnsiTheme="minorEastAsia" w:eastAsiaTheme="minorEastAsia" w:cstheme="minorEastAsia"/>
          <w:bCs/>
          <w:color w:val="0D0D0D" w:themeColor="text1" w:themeTint="F2"/>
          <w:sz w:val="32"/>
          <w:szCs w:val="32"/>
          <w:highlight w:val="none"/>
          <w14:textFill>
            <w14:solidFill>
              <w14:schemeClr w14:val="tx1">
                <w14:lumMod w14:val="95000"/>
                <w14:lumOff w14:val="5000"/>
              </w14:schemeClr>
            </w14:solidFill>
          </w14:textFill>
        </w:rPr>
      </w:pPr>
    </w:p>
    <w:p w14:paraId="5A2E7270">
      <w:pPr>
        <w:spacing w:line="360" w:lineRule="auto"/>
        <w:ind w:right="-334" w:rightChars="-159"/>
        <w:jc w:val="center"/>
        <w:rPr>
          <w:rFonts w:asciiTheme="minorEastAsia" w:hAnsiTheme="minorEastAsia" w:eastAsiaTheme="minorEastAsia" w:cstheme="minorEastAsia"/>
          <w:bCs/>
          <w:color w:val="0D0D0D" w:themeColor="text1" w:themeTint="F2"/>
          <w:sz w:val="32"/>
          <w:szCs w:val="32"/>
          <w:highlight w:val="none"/>
          <w14:textFill>
            <w14:solidFill>
              <w14:schemeClr w14:val="tx1">
                <w14:lumMod w14:val="95000"/>
                <w14:lumOff w14:val="5000"/>
              </w14:schemeClr>
            </w14:solidFill>
          </w14:textFill>
        </w:rPr>
      </w:pPr>
    </w:p>
    <w:p w14:paraId="12F1DFE7">
      <w:pPr>
        <w:spacing w:line="360" w:lineRule="auto"/>
        <w:ind w:right="-334" w:rightChars="-159"/>
        <w:jc w:val="center"/>
        <w:rPr>
          <w:rFonts w:asciiTheme="minorEastAsia" w:hAnsiTheme="minorEastAsia" w:eastAsiaTheme="minorEastAsia" w:cstheme="minorEastAsia"/>
          <w:bCs/>
          <w:color w:val="0D0D0D" w:themeColor="text1" w:themeTint="F2"/>
          <w:sz w:val="32"/>
          <w:szCs w:val="32"/>
          <w:highlight w:val="none"/>
          <w14:textFill>
            <w14:solidFill>
              <w14:schemeClr w14:val="tx1">
                <w14:lumMod w14:val="95000"/>
                <w14:lumOff w14:val="5000"/>
              </w14:schemeClr>
            </w14:solidFill>
          </w14:textFill>
        </w:rPr>
      </w:pPr>
    </w:p>
    <w:p w14:paraId="03AF0E41">
      <w:pPr>
        <w:spacing w:line="360" w:lineRule="auto"/>
        <w:ind w:right="-334" w:rightChars="-159"/>
        <w:jc w:val="center"/>
        <w:rPr>
          <w:rFonts w:asciiTheme="minorEastAsia" w:hAnsiTheme="minorEastAsia" w:eastAsiaTheme="minorEastAsia" w:cstheme="minorEastAsia"/>
          <w:bCs/>
          <w:color w:val="0D0D0D" w:themeColor="text1" w:themeTint="F2"/>
          <w:sz w:val="44"/>
          <w:szCs w:val="44"/>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44"/>
          <w:szCs w:val="44"/>
          <w:highlight w:val="none"/>
          <w14:textFill>
            <w14:solidFill>
              <w14:schemeClr w14:val="tx1">
                <w14:lumMod w14:val="95000"/>
                <w14:lumOff w14:val="5000"/>
              </w14:schemeClr>
            </w14:solidFill>
          </w14:textFill>
        </w:rPr>
        <w:t>资格审查文件/价格标文件</w:t>
      </w:r>
    </w:p>
    <w:p w14:paraId="2323A8E0">
      <w:pPr>
        <w:spacing w:line="360" w:lineRule="auto"/>
        <w:ind w:right="-334" w:rightChars="-159"/>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2119601C">
      <w:pPr>
        <w:spacing w:line="360" w:lineRule="auto"/>
        <w:ind w:right="-334" w:rightChars="-159"/>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2C3F556D">
      <w:pPr>
        <w:spacing w:line="360" w:lineRule="auto"/>
        <w:ind w:right="-334" w:rightChars="-159"/>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49544299">
      <w:pPr>
        <w:pStyle w:val="2"/>
        <w:rPr>
          <w:highlight w:val="none"/>
        </w:rPr>
      </w:pPr>
    </w:p>
    <w:p w14:paraId="0BD5ABFB">
      <w:pPr>
        <w:pStyle w:val="31"/>
        <w:rPr>
          <w:rFonts w:hint="default"/>
          <w:highlight w:val="none"/>
        </w:rPr>
      </w:pPr>
    </w:p>
    <w:p w14:paraId="22D7ACE6">
      <w:pPr>
        <w:spacing w:line="360" w:lineRule="auto"/>
        <w:ind w:right="-334" w:rightChars="-159"/>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7C0A3B92">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投标人（盖章）：</w:t>
      </w:r>
    </w:p>
    <w:p w14:paraId="590F38C5">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highlight w:val="none"/>
          <w:u w:val="single"/>
          <w14:textFill>
            <w14:solidFill>
              <w14:schemeClr w14:val="tx1">
                <w14:lumMod w14:val="95000"/>
                <w14:lumOff w14:val="5000"/>
              </w14:schemeClr>
            </w14:solidFill>
          </w14:textFill>
        </w:rPr>
      </w:pPr>
    </w:p>
    <w:p w14:paraId="443C9E06">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法定代表人或委托代理人（签字或盖章）：</w:t>
      </w:r>
    </w:p>
    <w:p w14:paraId="139C1D55">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highlight w:val="none"/>
          <w:u w:val="single"/>
          <w14:textFill>
            <w14:solidFill>
              <w14:schemeClr w14:val="tx1">
                <w14:lumMod w14:val="95000"/>
                <w14:lumOff w14:val="5000"/>
              </w14:schemeClr>
            </w14:solidFill>
          </w14:textFill>
        </w:rPr>
      </w:pPr>
    </w:p>
    <w:p w14:paraId="78A6FE6A">
      <w:pPr>
        <w:spacing w:line="360" w:lineRule="auto"/>
        <w:ind w:right="-334" w:rightChars="-159" w:firstLine="546" w:firstLineChars="195"/>
        <w:rPr>
          <w:rFonts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highlight w:val="none"/>
          <w14:textFill>
            <w14:solidFill>
              <w14:schemeClr w14:val="tx1">
                <w14:lumMod w14:val="95000"/>
                <w14:lumOff w14:val="5000"/>
              </w14:schemeClr>
            </w14:solidFill>
          </w14:textFill>
        </w:rPr>
        <w:t>日期：年月日</w:t>
      </w:r>
    </w:p>
    <w:p w14:paraId="4CE82307">
      <w:pPr>
        <w:spacing w:line="360" w:lineRule="auto"/>
        <w:ind w:right="-334" w:rightChars="-159"/>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4A6FF131">
      <w:pPr>
        <w:pStyle w:val="2"/>
        <w:rPr>
          <w:highlight w:val="none"/>
        </w:rPr>
      </w:pPr>
    </w:p>
    <w:p w14:paraId="05679B5F">
      <w:pPr>
        <w:pStyle w:val="31"/>
        <w:rPr>
          <w:rFonts w:hint="default"/>
          <w:highlight w:val="none"/>
        </w:rPr>
      </w:pPr>
    </w:p>
    <w:p w14:paraId="1F5D98A9">
      <w:pPr>
        <w:pStyle w:val="4"/>
        <w:jc w:val="center"/>
        <w:rPr>
          <w:rFonts w:asciiTheme="minorEastAsia" w:hAnsiTheme="minorEastAsia" w:eastAsiaTheme="minorEastAsia" w:cstheme="minorEastAsia"/>
          <w:color w:val="0D0D0D" w:themeColor="text1" w:themeTint="F2"/>
          <w:sz w:val="21"/>
          <w:szCs w:val="21"/>
          <w:highlight w:val="none"/>
          <w14:textFill>
            <w14:solidFill>
              <w14:schemeClr w14:val="tx1">
                <w14:lumMod w14:val="95000"/>
                <w14:lumOff w14:val="5000"/>
              </w14:schemeClr>
            </w14:solidFill>
          </w14:textFill>
        </w:rPr>
      </w:pPr>
      <w:bookmarkStart w:id="16" w:name="_Toc329181719"/>
      <w:bookmarkStart w:id="17" w:name="_Toc329181721"/>
      <w:r>
        <w:rPr>
          <w:rFonts w:hint="eastAsia" w:asciiTheme="minorEastAsia" w:hAnsiTheme="minorEastAsia" w:eastAsiaTheme="minorEastAsia" w:cstheme="minorEastAsia"/>
          <w:color w:val="0D0D0D" w:themeColor="text1" w:themeTint="F2"/>
          <w:sz w:val="21"/>
          <w:szCs w:val="21"/>
          <w:highlight w:val="none"/>
          <w14:textFill>
            <w14:solidFill>
              <w14:schemeClr w14:val="tx1">
                <w14:lumMod w14:val="95000"/>
                <w14:lumOff w14:val="5000"/>
              </w14:schemeClr>
            </w14:solidFill>
          </w14:textFill>
        </w:rPr>
        <w:t>一、法定代表人身份证明书</w:t>
      </w:r>
      <w:bookmarkEnd w:id="16"/>
    </w:p>
    <w:p w14:paraId="05797882">
      <w:pPr>
        <w:spacing w:line="52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投标人单位名称：</w:t>
      </w:r>
    </w:p>
    <w:p w14:paraId="5BAEF227">
      <w:pPr>
        <w:spacing w:line="52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投标人单位地址：</w:t>
      </w:r>
    </w:p>
    <w:p w14:paraId="43109F4C">
      <w:pPr>
        <w:spacing w:line="52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姓名：性别：年龄：职务：</w:t>
      </w:r>
    </w:p>
    <w:p w14:paraId="69BF27F8">
      <w:pPr>
        <w:spacing w:line="52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系______________（投标人单位名称）的法定代表人。</w:t>
      </w:r>
    </w:p>
    <w:p w14:paraId="17AFEC49">
      <w:pPr>
        <w:spacing w:line="52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特此证明。</w:t>
      </w:r>
    </w:p>
    <w:p w14:paraId="3DBA0FF6">
      <w:pPr>
        <w:spacing w:line="52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投标人（盖单位章）：</w:t>
      </w:r>
    </w:p>
    <w:p w14:paraId="7F6821F8">
      <w:pPr>
        <w:spacing w:line="52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日期：年月日</w:t>
      </w:r>
    </w:p>
    <w:p w14:paraId="2CEE3565">
      <w:pPr>
        <w:pStyle w:val="6"/>
        <w:spacing w:line="480" w:lineRule="exact"/>
        <w:ind w:firstLine="0"/>
        <w:jc w:val="both"/>
        <w:rPr>
          <w:rFonts w:hint="eastAsia" w:asciiTheme="minorEastAsia" w:hAnsiTheme="minorEastAsia" w:eastAsiaTheme="minorEastAsia" w:cstheme="minorEastAsia"/>
          <w:b/>
          <w:bCs/>
          <w:color w:val="0D0D0D" w:themeColor="text1" w:themeTint="F2"/>
          <w:sz w:val="21"/>
          <w:szCs w:val="21"/>
          <w:highlight w:val="no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1"/>
          <w:szCs w:val="21"/>
          <w:highlight w:val="none"/>
          <w:lang w:eastAsia="zh-CN"/>
          <w14:textFill>
            <w14:solidFill>
              <w14:schemeClr w14:val="tx1">
                <w14:lumMod w14:val="95000"/>
                <w14:lumOff w14:val="5000"/>
              </w14:schemeClr>
            </w14:solidFill>
          </w14:textFill>
        </w:rPr>
        <w:t>附法定代表人身份证</w:t>
      </w:r>
    </w:p>
    <w:p w14:paraId="09EAC400">
      <w:pPr>
        <w:widowControl/>
        <w:jc w:val="cente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bookmarkStart w:id="18" w:name="_Toc329181720"/>
    </w:p>
    <w:p w14:paraId="76BE5FF0">
      <w:pPr>
        <w:widowControl/>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二、授权委托书</w:t>
      </w:r>
      <w:bookmarkEnd w:id="18"/>
    </w:p>
    <w:p w14:paraId="1F97110D">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本人_________(姓名)系___________________(投标人单位名称)的法定代表人，现委托_____________(姓名)（身份证号：）为我方代理人。代理人根据授权，以我方名义签署、澄清、说明、补正、递交、撤回、修改（项目名称）投标文件，签订合同和处理有关事宜，其法律后果由我方承担。</w:t>
      </w:r>
    </w:p>
    <w:p w14:paraId="34567BED">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委托期限：</w:t>
      </w:r>
    </w:p>
    <w:p w14:paraId="2F9A6B8C">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代理人无转委托权。</w:t>
      </w:r>
    </w:p>
    <w:p w14:paraId="43CAC74B">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代理人：性别：年龄：</w:t>
      </w:r>
    </w:p>
    <w:p w14:paraId="0D1D6F78">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代理人单位：部门：职务：</w:t>
      </w:r>
    </w:p>
    <w:p w14:paraId="29D3BA28">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投标人（盖单位章）：</w:t>
      </w:r>
    </w:p>
    <w:p w14:paraId="65EA2D1B">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法人代表人（签字或印章）：</w:t>
      </w:r>
    </w:p>
    <w:p w14:paraId="0435221C">
      <w:pPr>
        <w:spacing w:line="500" w:lineRule="exact"/>
        <w:ind w:firstLine="573"/>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日期：</w:t>
      </w:r>
    </w:p>
    <w:p w14:paraId="3B5AD571">
      <w:pPr>
        <w:pStyle w:val="6"/>
        <w:spacing w:line="480" w:lineRule="exact"/>
        <w:ind w:firstLine="0"/>
        <w:jc w:val="both"/>
        <w:rPr>
          <w:rFonts w:hint="eastAsia" w:asciiTheme="minorEastAsia" w:hAnsiTheme="minorEastAsia" w:eastAsiaTheme="minorEastAsia" w:cstheme="minorEastAsia"/>
          <w:b/>
          <w:bCs/>
          <w:color w:val="0D0D0D" w:themeColor="text1" w:themeTint="F2"/>
          <w:sz w:val="21"/>
          <w:szCs w:val="21"/>
          <w:highlight w:val="no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1"/>
          <w:szCs w:val="21"/>
          <w:highlight w:val="none"/>
          <w:lang w:eastAsia="zh-CN"/>
          <w14:textFill>
            <w14:solidFill>
              <w14:schemeClr w14:val="tx1">
                <w14:lumMod w14:val="95000"/>
                <w14:lumOff w14:val="5000"/>
              </w14:schemeClr>
            </w14:solidFill>
          </w14:textFill>
        </w:rPr>
        <w:t>附委托代理人身份证</w:t>
      </w:r>
    </w:p>
    <w:bookmarkEnd w:id="17"/>
    <w:p w14:paraId="2461CEDF">
      <w:pPr>
        <w:widowControl/>
        <w:jc w:val="left"/>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br w:type="page"/>
      </w:r>
    </w:p>
    <w:p w14:paraId="0515236E">
      <w:pPr>
        <w:pStyle w:val="4"/>
        <w:spacing w:before="0" w:after="0"/>
        <w:jc w:val="center"/>
        <w:rPr>
          <w:rFonts w:asciiTheme="minorEastAsia" w:hAnsiTheme="minorEastAsia" w:eastAsiaTheme="minorEastAsia" w:cstheme="minorEastAsia"/>
          <w:color w:val="0D0D0D" w:themeColor="text1" w:themeTint="F2"/>
          <w:sz w:val="21"/>
          <w:szCs w:val="21"/>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highlight w:val="none"/>
          <w14:textFill>
            <w14:solidFill>
              <w14:schemeClr w14:val="tx1">
                <w14:lumMod w14:val="95000"/>
                <w14:lumOff w14:val="5000"/>
              </w14:schemeClr>
            </w14:solidFill>
          </w14:textFill>
        </w:rPr>
        <w:t>三、投标函</w:t>
      </w:r>
    </w:p>
    <w:p w14:paraId="48AD7586">
      <w:pPr>
        <w:spacing w:line="460" w:lineRule="exact"/>
        <w:rPr>
          <w:rFonts w:asciiTheme="minorEastAsia" w:hAnsiTheme="minorEastAsia" w:eastAsiaTheme="minorEastAsia" w:cstheme="minorEastAsia"/>
          <w:color w:val="0D0D0D" w:themeColor="text1" w:themeTint="F2"/>
          <w:highlight w:val="none"/>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致南通市通州区水务有限公司：</w:t>
      </w:r>
    </w:p>
    <w:p w14:paraId="513E247F">
      <w:pPr>
        <w:spacing w:line="400" w:lineRule="exact"/>
        <w:ind w:left="1"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根据贵方招标文件，授权代表（</w:t>
      </w:r>
      <w:r>
        <w:rPr>
          <w:rFonts w:hint="eastAsia" w:asciiTheme="minorEastAsia" w:hAnsiTheme="minorEastAsia" w:eastAsiaTheme="minorEastAsia" w:cstheme="minorEastAsia"/>
          <w:color w:val="0C0C0C"/>
          <w:highlight w:val="none"/>
          <w:u w:val="single"/>
        </w:rPr>
        <w:t>姓名、职务、</w:t>
      </w:r>
      <w:r>
        <w:rPr>
          <w:rFonts w:hint="eastAsia" w:asciiTheme="minorEastAsia" w:hAnsiTheme="minorEastAsia" w:eastAsiaTheme="minorEastAsia" w:cstheme="minorEastAsia"/>
          <w:color w:val="0C0C0C"/>
          <w:highlight w:val="none"/>
        </w:rPr>
        <w:t>）经正式授权并代表投标人（</w:t>
      </w:r>
      <w:r>
        <w:rPr>
          <w:rFonts w:hint="eastAsia" w:asciiTheme="minorEastAsia" w:hAnsiTheme="minorEastAsia" w:eastAsiaTheme="minorEastAsia" w:cstheme="minorEastAsia"/>
          <w:color w:val="0C0C0C"/>
          <w:highlight w:val="none"/>
          <w:u w:val="single"/>
        </w:rPr>
        <w:t>投标人名称、地址</w:t>
      </w:r>
      <w:r>
        <w:rPr>
          <w:rFonts w:hint="eastAsia" w:asciiTheme="minorEastAsia" w:hAnsiTheme="minorEastAsia" w:eastAsiaTheme="minorEastAsia" w:cstheme="minorEastAsia"/>
          <w:color w:val="0C0C0C"/>
          <w:highlight w:val="none"/>
        </w:rPr>
        <w:t>）提交投标文件正本一份及副本贰份。</w:t>
      </w:r>
    </w:p>
    <w:p w14:paraId="3F24FF6B">
      <w:pPr>
        <w:spacing w:line="400" w:lineRule="exact"/>
        <w:ind w:firstLine="48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据此函，我方宣布同意如下：</w:t>
      </w:r>
    </w:p>
    <w:p w14:paraId="562DEA34">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1、根据已收到的：</w:t>
      </w:r>
      <w:r>
        <w:rPr>
          <w:rFonts w:hint="eastAsia" w:asciiTheme="minorEastAsia" w:hAnsiTheme="minorEastAsia" w:eastAsiaTheme="minorEastAsia" w:cstheme="minorEastAsia"/>
          <w:color w:val="0C0C0C"/>
          <w:highlight w:val="none"/>
          <w:u w:val="single"/>
        </w:rPr>
        <w:t>　　  　</w:t>
      </w:r>
      <w:r>
        <w:rPr>
          <w:rFonts w:hint="eastAsia" w:asciiTheme="minorEastAsia" w:hAnsiTheme="minorEastAsia" w:eastAsiaTheme="minorEastAsia" w:cstheme="minorEastAsia"/>
          <w:color w:val="0C0C0C"/>
          <w:highlight w:val="none"/>
        </w:rPr>
        <w:t>招标文件（含答疑），我单位经研究招标文件后，我方愿以</w:t>
      </w:r>
      <w:r>
        <w:rPr>
          <w:rFonts w:hint="eastAsia" w:asciiTheme="minorEastAsia" w:hAnsiTheme="minorEastAsia" w:eastAsiaTheme="minorEastAsia" w:cstheme="minorEastAsia"/>
          <w:b/>
          <w:color w:val="0C0C0C"/>
          <w:highlight w:val="none"/>
        </w:rPr>
        <w:t>人民币</w:t>
      </w:r>
      <w:r>
        <w:rPr>
          <w:rFonts w:hint="eastAsia" w:asciiTheme="minorEastAsia" w:hAnsiTheme="minorEastAsia" w:eastAsiaTheme="minorEastAsia" w:cstheme="minorEastAsia"/>
          <w:b/>
          <w:color w:val="0C0C0C"/>
          <w:highlight w:val="none"/>
          <w:u w:val="single"/>
        </w:rPr>
        <w:t>　　　　　</w:t>
      </w:r>
      <w:r>
        <w:rPr>
          <w:rFonts w:hint="eastAsia" w:asciiTheme="minorEastAsia" w:hAnsiTheme="minorEastAsia" w:eastAsiaTheme="minorEastAsia" w:cstheme="minorEastAsia"/>
          <w:b/>
          <w:color w:val="0C0C0C"/>
          <w:highlight w:val="none"/>
        </w:rPr>
        <w:t>元的投标总价（具体详见明细报价一览表）</w:t>
      </w:r>
      <w:r>
        <w:rPr>
          <w:rFonts w:hint="eastAsia" w:asciiTheme="minorEastAsia" w:hAnsiTheme="minorEastAsia" w:eastAsiaTheme="minorEastAsia" w:cstheme="minorEastAsia"/>
          <w:color w:val="0C0C0C"/>
          <w:highlight w:val="none"/>
        </w:rPr>
        <w:t>完成该项目。</w:t>
      </w:r>
    </w:p>
    <w:p w14:paraId="3FBE05C4">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2、招标响应人已详细审查全部招标文件，包括有关澄清和补充说明（如果有的话）。我们完全理解并同意放弃对这方面有不明及误解的权力。</w:t>
      </w:r>
    </w:p>
    <w:p w14:paraId="46D0D870">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3、我们同意在从规定的开标之日起六十天为投标文件有效期内严格遵守本投标书的各项承诺。在此期限届满之前，本投标书始终将对我方具有约束力，并随时接受中标。如果中标，本次招标文件和本投标文件（含承诺书）将作为买卖合同的附件。</w:t>
      </w:r>
    </w:p>
    <w:p w14:paraId="5AB8C526">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4、我方愿意履行自己在投标文件中的全部承诺和责任，我方愿意遵守招标文件中对投标者的所有规定。</w:t>
      </w:r>
    </w:p>
    <w:p w14:paraId="5C32D1D2">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5、我方愿意向招标人提供任何与本次招标文件有关的其他资料。</w:t>
      </w:r>
    </w:p>
    <w:p w14:paraId="7E77F593">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6、我方完全理解招标人有保留在授标之前任何时候接受或拒绝任何投标，以及宣布招标程序无效或拒绝所有投标的权力。我方完全理解招标人不向未中标人解释未中标理由的义务。</w:t>
      </w:r>
    </w:p>
    <w:p w14:paraId="6454EA77">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7、我们出具金额为</w:t>
      </w:r>
      <w:r>
        <w:rPr>
          <w:rFonts w:hint="eastAsia" w:asciiTheme="minorEastAsia" w:hAnsiTheme="minorEastAsia" w:eastAsiaTheme="minorEastAsia" w:cstheme="minorEastAsia"/>
          <w:b/>
          <w:color w:val="0C0C0C"/>
          <w:highlight w:val="none"/>
        </w:rPr>
        <w:t>人民币</w:t>
      </w:r>
      <w:r>
        <w:rPr>
          <w:rFonts w:hint="eastAsia" w:asciiTheme="minorEastAsia" w:hAnsiTheme="minorEastAsia" w:eastAsiaTheme="minorEastAsia" w:cstheme="minorEastAsia"/>
          <w:b/>
          <w:color w:val="0C0C0C"/>
          <w:highlight w:val="none"/>
          <w:u w:val="single"/>
          <w:lang w:val="en-US" w:eastAsia="zh-CN"/>
        </w:rPr>
        <w:t>6000</w:t>
      </w:r>
      <w:r>
        <w:rPr>
          <w:rFonts w:hint="eastAsia" w:asciiTheme="minorEastAsia" w:hAnsiTheme="minorEastAsia" w:eastAsiaTheme="minorEastAsia" w:cstheme="minorEastAsia"/>
          <w:b/>
          <w:color w:val="0C0C0C"/>
          <w:highlight w:val="none"/>
        </w:rPr>
        <w:t>元整/投标单位</w:t>
      </w:r>
      <w:r>
        <w:rPr>
          <w:rFonts w:hint="eastAsia" w:asciiTheme="minorEastAsia" w:hAnsiTheme="minorEastAsia" w:eastAsiaTheme="minorEastAsia" w:cstheme="minorEastAsia"/>
          <w:color w:val="0C0C0C"/>
          <w:highlight w:val="none"/>
        </w:rPr>
        <w:t>的投标保证金。如果我们在本投标文件有效期内撤回投标文件；或在接到中标通知书后的7天内未能或拒绝签订合同协议书；出现弄虚作假以及违反招投标法规定的情况；或未能在规定时间内提交履约保证金，招标人有权没收投标担保金，另选中标单位。</w:t>
      </w:r>
    </w:p>
    <w:p w14:paraId="07CBE8F9">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8、投标人同意提供按照招标人可能要求的与其评审有关的一切数据或资料，同时也理解，招标人及招标代理人不负担我们的任何投标费用。</w:t>
      </w:r>
    </w:p>
    <w:p w14:paraId="69C66C75">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9、投标人确认本招标文件限定的投标时间不影响我们的正常投标。</w:t>
      </w:r>
    </w:p>
    <w:p w14:paraId="58484662">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10、一旦我方成交，我方将按照相关的法律法规和签订的合同来履行自己的责任和义务。除非另外达成协议并生效，你方的招标文件和中标通知书以及本投标文件将构成约束我们双方的合同。</w:t>
      </w:r>
    </w:p>
    <w:p w14:paraId="742BF9E7">
      <w:pPr>
        <w:spacing w:line="400" w:lineRule="exact"/>
        <w:ind w:firstLine="420" w:firstLineChars="200"/>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11、在整个招标过程中，我方若有违规行为，贵方可按相关的法律法规给予惩罚。</w:t>
      </w:r>
    </w:p>
    <w:p w14:paraId="499DAC43">
      <w:pPr>
        <w:spacing w:line="400" w:lineRule="exact"/>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投标单位：（盖单位章）</w:t>
      </w:r>
    </w:p>
    <w:p w14:paraId="22A7E474">
      <w:pPr>
        <w:spacing w:line="400" w:lineRule="exact"/>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单位地址：</w:t>
      </w:r>
    </w:p>
    <w:p w14:paraId="0911A5C6">
      <w:pPr>
        <w:spacing w:line="400" w:lineRule="exact"/>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法定代表人（签名或印鉴）：</w:t>
      </w:r>
    </w:p>
    <w:p w14:paraId="7E9C5A7F">
      <w:pPr>
        <w:spacing w:line="400" w:lineRule="exact"/>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授权委托代理人（签名或印鉴）：</w:t>
      </w:r>
    </w:p>
    <w:p w14:paraId="40EBFAB3">
      <w:pPr>
        <w:spacing w:line="400" w:lineRule="exact"/>
        <w:jc w:val="center"/>
        <w:rPr>
          <w:rFonts w:asciiTheme="minorEastAsia" w:hAnsiTheme="minorEastAsia" w:eastAsiaTheme="minorEastAsia" w:cstheme="minorEastAsia"/>
          <w:color w:val="0C0C0C"/>
          <w:highlight w:val="none"/>
        </w:rPr>
      </w:pPr>
      <w:r>
        <w:rPr>
          <w:rFonts w:hint="eastAsia" w:asciiTheme="minorEastAsia" w:hAnsiTheme="minorEastAsia" w:eastAsiaTheme="minorEastAsia" w:cstheme="minorEastAsia"/>
          <w:color w:val="0C0C0C"/>
          <w:highlight w:val="none"/>
        </w:rPr>
        <w:t xml:space="preserve">                                                年   月   日</w:t>
      </w:r>
    </w:p>
    <w:p w14:paraId="75DD959A">
      <w:pPr>
        <w:spacing w:line="480" w:lineRule="exact"/>
        <w:jc w:val="center"/>
        <w:rPr>
          <w:rFonts w:asciiTheme="minorEastAsia" w:hAnsiTheme="minorEastAsia" w:eastAsiaTheme="minorEastAsia" w:cstheme="minorEastAsia"/>
          <w:b/>
          <w:highlight w:val="none"/>
        </w:rPr>
        <w:sectPr>
          <w:footerReference r:id="rId4" w:type="default"/>
          <w:pgSz w:w="11906" w:h="16838"/>
          <w:pgMar w:top="1440" w:right="1800" w:bottom="1440" w:left="1800" w:header="851" w:footer="992" w:gutter="0"/>
          <w:pgNumType w:fmt="decimal"/>
          <w:cols w:space="720" w:num="1"/>
          <w:docGrid w:type="lines" w:linePitch="312" w:charSpace="0"/>
        </w:sectPr>
      </w:pPr>
    </w:p>
    <w:p w14:paraId="5BE6DF10">
      <w:pPr>
        <w:pStyle w:val="4"/>
        <w:spacing w:before="0" w:after="0"/>
        <w:jc w:val="center"/>
        <w:rPr>
          <w:rFonts w:asciiTheme="minorEastAsia" w:hAnsiTheme="minorEastAsia" w:eastAsiaTheme="minorEastAsia" w:cstheme="minorEastAsia"/>
          <w:color w:val="0D0D0D" w:themeColor="text1" w:themeTint="F2"/>
          <w:sz w:val="21"/>
          <w:szCs w:val="21"/>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highlight w:val="none"/>
          <w14:textFill>
            <w14:solidFill>
              <w14:schemeClr w14:val="tx1">
                <w14:lumMod w14:val="95000"/>
                <w14:lumOff w14:val="5000"/>
              </w14:schemeClr>
            </w14:solidFill>
          </w14:textFill>
        </w:rPr>
        <w:t>四、明细报价一览表</w:t>
      </w:r>
    </w:p>
    <w:tbl>
      <w:tblPr>
        <w:tblStyle w:val="23"/>
        <w:tblW w:w="14565" w:type="dxa"/>
        <w:jc w:val="center"/>
        <w:tblLayout w:type="fixed"/>
        <w:tblCellMar>
          <w:top w:w="0" w:type="dxa"/>
          <w:left w:w="0" w:type="dxa"/>
          <w:bottom w:w="0" w:type="dxa"/>
          <w:right w:w="0" w:type="dxa"/>
        </w:tblCellMar>
      </w:tblPr>
      <w:tblGrid>
        <w:gridCol w:w="540"/>
        <w:gridCol w:w="1763"/>
        <w:gridCol w:w="7880"/>
        <w:gridCol w:w="545"/>
        <w:gridCol w:w="600"/>
        <w:gridCol w:w="662"/>
        <w:gridCol w:w="638"/>
        <w:gridCol w:w="1037"/>
        <w:gridCol w:w="900"/>
      </w:tblGrid>
      <w:tr w14:paraId="32D4FF77">
        <w:tblPrEx>
          <w:tblCellMar>
            <w:top w:w="0" w:type="dxa"/>
            <w:left w:w="0" w:type="dxa"/>
            <w:bottom w:w="0" w:type="dxa"/>
            <w:right w:w="0" w:type="dxa"/>
          </w:tblCellMar>
        </w:tblPrEx>
        <w:trPr>
          <w:trHeight w:val="57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BC09">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A2DF">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名称</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68141">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规格参数</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BF5C">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F05F">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1EB9">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综合单价（元）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F9E0">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合价（元）</w:t>
            </w: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8B66DDE">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推荐品牌</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3A23916">
            <w:pPr>
              <w:widowControl/>
              <w:jc w:val="center"/>
              <w:textAlignment w:val="center"/>
              <w:rPr>
                <w:rFonts w:ascii="宋体" w:hAnsi="宋体" w:cs="宋体"/>
                <w:color w:val="000000"/>
                <w:highlight w:val="none"/>
              </w:rPr>
            </w:pPr>
            <w:r>
              <w:rPr>
                <w:rFonts w:hint="eastAsia" w:ascii="宋体" w:hAnsi="宋体" w:cs="宋体"/>
                <w:color w:val="000000"/>
                <w:highlight w:val="none"/>
              </w:rPr>
              <w:t>投标品牌</w:t>
            </w:r>
          </w:p>
        </w:tc>
      </w:tr>
      <w:tr w14:paraId="73A8516B">
        <w:tblPrEx>
          <w:tblCellMar>
            <w:top w:w="0" w:type="dxa"/>
            <w:left w:w="0" w:type="dxa"/>
            <w:bottom w:w="0" w:type="dxa"/>
            <w:right w:w="0" w:type="dxa"/>
          </w:tblCellMar>
        </w:tblPrEx>
        <w:trPr>
          <w:trHeight w:val="250" w:hRule="atLeast"/>
          <w:jc w:val="center"/>
        </w:trPr>
        <w:tc>
          <w:tcPr>
            <w:tcW w:w="145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ABC3">
            <w:pPr>
              <w:widowControl/>
              <w:jc w:val="center"/>
              <w:textAlignment w:val="center"/>
              <w:rPr>
                <w:rFonts w:hint="eastAsia" w:ascii="宋体" w:hAnsi="宋体" w:eastAsia="宋体" w:cs="宋体"/>
                <w:color w:val="000000"/>
                <w:highlight w:val="none"/>
                <w:lang w:eastAsia="zh-CN"/>
              </w:rPr>
            </w:pPr>
            <w:r>
              <w:rPr>
                <w:rFonts w:hint="eastAsia" w:ascii="宋体" w:hAnsi="宋体" w:cs="宋体"/>
                <w:b/>
                <w:bCs/>
                <w:color w:val="000000"/>
                <w:highlight w:val="none"/>
                <w:lang w:eastAsia="zh-CN"/>
              </w:rPr>
              <w:t>一、自动化</w:t>
            </w:r>
          </w:p>
        </w:tc>
      </w:tr>
      <w:tr w14:paraId="5842B536">
        <w:tblPrEx>
          <w:tblCellMar>
            <w:top w:w="0" w:type="dxa"/>
            <w:left w:w="0" w:type="dxa"/>
            <w:bottom w:w="0" w:type="dxa"/>
            <w:right w:w="0" w:type="dxa"/>
          </w:tblCellMar>
        </w:tblPrEx>
        <w:trPr>
          <w:trHeight w:val="132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BDB9">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1BD8">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数据应用服务器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1775">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机架式/AC500W/IntelXoen3.5 GHz（upto3.8 GHz,10M Cache,64位,四核）/16GDDR4</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/2*1T（64M Cache全天候硬盘，支持Raid1,5）/PCI-E 1G独立显卡/集成声卡/集成双1000M口，1个RS232，6 个USB3.0/DVD-ROM/键鼠 /27”液晶显示器及桌面网络盒1对及Windows 2012 Server R2 64位</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F57F">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D66F">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A32F">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09A8">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DB90E5C">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华为/浪潮/联想</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311DDEA">
            <w:pPr>
              <w:widowControl/>
              <w:jc w:val="center"/>
              <w:textAlignment w:val="center"/>
              <w:rPr>
                <w:rFonts w:ascii="宋体" w:hAnsi="宋体" w:cs="宋体"/>
                <w:color w:val="000000"/>
                <w:highlight w:val="none"/>
              </w:rPr>
            </w:pPr>
          </w:p>
        </w:tc>
      </w:tr>
      <w:tr w14:paraId="5859B386">
        <w:tblPrEx>
          <w:tblCellMar>
            <w:top w:w="0" w:type="dxa"/>
            <w:left w:w="0" w:type="dxa"/>
            <w:bottom w:w="0" w:type="dxa"/>
            <w:right w:w="0" w:type="dxa"/>
          </w:tblCellMar>
        </w:tblPrEx>
        <w:trPr>
          <w:trHeight w:val="38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DEEF">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w:t>
            </w:r>
          </w:p>
        </w:tc>
        <w:tc>
          <w:tcPr>
            <w:tcW w:w="17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89D5DA">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监控软件数据库</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DA9FB">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要求最新数据库版本，数据库点位不少于1000点，数据库兼容主流服务器操作系统，正版永久授权</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5D29">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B8C863">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353E8B">
            <w:pPr>
              <w:jc w:val="center"/>
              <w:rPr>
                <w:rFonts w:ascii="宋体" w:hAnsi="宋体" w:cs="宋体"/>
                <w:color w:val="000000"/>
                <w:highlight w:val="none"/>
              </w:rPr>
            </w:pPr>
          </w:p>
        </w:tc>
        <w:tc>
          <w:tcPr>
            <w:tcW w:w="6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96C27A">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048B42">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亚控/海翔/达梦</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72084A4">
            <w:pPr>
              <w:widowControl/>
              <w:jc w:val="center"/>
              <w:textAlignment w:val="center"/>
              <w:rPr>
                <w:rFonts w:ascii="宋体" w:hAnsi="宋体" w:cs="宋体"/>
                <w:color w:val="000000"/>
                <w:highlight w:val="none"/>
              </w:rPr>
            </w:pPr>
          </w:p>
        </w:tc>
      </w:tr>
      <w:tr w14:paraId="26131D80">
        <w:tblPrEx>
          <w:tblCellMar>
            <w:top w:w="0" w:type="dxa"/>
            <w:left w:w="0" w:type="dxa"/>
            <w:bottom w:w="0" w:type="dxa"/>
            <w:right w:w="0" w:type="dxa"/>
          </w:tblCellMar>
        </w:tblPrEx>
        <w:trPr>
          <w:trHeight w:val="604"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4857">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F388">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监控组态软件开发版</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64A3">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开发版环境，最新版本兼容国产操作系统，无限点，不限时正版永久授权</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A236">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93DA">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28E6">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6F79">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877C97">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北京亚控/和利时/力控</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3CFB1FA">
            <w:pPr>
              <w:jc w:val="center"/>
              <w:rPr>
                <w:rFonts w:ascii="宋体" w:hAnsi="宋体" w:cs="宋体"/>
                <w:color w:val="000000"/>
                <w:highlight w:val="none"/>
              </w:rPr>
            </w:pPr>
          </w:p>
        </w:tc>
      </w:tr>
      <w:tr w14:paraId="1A908EDF">
        <w:tblPrEx>
          <w:tblCellMar>
            <w:top w:w="0" w:type="dxa"/>
            <w:left w:w="0" w:type="dxa"/>
            <w:bottom w:w="0" w:type="dxa"/>
            <w:right w:w="0" w:type="dxa"/>
          </w:tblCellMar>
        </w:tblPrEx>
        <w:trPr>
          <w:trHeight w:val="63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B4F2">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432B">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监控组态软件运行版</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B716">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运行版环境，最新版本兼容国产操作系统，无限点，不限时正版永久授权</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CF6D">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AE8EE">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327F">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099E">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E5BD584">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北京亚控/和利时/力控</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54F54DC">
            <w:pPr>
              <w:widowControl/>
              <w:jc w:val="center"/>
              <w:textAlignment w:val="center"/>
              <w:rPr>
                <w:rFonts w:ascii="宋体" w:hAnsi="宋体" w:cs="宋体"/>
                <w:color w:val="000000"/>
                <w:highlight w:val="none"/>
              </w:rPr>
            </w:pPr>
          </w:p>
        </w:tc>
      </w:tr>
      <w:tr w14:paraId="2496852F">
        <w:tblPrEx>
          <w:tblCellMar>
            <w:top w:w="0" w:type="dxa"/>
            <w:left w:w="0" w:type="dxa"/>
            <w:bottom w:w="0" w:type="dxa"/>
            <w:right w:w="0" w:type="dxa"/>
          </w:tblCellMar>
        </w:tblPrEx>
        <w:trPr>
          <w:trHeight w:val="125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E568">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5</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4D31C">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工业工控机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CEAA">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AC300W/ Intel Core i5 3.2GHz(up to 3.4GHz，6M Cache，64位，四核)/16G DDR4/2TB硬盘/动态分配显存，1个VGA， 1个DVI-D， 1个HDMI ， 1个DP/板载声卡/板载 2个 1000兆网口，3 个串口，6 个USB2.0 ，2 个USB3.0 /DVD-ROM/键盘、鼠标/含音箱，27’液晶显示器及Windows10专业版64 位。安装于水务公司中控室</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E4F0D">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9024">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A631">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8BEF8">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363D96">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华为/浪潮/联想</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CA43CA9">
            <w:pPr>
              <w:widowControl/>
              <w:jc w:val="center"/>
              <w:textAlignment w:val="center"/>
              <w:rPr>
                <w:rFonts w:ascii="宋体" w:hAnsi="宋体" w:cs="宋体"/>
                <w:color w:val="000000"/>
                <w:highlight w:val="none"/>
              </w:rPr>
            </w:pPr>
          </w:p>
        </w:tc>
      </w:tr>
      <w:tr w14:paraId="431A4557">
        <w:tblPrEx>
          <w:tblCellMar>
            <w:top w:w="0" w:type="dxa"/>
            <w:left w:w="0" w:type="dxa"/>
            <w:bottom w:w="0" w:type="dxa"/>
            <w:right w:w="0" w:type="dxa"/>
          </w:tblCellMar>
        </w:tblPrEx>
        <w:trPr>
          <w:trHeight w:val="213"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28EE0">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6</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30B0">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深井液位计</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2793">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接入PLC控制，并与深井泵程序联动，安装在井外控制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同时配备有现场显示数据功能。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测量介质: 水（H2O）</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测量范围 0-80m/H2O（量程范围内任选）整体材质 膜片：316L</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外壳:304不锈钢,线缆:聚氨酯线缆,精确度:±0.25%FS(量程≥10m) ,±0.5%FS(量程＜10m)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稳定性:±0.1%FS/年</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介质温度 -20℃～40℃，供电电源 9～36VDC（隔爆型经安全栅供电)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输出信号:4-20mA,绝缘:100MΩ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防护等级:IP68</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负责更换原DN50穿线管内液位计。</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5FCC">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AF78">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7CEB">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21271">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780854">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昆山丹瑞/川仪/西仪</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34D00E">
            <w:pPr>
              <w:widowControl/>
              <w:jc w:val="center"/>
              <w:textAlignment w:val="center"/>
              <w:rPr>
                <w:rFonts w:ascii="宋体" w:hAnsi="宋体" w:cs="宋体"/>
                <w:color w:val="000000"/>
                <w:highlight w:val="none"/>
              </w:rPr>
            </w:pPr>
          </w:p>
        </w:tc>
      </w:tr>
      <w:tr w14:paraId="1626DF1C">
        <w:tblPrEx>
          <w:tblCellMar>
            <w:top w:w="0" w:type="dxa"/>
            <w:left w:w="0" w:type="dxa"/>
            <w:bottom w:w="0" w:type="dxa"/>
            <w:right w:w="0" w:type="dxa"/>
          </w:tblCellMar>
        </w:tblPrEx>
        <w:trPr>
          <w:trHeight w:val="57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BC26">
            <w:pPr>
              <w:widowControl/>
              <w:jc w:val="center"/>
              <w:textAlignment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560F">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电动执行器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0F4D">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DN800出水总管阀门、DN800直供总管阀门加装电动头，智能一体化电动执行器;加长杆约4米，保证电动头露出地面约50cm;带电动涡轮减速箱</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B957">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69CC">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C2A6">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5FE2">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88D4D7B">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上海冠碟/冠龙/力典</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D2BFFE">
            <w:pPr>
              <w:widowControl/>
              <w:jc w:val="center"/>
              <w:textAlignment w:val="center"/>
              <w:rPr>
                <w:rFonts w:ascii="宋体" w:hAnsi="宋体" w:cs="宋体"/>
                <w:color w:val="000000"/>
                <w:highlight w:val="none"/>
              </w:rPr>
            </w:pPr>
          </w:p>
        </w:tc>
      </w:tr>
      <w:tr w14:paraId="766F195E">
        <w:tblPrEx>
          <w:tblCellMar>
            <w:top w:w="0" w:type="dxa"/>
            <w:left w:w="0" w:type="dxa"/>
            <w:bottom w:w="0" w:type="dxa"/>
            <w:right w:w="0" w:type="dxa"/>
          </w:tblCellMar>
        </w:tblPrEx>
        <w:trPr>
          <w:trHeight w:val="74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3978">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8</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A8E4B">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电动阀PLC控制箱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DE71">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1、配套现场手动阀门控制回路，排水泵浮球控制回路及其他辅材机柜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2、配远程控制PLC模块:DI:18,DO:12,AI:4</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AF68F">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F81B">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B245">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EA207">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57CAF89">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和利时/台达/西门子</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23FBF3">
            <w:pPr>
              <w:jc w:val="center"/>
              <w:rPr>
                <w:rFonts w:ascii="宋体" w:hAnsi="宋体" w:cs="宋体"/>
                <w:color w:val="000000"/>
                <w:highlight w:val="none"/>
              </w:rPr>
            </w:pPr>
          </w:p>
        </w:tc>
      </w:tr>
      <w:tr w14:paraId="45BFECE1">
        <w:tblPrEx>
          <w:tblCellMar>
            <w:top w:w="0" w:type="dxa"/>
            <w:left w:w="0" w:type="dxa"/>
            <w:bottom w:w="0" w:type="dxa"/>
            <w:right w:w="0" w:type="dxa"/>
          </w:tblCellMar>
        </w:tblPrEx>
        <w:trPr>
          <w:trHeight w:val="647"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9941">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9</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F26A">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取样泵</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48D0D">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曝气池进清水池取样点，包含现场施工及水管电源线</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93CC">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1BB7">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FEC5">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2258">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A3BCA3D">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德力西/新界/威乐</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E0DF17">
            <w:pPr>
              <w:jc w:val="center"/>
              <w:rPr>
                <w:rFonts w:ascii="宋体" w:hAnsi="宋体" w:cs="宋体"/>
                <w:color w:val="000000"/>
                <w:highlight w:val="none"/>
              </w:rPr>
            </w:pPr>
          </w:p>
        </w:tc>
      </w:tr>
      <w:tr w14:paraId="2DB2BE83">
        <w:tblPrEx>
          <w:tblCellMar>
            <w:top w:w="0" w:type="dxa"/>
            <w:left w:w="0" w:type="dxa"/>
            <w:bottom w:w="0" w:type="dxa"/>
            <w:right w:w="0" w:type="dxa"/>
          </w:tblCellMar>
        </w:tblPrEx>
        <w:trPr>
          <w:trHeight w:val="340" w:hRule="atLeast"/>
          <w:jc w:val="center"/>
        </w:trPr>
        <w:tc>
          <w:tcPr>
            <w:tcW w:w="145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782D">
            <w:pPr>
              <w:jc w:val="center"/>
              <w:rPr>
                <w:rFonts w:hint="default" w:ascii="宋体" w:hAnsi="宋体" w:eastAsia="宋体" w:cs="宋体"/>
                <w:color w:val="000000"/>
                <w:highlight w:val="none"/>
                <w:lang w:val="en-US" w:eastAsia="zh-CN"/>
              </w:rPr>
            </w:pPr>
            <w:r>
              <w:rPr>
                <w:rFonts w:hint="eastAsia" w:ascii="宋体" w:hAnsi="宋体" w:cs="宋体"/>
                <w:b/>
                <w:bCs/>
                <w:color w:val="000000"/>
                <w:highlight w:val="none"/>
                <w:lang w:eastAsia="zh-CN"/>
              </w:rPr>
              <w:t>投标报价（自动化）：人民币</w:t>
            </w:r>
          </w:p>
        </w:tc>
      </w:tr>
      <w:tr w14:paraId="1581A504">
        <w:tblPrEx>
          <w:tblCellMar>
            <w:top w:w="0" w:type="dxa"/>
            <w:left w:w="0" w:type="dxa"/>
            <w:bottom w:w="0" w:type="dxa"/>
            <w:right w:w="0" w:type="dxa"/>
          </w:tblCellMar>
        </w:tblPrEx>
        <w:trPr>
          <w:trHeight w:val="285" w:hRule="atLeast"/>
          <w:jc w:val="center"/>
        </w:trPr>
        <w:tc>
          <w:tcPr>
            <w:tcW w:w="145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878F">
            <w:pPr>
              <w:jc w:val="center"/>
              <w:rPr>
                <w:rFonts w:hint="eastAsia" w:ascii="宋体" w:hAnsi="宋体" w:eastAsia="宋体" w:cs="宋体"/>
                <w:color w:val="000000"/>
                <w:highlight w:val="none"/>
                <w:lang w:eastAsia="zh-CN"/>
              </w:rPr>
            </w:pPr>
            <w:r>
              <w:rPr>
                <w:rFonts w:hint="eastAsia" w:ascii="宋体" w:hAnsi="宋体" w:cs="宋体"/>
                <w:color w:val="000000"/>
                <w:kern w:val="0"/>
                <w:highlight w:val="none"/>
                <w:lang w:eastAsia="zh-CN"/>
              </w:rPr>
              <w:t>二、监控</w:t>
            </w:r>
          </w:p>
        </w:tc>
      </w:tr>
      <w:tr w14:paraId="49271ABB">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08E8">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10</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74BF">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摄像机立杆</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5A9A">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1、1套不低于1.5米（大门口），4套不低于2米（2口清水池，各安装在池顶东南角及西北角），13套不低于3.5米（深井旁，保证深井及井旁控制柜都在视野内），4套不低于6米（泵房东侧道路南北各1、综合楼东侧道路南北各1）</w:t>
            </w:r>
            <w:r>
              <w:rPr>
                <w:rFonts w:hint="eastAsia" w:ascii="宋体" w:hAnsi="宋体" w:cs="宋体"/>
                <w:i w:val="0"/>
                <w:color w:val="000000"/>
                <w:kern w:val="0"/>
                <w:sz w:val="18"/>
                <w:szCs w:val="18"/>
                <w:highlight w:val="none"/>
                <w:u w:val="none"/>
                <w:lang w:val="en-US" w:eastAsia="zh-CN" w:bidi="ar"/>
              </w:rPr>
              <w:t>，具体位置由甲乙双方现场确定</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2、碳钢喷塑，带避雷针，杆内接线</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2、摄像机等密封、防水、防腐</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4、监控杆接地</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7C3B">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2808">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8DCA">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6273">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BC63FF">
            <w:pPr>
              <w:jc w:val="center"/>
              <w:rPr>
                <w:rFonts w:hint="eastAsia" w:ascii="宋体" w:hAnsi="宋体" w:cs="宋体"/>
                <w:color w:val="000000"/>
                <w:highlight w:val="none"/>
                <w:lang w:eastAsia="zh-CN"/>
              </w:rPr>
            </w:pPr>
            <w:r>
              <w:rPr>
                <w:rFonts w:hint="eastAsia" w:ascii="宋体" w:hAnsi="宋体" w:cs="宋体"/>
                <w:color w:val="000000"/>
                <w:highlight w:val="none"/>
                <w:lang w:eastAsia="zh-CN"/>
              </w:rPr>
              <w:t>国产</w:t>
            </w:r>
          </w:p>
          <w:p w14:paraId="4E3AF13D">
            <w:pPr>
              <w:jc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定制</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EBDFA23">
            <w:pPr>
              <w:jc w:val="center"/>
              <w:rPr>
                <w:rFonts w:ascii="宋体" w:hAnsi="宋体" w:cs="宋体"/>
                <w:color w:val="000000"/>
                <w:highlight w:val="none"/>
              </w:rPr>
            </w:pPr>
          </w:p>
        </w:tc>
      </w:tr>
      <w:tr w14:paraId="02D52020">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5EFED">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11</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3976">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枪型摄像机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A5FC">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深井13、配电间4、值班室2、泵房2、在线仪表室1、清水池4、滤池5、加氯间5、大门1</w:t>
            </w:r>
            <w:r>
              <w:rPr>
                <w:rFonts w:hint="eastAsia" w:ascii="宋体" w:hAnsi="宋体" w:cs="宋体"/>
                <w:i w:val="0"/>
                <w:color w:val="000000"/>
                <w:kern w:val="0"/>
                <w:sz w:val="18"/>
                <w:szCs w:val="18"/>
                <w:highlight w:val="none"/>
                <w:u w:val="none"/>
                <w:lang w:val="en-US" w:eastAsia="zh-CN" w:bidi="ar"/>
              </w:rPr>
              <w:t>，室内安装位置根据甲方要求</w:t>
            </w:r>
            <w:r>
              <w:rPr>
                <w:rFonts w:hint="eastAsia" w:ascii="宋体" w:hAnsi="宋体" w:eastAsia="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含支架等配件，带夜视功能。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200万筒型网络摄像机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白光全彩筒型网络摄像机，最高分辨率可达200万像素，并在此分辨率下可输出25 fps实时图像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1个内置麦克风</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移动侦测（支持人形检测）与异常侦测</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支持背光补偿，强光抑制，3D数字降噪，数字宽动态，适应不同环境</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适用于道路、仓库、地下停车场、酒吧、管道、园区等光线较暗或无光照环境且要求高清画质的场所</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支持开放型网络视频接口，ISAPI，SDK，GB28181协议，支持萤石平台接入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智能补光，支持白光/红外双补光，红外光最远可达50 m，白光最远可达30 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符合IP67防尘防水设计，可靠性高</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传感器类型：1/2.7" Progressive Scan CMOS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最低照度：彩色：0.01 Lux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焦距&amp;视场角：4 mm，水平视场角：81.3°，垂直视场角：43.6°，对角视场角：96.9°</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 mm，水平视场角：50.9°，垂直视场角：29.3°，对角视场角：58.1°</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8 mm，水平视场角：39.4°，垂直视场角：21.7°，对角视场角：45.6°</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12 mm，水平视场角：24.6°，垂直视场角：13.9°，对角视场角：28.1°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红外波长范围：850 nm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防补光过曝：支持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补光灯类型：智能补光，可切换白光灯、红外灯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补光距离：红外光最远可达50 m，白光最远可达30 m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最大分辨率：1920 × 1080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视频压缩标准：主码流：H.265/H.264，支持Smart264/Smart265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子码流：H.265/H.264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宽动态：数字宽动态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音频：1个内置麦克风</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网络：1个RJ45 10 M/100 M自适应以太网口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启动及工作温湿度：-30 °C~60 °C，湿度小于95%（无凝结）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存储温湿度：-30 °C~60 °C，湿度小于95%（无凝结）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供电方式：DC：12 V ± 25%，支持防反接保护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PoE：IEEE 802.3af，CLASS 3</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电流及功耗：DC：12 V，0.42 A，最大功耗：5 W</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PoE：IEEE802.3af ，CLASS 3，最大功耗：6.5 W</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电源接口类型：Ø5.5 mm圆口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恢复出厂设置：支持客户端或浏览器恢复</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1BCB1">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37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D173">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0EFD">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7AD6">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BF6329">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海康威视/大华/宇视</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FC7DA4E">
            <w:pPr>
              <w:jc w:val="center"/>
              <w:rPr>
                <w:rFonts w:ascii="宋体" w:hAnsi="宋体" w:cs="宋体"/>
                <w:color w:val="000000"/>
                <w:highlight w:val="none"/>
              </w:rPr>
            </w:pPr>
          </w:p>
        </w:tc>
      </w:tr>
      <w:tr w14:paraId="2EF012D8">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D62E">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12</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2C45">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云台球型摄像机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64C3D">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安装于场内道路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含支架等配件。200万像素，带夜视功能。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基础参数隐私遮蔽最多24块;多边形区域;支持马赛克;支持多种颜色设置宽动态 120dB超宽动态强光抑制支持日夜转换模式自动ICR彩转黑聚焦模式半自动/手动/自动区域聚焦支持背光补偿支持日夜转换方式白天、夜晚、自动、定时切换光学变倍 23倍 3D降噪支持图像设置亮度;对比度;锐度;饱和度信噪比＞52dB 快门 1/1秒 ~ 1/30,000秒慢快门支持透雾支持区域曝光支持数字变倍 16倍最低照度 0 Lux with IR;彩色：0.005Lux @ (F1.6，AGC ON)；黑白：0.001Lux @ (F1.6，AGC ON) 传感器类型 1/2.8＂ progressive scan CMOS 补光红外照射距离 100米云台功能垂直速度垂直键控速度：0.1°-80°/s,速度可设;垂直预置点速度：80°/s 垂直范围 -15°-90°(自动翻转) 水平速度水平键控速度：0.1°-80°/s,速度可设;水平预置点速度：80°/s 水平范围 360° 云台垂直速度垂直键控速度：0.1°-80°/s,速度可设;垂直预置点速度：80°/s 垂直范围 -15°-90°(自动翻转) 巡航扫描 8条，每条可添加32个预置点花样扫描 4条预置点视频冻结支持水平范围 360° 断电记忆支持定时任务预置点;花样扫描;巡航扫描;自动扫描;全景扫描;随机扫描;垂直扫描;帧扫描;球机重启;球机校验;辅助输出守望功能预置点;花样扫描;巡航扫描;自动扫描;垂直扫描;随机扫描;帧扫描;全景扫描方位角信息显示支持预置点个数 300个水平速度水平键控速度：0.1°-80°/s,速度可设;水平预置点速度：80°/s 3D 定位支持比例变倍支持视频 H.265 Main Profile 最大图像尺寸 2560×1440 H.264 Baseline Profile;Main Profile;High Profile 视频压缩码率 32kbps-16384kbps 视频压缩标准 H.265;H.264;MJPEG 第三码流帧率分辨率 50 Hz：25 fps（1920 × 1080，1280 × 960，1280 × 720，704 × 576，640 × 480，352 × 288） 60 Hz：30 fps（1920 × 1080，1280 × 960，1280 × 720，704 × 480，640 × 480，352 × 240） ROI 主码流、子码流、第三码流支持8块ROI区域码流类型主码流;子码流;第三码流 Smart 265 支持子码流帧率分辨率 50 Hz：25 fps（704 × 576，640 × 480，352 × 288） 60 Hz：30 fps（704 × 480，640 × 480，352 × 240）主码流帧率分辨率 50 Hz：25 fps（2560 × 1440，1920 × 1080，1280 × 960，1280 × 720） 60 Hz：30 fps（2560 × 1440，1920 × 1080，1280 × 960，1280 × 720 Smart 264 支持 SVC 支持音频音频压缩标准 G.711alaw;G.711ulaw;G.722.1;G.726;MP2L2;PCM;ACC-LC 环境噪声过滤支持音频采样率 MP2L2：16kHz，32kHz，48kHz;PCM：8kHz，16kHz，32kHz，48kHz 音频压缩码率 MP2L2：32kbps，40kbps，48kbps，56kbps，64kbps，80kbps，96kbps，112kbps，128kbps，144kbps，160kbps，192kbps 智能普通事件支持 Smart事件支持报警联动支持网络接口协议软件集成的开放式API,ISAPI,海康SDK,第三方管理平台接入,GB/T28181协议,支持视图库,支持萤石接入,ISUP,开放型网络视频接口安全管理授权的用户名和密码;以及MAC地址绑定;HTTPS加密;IEEE 802.1x网络访问控制;IP地址过滤浏览器 IE11, Chrome57+, Firefox52+, Safari11+ 最大取流路数 20路客户端支持iVMS-4200客户端;海康互联网络存储 NAS (NFS, SMB/ CIFS);ANR 支持协议 IPv4/IPv6;HTTP;HTTPS;Qos;FTP;SMTP;UPnP;SNMP;DNS;DDNS;NTP;RTSP;RTCP;RTP;TCP/IP;UDP;IGMP;ICMP;DHCP;Bonjour;WebSocket;WebSockets 用户管理 32个 Wi-Fi 传输速率 11b:11Mbps； 11g:54Mbps； 11n:上限150Mbps 频率范围 2.4 GHz 至 2.4835 GHz 无线标准 IEEE802.11b, 802.11g</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9484">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5749">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A6AE">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4B21">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D9659C4">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海康威视/大华/宇视</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4AA835">
            <w:pPr>
              <w:jc w:val="center"/>
              <w:rPr>
                <w:rFonts w:ascii="宋体" w:hAnsi="宋体" w:cs="宋体"/>
                <w:color w:val="000000"/>
                <w:highlight w:val="none"/>
              </w:rPr>
            </w:pPr>
          </w:p>
        </w:tc>
      </w:tr>
      <w:tr w14:paraId="3E8F63FB">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0440">
            <w:pPr>
              <w:widowControl/>
              <w:jc w:val="center"/>
              <w:textAlignment w:val="center"/>
              <w:rPr>
                <w:rFonts w:hint="default" w:ascii="宋体" w:hAnsi="宋体" w:cs="宋体"/>
                <w:color w:val="000000"/>
                <w:kern w:val="0"/>
                <w:highlight w:val="none"/>
                <w:lang w:val="en-US" w:eastAsia="zh-CN"/>
              </w:rPr>
            </w:pPr>
            <w:r>
              <w:rPr>
                <w:rFonts w:hint="eastAsia" w:ascii="宋体" w:hAnsi="宋体" w:cs="宋体"/>
                <w:color w:val="000000"/>
                <w:kern w:val="0"/>
                <w:highlight w:val="none"/>
                <w:lang w:val="en-US" w:eastAsia="zh-CN"/>
              </w:rPr>
              <w:t>13</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808A">
            <w:pPr>
              <w:widowControl/>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64路数字硬盘录像机+8T硬盘*9</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9D19">
            <w:pPr>
              <w:widowControl/>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2U机架式9盘位嵌入式网络硬盘录像机，整机采用短机箱设计，搭载高性能ATX电源</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【硬件规格】</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存储接口：9个SATA接口，可满配20TB硬盘，总容量可达180TB</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视频接口：2×HDMI，2×VGA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网络接口：2×RJ45 10/100/1000Mbps自适应以太网口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报警接口：16路报警输入，9路报警输出（其中第9路支持CTRL 12V）</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反向供电：1路DC12V 1A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串行接口：1路RS-232接口，1路全双工RS-485接口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USB接口：2×USB 2.0，2×USB 3.0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扩展接口：1×eSATA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【产品性能】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输入带宽：384Mbps（开启RAID后为200Mbps）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输出带宽：256Mbps（开启RAID后为200Mbps）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接入能力：64路H.264、H.265格式高清码流接入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解码能力：最大支持32×1080P</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显示能力：最大支持8K+1080P、2×4K异源输出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RAID模式：RAID0、RAID1、RAID5、RAID6、RAID10，支持全局热备盘，RAID与智能应用互斥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【智能应用】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整机搭载高性能AI引擎，支持独立配置目标识别、图搜等引擎模式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目标识别应用：支持目标抓拍、比对报警；支持以图搜图、按姓名检索、按属性检索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目标名单库：支持16个名单库，总库容5万张</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目标抓拍：4路视频流（2MP）</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目标比对：16路图片流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图搜应用：支持智能图搜功能，搭配前端智搜相机可对设备视频录像中的目标实现快速检索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智能图搜：64路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出厂默认图搜应用，图搜应用与目标识别应用可切换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硬盘容量需保证连续刻录，24h*90天记录/</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满足不低于90天存储时间</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EAA06">
            <w:pPr>
              <w:widowControl/>
              <w:jc w:val="center"/>
              <w:textAlignment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C37A">
            <w:pPr>
              <w:widowControl/>
              <w:jc w:val="center"/>
              <w:textAlignment w:val="center"/>
              <w:rPr>
                <w:rFonts w:hint="eastAsia" w:ascii="宋体" w:hAnsi="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1E63">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484C">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20D67F">
            <w:pPr>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海康威视/大华/宇视</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F5B9EE0">
            <w:pPr>
              <w:jc w:val="center"/>
              <w:rPr>
                <w:rFonts w:ascii="宋体" w:hAnsi="宋体" w:cs="宋体"/>
                <w:color w:val="000000"/>
                <w:highlight w:val="none"/>
              </w:rPr>
            </w:pPr>
          </w:p>
        </w:tc>
      </w:tr>
      <w:tr w14:paraId="68AD9EDB">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8A64">
            <w:pPr>
              <w:widowControl/>
              <w:jc w:val="center"/>
              <w:textAlignment w:val="center"/>
              <w:rPr>
                <w:rFonts w:hint="default" w:ascii="宋体" w:hAnsi="宋体" w:cs="宋体"/>
                <w:color w:val="000000"/>
                <w:kern w:val="0"/>
                <w:highlight w:val="none"/>
                <w:lang w:val="en-US" w:eastAsia="zh-CN"/>
              </w:rPr>
            </w:pPr>
            <w:r>
              <w:rPr>
                <w:rFonts w:hint="eastAsia" w:ascii="宋体" w:hAnsi="宋体" w:cs="宋体"/>
                <w:color w:val="000000"/>
                <w:kern w:val="0"/>
                <w:highlight w:val="none"/>
                <w:lang w:val="en-US" w:eastAsia="zh-CN"/>
              </w:rPr>
              <w:t>14</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EB77">
            <w:pPr>
              <w:widowControl/>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监控汇聚工业交换机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0739">
            <w:pPr>
              <w:widowControl/>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20光8电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不低于20个千兆 SFP光口（ 不可以用收发器外部转接），8个千兆电口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支持ITU G.8032标准的ERPS环网协议，自愈时间小于20ms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支持国际标准IEEE 802.3D/W/S 标准的STP/RSTP/MSTP 协议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支持丰富的网络安全监测功能，可以与网络安全检测设备对接，无安全漏洞</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符合工业交换机A类电磁兼容标准，满足GB/T17626-2018或DL/T1241-2013产品技术规范</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冗余双电源DC/AC电源规格可选，防反接，过流保护功能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-40℃～85℃宽温设计，确保设备适应各种严酷的现场环境</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AB54">
            <w:pPr>
              <w:widowControl/>
              <w:jc w:val="center"/>
              <w:textAlignment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0D10">
            <w:pPr>
              <w:widowControl/>
              <w:jc w:val="center"/>
              <w:textAlignment w:val="center"/>
              <w:rPr>
                <w:rFonts w:hint="eastAsia" w:ascii="宋体" w:hAnsi="宋体" w:cs="宋体"/>
                <w:color w:val="000000"/>
                <w:highlight w:val="none"/>
                <w:lang w:eastAsia="zh-CN"/>
              </w:rPr>
            </w:pPr>
            <w:r>
              <w:rPr>
                <w:rFonts w:hint="eastAsia" w:ascii="宋体" w:hAnsi="宋体" w:cs="宋体"/>
                <w:color w:val="000000"/>
                <w:highlight w:val="none"/>
                <w:lang w:eastAsia="zh-CN"/>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15E1">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4755">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BB0A25">
            <w:pPr>
              <w:jc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华为/TPLINK/H3C</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108DFF4">
            <w:pPr>
              <w:jc w:val="center"/>
              <w:rPr>
                <w:rFonts w:ascii="宋体" w:hAnsi="宋体" w:cs="宋体"/>
                <w:color w:val="000000"/>
                <w:highlight w:val="none"/>
              </w:rPr>
            </w:pPr>
          </w:p>
        </w:tc>
      </w:tr>
      <w:tr w14:paraId="021BEAB7">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4F1E">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15</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5C53">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监控接入层工业交换机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11F0">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2光8电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-接口类型:8*10/100/1000 Base-T 电口+2* Base-X SFP光口，DC9-56V或者220 AC直接供电，导轨式安装</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-工作温度:-40~75C，储存温度:-40-85C，防护等级:IP40防护等级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-拨码开关:具备四路拨码开关，便于运维人员日常维护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-提供1个数字输入接口，设备开启事件告警功能后，系统根据数字输入电压的变化或设备内部的检测结果来触发报警设备发出告警。检测情况可通过Alarm告警指示灯状态做出判断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-支持二层环网协议:支持STP/RSTP，支持G.8032以太网环保护协议ERPS协议</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FD49">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3D57">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DB6B">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FC879">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582ADC">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华为/TPLINK/H3C</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1CEFF6">
            <w:pPr>
              <w:jc w:val="center"/>
              <w:rPr>
                <w:rFonts w:ascii="宋体" w:hAnsi="宋体" w:cs="宋体"/>
                <w:color w:val="000000"/>
                <w:highlight w:val="none"/>
              </w:rPr>
            </w:pPr>
          </w:p>
        </w:tc>
      </w:tr>
      <w:tr w14:paraId="56570CB7">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6E7B8">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16</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7B32">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电源线3*1.5</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DC65">
            <w:pPr>
              <w:widowControl/>
              <w:jc w:val="left"/>
              <w:textAlignment w:val="center"/>
              <w:rPr>
                <w:rFonts w:ascii="宋体" w:hAnsi="宋体" w:cs="宋体"/>
                <w:color w:val="000000"/>
                <w:highlight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AED6">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B954C">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米</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7619">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0C8E">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3BDD2E7">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华美/上上/江南</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3457504">
            <w:pPr>
              <w:jc w:val="center"/>
              <w:rPr>
                <w:rFonts w:ascii="宋体" w:hAnsi="宋体" w:cs="宋体"/>
                <w:color w:val="000000"/>
                <w:highlight w:val="none"/>
              </w:rPr>
            </w:pPr>
          </w:p>
        </w:tc>
      </w:tr>
      <w:tr w14:paraId="164E2833">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6DB3">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17</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725A">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光纤(电信级)12芯</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20E1">
            <w:pPr>
              <w:widowControl/>
              <w:jc w:val="left"/>
              <w:textAlignment w:val="center"/>
              <w:rPr>
                <w:rFonts w:ascii="宋体" w:hAnsi="宋体" w:cs="宋体"/>
                <w:color w:val="000000"/>
                <w:highlight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E809">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994F">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米</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777D">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D536">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197710">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长飞/烽火/通鼎</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DA88EA">
            <w:pPr>
              <w:jc w:val="center"/>
              <w:rPr>
                <w:rFonts w:ascii="宋体" w:hAnsi="宋体" w:cs="宋体"/>
                <w:color w:val="000000"/>
                <w:highlight w:val="none"/>
              </w:rPr>
            </w:pPr>
          </w:p>
        </w:tc>
      </w:tr>
      <w:tr w14:paraId="1375F2B7">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5AC1">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18</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6E501">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42U服务器机柜</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3792">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前后开门，2000*600*800，防护等级：IP20</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6C6D4">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FE52">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7282">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29B97">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C9BA93F">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唐大图腾/鑫成/威图</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1543F2">
            <w:pPr>
              <w:jc w:val="center"/>
              <w:rPr>
                <w:rFonts w:ascii="宋体" w:hAnsi="宋体" w:cs="宋体"/>
                <w:color w:val="000000"/>
                <w:highlight w:val="none"/>
              </w:rPr>
            </w:pPr>
          </w:p>
        </w:tc>
      </w:tr>
      <w:tr w14:paraId="19CABA66">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1460">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19</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8253">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光纤、交换机、收发器等辅材</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CEF6">
            <w:pPr>
              <w:widowControl/>
              <w:jc w:val="left"/>
              <w:textAlignment w:val="center"/>
              <w:rPr>
                <w:rFonts w:ascii="宋体" w:hAnsi="宋体" w:cs="宋体"/>
                <w:color w:val="000000"/>
                <w:highlight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4EE8">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99F3">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CDB3">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EA6F">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8232AA2">
            <w:pPr>
              <w:jc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国优</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FBB5C34">
            <w:pPr>
              <w:jc w:val="center"/>
              <w:rPr>
                <w:rFonts w:ascii="宋体" w:hAnsi="宋体" w:cs="宋体"/>
                <w:color w:val="000000"/>
                <w:highlight w:val="none"/>
              </w:rPr>
            </w:pPr>
          </w:p>
        </w:tc>
      </w:tr>
      <w:tr w14:paraId="681CFAEE">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7000">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20</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0337">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拼接屏</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8E19">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单屏外观尺寸：1211.5mm（长）*682.3mm（高）                                                                                                                                                                                                                                                                                                                                                                                                                                                                               液晶显示单元，采用55寸工业屏体，LED光源，物理拼缝1.88mm(双边拼缝）亮度：500cd/㎡，分辨率不低于1920*1080，画面比率16：9 ,高对比度4000：1，可视角度：178° 亮度均匀，显示清晰、图像失真小，影像不闪烁，可满足7×24×365长时间开机，寿命不低于60000小时。输入接口：HDMI*1， VGA*1，BNC*2，YPr/Pb，S-VIDEO*1，支持分屏显示，整屏显示，任意组合显示.内置图像拼接处理器：支持HDMI输入、视频输入、VGA输入，DVI输入，支持高清1920X1080分辨率， RS232或RJ45接口控制，液晶显示单元直接输入VGA信号和视频信号，屏与屏之间即可拼接显示。极速响应，增强抗干扰能力：采用并行高速总线连接技术，控制端发出命令后，系统能在1微秒时间内，切换信号到命令指定的通道，实现快速响应。断电前状态记忆功能：通过控制软件的提前设置，能在现场断电的情况下，能自动记忆设备关机前的工作状态。</w:t>
            </w:r>
          </w:p>
          <w:p w14:paraId="315D4FAD">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安装在保安室，实现所有监控（含电子围栏）轮巡</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5D6D">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973C">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只</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A485">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590C">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FF597E8">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京东方/创维/华融</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65F1668">
            <w:pPr>
              <w:jc w:val="center"/>
              <w:rPr>
                <w:rFonts w:ascii="宋体" w:hAnsi="宋体" w:cs="宋体"/>
                <w:color w:val="000000"/>
                <w:highlight w:val="none"/>
              </w:rPr>
            </w:pPr>
          </w:p>
        </w:tc>
      </w:tr>
      <w:tr w14:paraId="6B7D9D02">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904C">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21</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B040A">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解码器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47BC">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 xml:space="preserve">支持256路H.265/H.264格式500万及以下清晰度摄像头输入；                                                                                                                                                                        输出4个HDMI全高清大屏接口；                                                                                                                 内置矩阵画面分割1/4/9/16；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解码能力：1、4画面时=1080P，9画面时=720P，16画面时=D1；                                                                                       同步硬解码16路1080P或36路720P或64路D1；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支持轮切、组切、画面开窗；</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支持单通道IP摄像机单屏画面分割、单屏、拼接全屏等显示方式</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705F">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81673">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只</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A029">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90A8">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FE3C63F">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大屏配套</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308B63">
            <w:pPr>
              <w:jc w:val="center"/>
              <w:rPr>
                <w:rFonts w:ascii="宋体" w:hAnsi="宋体" w:cs="宋体"/>
                <w:color w:val="000000"/>
                <w:highlight w:val="none"/>
              </w:rPr>
            </w:pPr>
          </w:p>
        </w:tc>
      </w:tr>
      <w:tr w14:paraId="57247B27">
        <w:tblPrEx>
          <w:tblCellMar>
            <w:top w:w="0" w:type="dxa"/>
            <w:left w:w="0" w:type="dxa"/>
            <w:bottom w:w="0" w:type="dxa"/>
            <w:right w:w="0" w:type="dxa"/>
          </w:tblCellMar>
        </w:tblPrEx>
        <w:trPr>
          <w:trHeight w:val="285" w:hRule="atLeast"/>
          <w:jc w:val="center"/>
        </w:trPr>
        <w:tc>
          <w:tcPr>
            <w:tcW w:w="145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D569">
            <w:pPr>
              <w:jc w:val="center"/>
              <w:rPr>
                <w:rFonts w:ascii="宋体" w:hAnsi="宋体" w:cs="宋体"/>
                <w:color w:val="000000"/>
                <w:highlight w:val="none"/>
              </w:rPr>
            </w:pPr>
            <w:r>
              <w:rPr>
                <w:rFonts w:hint="eastAsia" w:ascii="宋体" w:hAnsi="宋体" w:cs="宋体"/>
                <w:b/>
                <w:bCs/>
                <w:color w:val="000000"/>
                <w:highlight w:val="none"/>
                <w:lang w:eastAsia="zh-CN"/>
              </w:rPr>
              <w:t>投标报价（监控）：人民币</w:t>
            </w:r>
          </w:p>
        </w:tc>
      </w:tr>
      <w:tr w14:paraId="5679C7E8">
        <w:tblPrEx>
          <w:tblCellMar>
            <w:top w:w="0" w:type="dxa"/>
            <w:left w:w="0" w:type="dxa"/>
            <w:bottom w:w="0" w:type="dxa"/>
            <w:right w:w="0" w:type="dxa"/>
          </w:tblCellMar>
        </w:tblPrEx>
        <w:trPr>
          <w:trHeight w:val="285" w:hRule="atLeast"/>
          <w:jc w:val="center"/>
        </w:trPr>
        <w:tc>
          <w:tcPr>
            <w:tcW w:w="145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CE95">
            <w:pPr>
              <w:jc w:val="center"/>
              <w:rPr>
                <w:rFonts w:ascii="宋体" w:hAnsi="宋体" w:cs="宋体"/>
                <w:color w:val="000000"/>
                <w:highlight w:val="none"/>
              </w:rPr>
            </w:pPr>
            <w:r>
              <w:rPr>
                <w:rFonts w:hint="eastAsia" w:ascii="宋体" w:hAnsi="宋体" w:eastAsia="宋体" w:cs="宋体"/>
                <w:b w:val="0"/>
                <w:bCs/>
                <w:i w:val="0"/>
                <w:color w:val="000000"/>
                <w:kern w:val="0"/>
                <w:sz w:val="18"/>
                <w:szCs w:val="18"/>
                <w:highlight w:val="none"/>
                <w:u w:val="none"/>
                <w:lang w:val="en-US" w:eastAsia="zh-CN" w:bidi="ar"/>
              </w:rPr>
              <w:t>三、电子围栏、巡更</w:t>
            </w:r>
          </w:p>
        </w:tc>
      </w:tr>
      <w:tr w14:paraId="15882294">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63A10">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22</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3AEA">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电子围栏</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836D">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维修原有电子围栏，沿南边河道、北边河道完善防护范围，并将原有电子围栏报警移至保安室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四线制电子围栏，组成包括20#多股合金线，高压线，不锈钢防水箱、终端杆、终端杆绝缘子、承力杆、承力杆绝缘子、中间杆、中间杆绝缘子、万向底座、合金线、高压线、线线连接器、紧线器、避雷器、警示牌、声光警灯等。</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C2EA">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3DAAF">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6496">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E4E1">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1C2B19">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海康威视/大华/上海广拓</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9CB9C">
            <w:pPr>
              <w:jc w:val="center"/>
              <w:rPr>
                <w:rFonts w:ascii="宋体" w:hAnsi="宋体" w:cs="宋体"/>
                <w:color w:val="000000"/>
                <w:highlight w:val="none"/>
              </w:rPr>
            </w:pPr>
          </w:p>
        </w:tc>
      </w:tr>
      <w:tr w14:paraId="26E0FCC5">
        <w:tblPrEx>
          <w:tblCellMar>
            <w:top w:w="0" w:type="dxa"/>
            <w:left w:w="0" w:type="dxa"/>
            <w:bottom w:w="0" w:type="dxa"/>
            <w:right w:w="0"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A5B6">
            <w:pPr>
              <w:widowControl/>
              <w:jc w:val="center"/>
              <w:textAlignment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23</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6833">
            <w:pPr>
              <w:widowControl/>
              <w:jc w:val="center"/>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巡更仪</w:t>
            </w:r>
          </w:p>
        </w:tc>
        <w:tc>
          <w:tcPr>
            <w:tcW w:w="7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B134">
            <w:pPr>
              <w:widowControl/>
              <w:jc w:val="left"/>
              <w:textAlignment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含两只巡更棒，设19个巡更点，需按水务公司指定位置安装、生成报表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存储空间：不低于6万条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通讯模式：USB通讯，无需安装驱动，即插即用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使用温度：-40°C到+80°C</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读卡距离：≥3.5 CM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低功耗，充电一次，可连续读卡不少于15天</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读卡提示：声音、灯光、震动选择提示</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3A63">
            <w:pPr>
              <w:widowControl/>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4D7A">
            <w:pPr>
              <w:widowControl/>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2B48">
            <w:pPr>
              <w:jc w:val="center"/>
              <w:rPr>
                <w:rFonts w:ascii="宋体" w:hAnsi="宋体" w:cs="宋体"/>
                <w:color w:val="000000"/>
                <w:highlight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6E9B">
            <w:pPr>
              <w:jc w:val="center"/>
              <w:rPr>
                <w:rFonts w:ascii="宋体" w:hAnsi="宋体" w:cs="宋体"/>
                <w:color w:val="000000"/>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25061E4">
            <w:pPr>
              <w:jc w:val="center"/>
              <w:rPr>
                <w:rFonts w:ascii="宋体" w:hAnsi="宋体" w:cs="宋体"/>
                <w:color w:val="000000"/>
                <w:highlight w:val="none"/>
              </w:rPr>
            </w:pPr>
            <w:r>
              <w:rPr>
                <w:rFonts w:hint="eastAsia" w:ascii="宋体" w:hAnsi="宋体" w:eastAsia="宋体" w:cs="宋体"/>
                <w:i w:val="0"/>
                <w:color w:val="000000"/>
                <w:kern w:val="0"/>
                <w:sz w:val="18"/>
                <w:szCs w:val="18"/>
                <w:highlight w:val="none"/>
                <w:u w:val="none"/>
                <w:lang w:val="en-US" w:eastAsia="zh-CN" w:bidi="ar"/>
              </w:rPr>
              <w:t>科密/海康威视/兰德华</w:t>
            </w:r>
          </w:p>
        </w:tc>
        <w:tc>
          <w:tcPr>
            <w:tcW w:w="9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42B26D">
            <w:pPr>
              <w:jc w:val="center"/>
              <w:rPr>
                <w:rFonts w:ascii="宋体" w:hAnsi="宋体" w:cs="宋体"/>
                <w:color w:val="000000"/>
                <w:highlight w:val="none"/>
              </w:rPr>
            </w:pPr>
          </w:p>
        </w:tc>
      </w:tr>
      <w:tr w14:paraId="2928CDD9">
        <w:tblPrEx>
          <w:tblCellMar>
            <w:top w:w="0" w:type="dxa"/>
            <w:left w:w="0" w:type="dxa"/>
            <w:bottom w:w="0" w:type="dxa"/>
            <w:right w:w="0" w:type="dxa"/>
          </w:tblCellMar>
        </w:tblPrEx>
        <w:trPr>
          <w:trHeight w:val="315" w:hRule="atLeast"/>
          <w:jc w:val="center"/>
        </w:trPr>
        <w:tc>
          <w:tcPr>
            <w:tcW w:w="145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2343">
            <w:pPr>
              <w:jc w:val="center"/>
              <w:rPr>
                <w:rFonts w:ascii="等线" w:hAnsi="等线" w:eastAsia="等线" w:cs="等线"/>
                <w:color w:val="000000"/>
                <w:highlight w:val="none"/>
              </w:rPr>
            </w:pPr>
            <w:r>
              <w:rPr>
                <w:rFonts w:hint="eastAsia" w:ascii="宋体" w:hAnsi="宋体" w:cs="宋体"/>
                <w:b/>
                <w:bCs/>
                <w:color w:val="000000"/>
                <w:kern w:val="0"/>
                <w:highlight w:val="none"/>
              </w:rPr>
              <w:t>投标报价（</w:t>
            </w:r>
            <w:r>
              <w:rPr>
                <w:rFonts w:hint="eastAsia" w:ascii="宋体" w:hAnsi="宋体" w:eastAsia="宋体" w:cs="宋体"/>
                <w:b/>
                <w:bCs/>
                <w:i w:val="0"/>
                <w:color w:val="000000"/>
                <w:kern w:val="0"/>
                <w:sz w:val="18"/>
                <w:szCs w:val="18"/>
                <w:highlight w:val="none"/>
                <w:u w:val="none"/>
                <w:lang w:val="en-US" w:eastAsia="zh-CN" w:bidi="ar"/>
              </w:rPr>
              <w:t>电子围栏、巡更</w:t>
            </w:r>
            <w:r>
              <w:rPr>
                <w:rFonts w:hint="eastAsia" w:ascii="宋体" w:hAnsi="宋体" w:cs="宋体"/>
                <w:b/>
                <w:bCs/>
                <w:color w:val="000000"/>
                <w:kern w:val="0"/>
                <w:highlight w:val="none"/>
              </w:rPr>
              <w:t>）：人民币</w:t>
            </w:r>
          </w:p>
        </w:tc>
      </w:tr>
      <w:tr w14:paraId="372B798E">
        <w:tblPrEx>
          <w:tblCellMar>
            <w:top w:w="0" w:type="dxa"/>
            <w:left w:w="0" w:type="dxa"/>
            <w:bottom w:w="0" w:type="dxa"/>
            <w:right w:w="0" w:type="dxa"/>
          </w:tblCellMar>
        </w:tblPrEx>
        <w:trPr>
          <w:trHeight w:val="315" w:hRule="atLeast"/>
          <w:jc w:val="center"/>
        </w:trPr>
        <w:tc>
          <w:tcPr>
            <w:tcW w:w="145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F5C7">
            <w:pPr>
              <w:jc w:val="center"/>
              <w:rPr>
                <w:rFonts w:ascii="等线" w:hAnsi="等线" w:eastAsia="等线" w:cs="等线"/>
                <w:color w:val="000000"/>
                <w:highlight w:val="none"/>
              </w:rPr>
            </w:pPr>
            <w:r>
              <w:rPr>
                <w:rFonts w:hint="eastAsia" w:ascii="宋体" w:hAnsi="宋体" w:cs="宋体"/>
                <w:b/>
                <w:bCs/>
                <w:color w:val="000000"/>
                <w:kern w:val="0"/>
                <w:highlight w:val="none"/>
              </w:rPr>
              <w:t>投标</w:t>
            </w:r>
            <w:r>
              <w:rPr>
                <w:rFonts w:hint="eastAsia" w:ascii="宋体" w:hAnsi="宋体" w:cs="宋体"/>
                <w:b/>
                <w:bCs/>
                <w:color w:val="000000"/>
                <w:kern w:val="0"/>
                <w:highlight w:val="none"/>
                <w:lang w:eastAsia="zh-CN"/>
              </w:rPr>
              <w:t>总</w:t>
            </w:r>
            <w:r>
              <w:rPr>
                <w:rFonts w:hint="eastAsia" w:ascii="宋体" w:hAnsi="宋体" w:cs="宋体"/>
                <w:b/>
                <w:bCs/>
                <w:color w:val="000000"/>
                <w:kern w:val="0"/>
                <w:highlight w:val="none"/>
              </w:rPr>
              <w:t>价（</w:t>
            </w:r>
            <w:r>
              <w:rPr>
                <w:rFonts w:hint="eastAsia" w:ascii="宋体" w:hAnsi="宋体" w:cs="宋体"/>
                <w:b/>
                <w:bCs/>
                <w:color w:val="000000"/>
                <w:kern w:val="0"/>
                <w:highlight w:val="none"/>
                <w:lang w:eastAsia="zh-CN"/>
              </w:rPr>
              <w:t>一</w:t>
            </w:r>
            <w:r>
              <w:rPr>
                <w:rFonts w:hint="eastAsia" w:ascii="宋体" w:hAnsi="宋体" w:cs="宋体"/>
                <w:b/>
                <w:bCs/>
                <w:color w:val="000000"/>
                <w:kern w:val="0"/>
                <w:highlight w:val="none"/>
                <w:lang w:val="en-US" w:eastAsia="zh-CN"/>
              </w:rPr>
              <w:t>+二+三</w:t>
            </w:r>
            <w:r>
              <w:rPr>
                <w:rFonts w:hint="eastAsia" w:ascii="宋体" w:hAnsi="宋体" w:cs="宋体"/>
                <w:b/>
                <w:bCs/>
                <w:color w:val="000000"/>
                <w:kern w:val="0"/>
                <w:highlight w:val="none"/>
              </w:rPr>
              <w:t>）：人民币</w:t>
            </w:r>
          </w:p>
        </w:tc>
      </w:tr>
    </w:tbl>
    <w:p w14:paraId="4F5D27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备注：</w:t>
      </w:r>
    </w:p>
    <w:p w14:paraId="3425615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以上设备清单数量仅供参考，请各投标人自行踏勘，以现场实际为准。投标报价含现场施工、PLC调试、原有自控系统优化、监控施工（包含维修老视频监控，将新、老监控整合到同一个客户端操作、显示等）等。本项目采用固定总价模式，中标后价格不予调整。</w:t>
      </w:r>
    </w:p>
    <w:p w14:paraId="687CEB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kern w:val="0"/>
          <w:sz w:val="21"/>
          <w:szCs w:val="21"/>
          <w:highlight w:val="none"/>
          <w:lang w:val="en-US" w:eastAsia="zh-CN" w:bidi="ar-SA"/>
        </w:rPr>
        <w:t>（2）以上明细报价一览表，投标人可自行扩展增加（不可删减），费用均包含在投标总价内，中标后不再调整。</w:t>
      </w:r>
    </w:p>
    <w:p w14:paraId="55851DEA">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lang w:val="en-US" w:eastAsia="zh-CN"/>
        </w:rPr>
        <w:t>3）</w:t>
      </w:r>
      <w:r>
        <w:rPr>
          <w:rFonts w:hint="eastAsia" w:asciiTheme="minorEastAsia" w:hAnsiTheme="minorEastAsia" w:eastAsiaTheme="minorEastAsia" w:cstheme="minorEastAsia"/>
          <w:kern w:val="0"/>
          <w:highlight w:val="none"/>
        </w:rPr>
        <w:t>投标人可以选择推荐品牌，也可以选择推荐品牌以外的品牌，但所选品牌档次必须高于或等于推荐品牌档次，</w:t>
      </w:r>
      <w:r>
        <w:rPr>
          <w:rFonts w:hint="eastAsia" w:asciiTheme="minorEastAsia" w:hAnsiTheme="minorEastAsia" w:eastAsiaTheme="minorEastAsia" w:cstheme="minorEastAsia"/>
          <w:b/>
          <w:kern w:val="0"/>
          <w:highlight w:val="none"/>
        </w:rPr>
        <w:t>提供</w:t>
      </w:r>
      <w:r>
        <w:rPr>
          <w:rFonts w:hint="eastAsia" w:asciiTheme="minorEastAsia" w:hAnsiTheme="minorEastAsia" w:eastAsiaTheme="minorEastAsia" w:cstheme="minorEastAsia"/>
          <w:b/>
          <w:kern w:val="0"/>
          <w:highlight w:val="none"/>
          <w:u w:val="single"/>
        </w:rPr>
        <w:t>①由相关机构出具的检测报告；②技术白皮书；③生产许可证；④地级市及以上质量技术监督单位（如南通市质量技术监督局）出具的所投品牌产品不低于本招标文件项目需求内的“推荐品牌”的技术标准证明文件。</w:t>
      </w:r>
      <w:r>
        <w:rPr>
          <w:rFonts w:hint="eastAsia" w:asciiTheme="minorEastAsia" w:hAnsiTheme="minorEastAsia" w:eastAsiaTheme="minorEastAsia" w:cstheme="minorEastAsia"/>
          <w:b/>
          <w:kern w:val="0"/>
          <w:highlight w:val="none"/>
        </w:rPr>
        <w:t>以上四项提供</w:t>
      </w:r>
      <w:r>
        <w:rPr>
          <w:rFonts w:hint="eastAsia" w:asciiTheme="minorEastAsia" w:hAnsiTheme="minorEastAsia" w:eastAsiaTheme="minorEastAsia" w:cstheme="minorEastAsia"/>
          <w:b/>
          <w:kern w:val="0"/>
          <w:highlight w:val="none"/>
          <w:lang w:eastAsia="zh-CN"/>
        </w:rPr>
        <w:t>材料均须</w:t>
      </w:r>
      <w:r>
        <w:rPr>
          <w:rFonts w:hint="eastAsia" w:asciiTheme="minorEastAsia" w:hAnsiTheme="minorEastAsia" w:eastAsiaTheme="minorEastAsia" w:cstheme="minorEastAsia"/>
          <w:b/>
          <w:kern w:val="0"/>
          <w:highlight w:val="none"/>
        </w:rPr>
        <w:t>加盖生产厂家红章作为佐证材料并作为报价标的组成部分，未提供的或未按要求提供的，评标委员会不予认可。</w:t>
      </w:r>
      <w:r>
        <w:rPr>
          <w:rFonts w:hint="eastAsia" w:asciiTheme="minorEastAsia" w:hAnsiTheme="minorEastAsia" w:eastAsiaTheme="minorEastAsia" w:cstheme="minorEastAsia"/>
          <w:kern w:val="0"/>
          <w:highlight w:val="none"/>
        </w:rPr>
        <w:t>当评标小组三分之二以上评委认定，所选品牌档次低于建议品牌档次的，将作无效投标处理。</w:t>
      </w:r>
    </w:p>
    <w:p w14:paraId="2D2D7314">
      <w:pPr>
        <w:spacing w:line="360" w:lineRule="auto"/>
        <w:ind w:firstLine="422" w:firstLineChars="200"/>
        <w:rPr>
          <w:rFonts w:ascii="Calibri" w:hAnsi="Calibri"/>
          <w:b/>
          <w:highlight w:val="none"/>
        </w:rPr>
      </w:pPr>
    </w:p>
    <w:p w14:paraId="207EE74F">
      <w:pPr>
        <w:spacing w:line="360" w:lineRule="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投标单位（盖章）：</w:t>
      </w:r>
    </w:p>
    <w:p w14:paraId="72CF3198">
      <w:pPr>
        <w:spacing w:line="360" w:lineRule="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授权代表（签字或盖章）：</w:t>
      </w:r>
    </w:p>
    <w:p w14:paraId="7182B4AD">
      <w:pPr>
        <w:spacing w:line="360" w:lineRule="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日期：</w:t>
      </w:r>
    </w:p>
    <w:p w14:paraId="0C574D2F">
      <w:pPr>
        <w:spacing w:line="520" w:lineRule="exact"/>
        <w:ind w:firstLine="377" w:firstLineChars="179"/>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p>
    <w:p w14:paraId="7EEB9E63">
      <w:pPr>
        <w:pStyle w:val="3"/>
        <w:spacing w:before="0" w:after="0" w:line="360" w:lineRule="auto"/>
        <w:jc w:val="both"/>
        <w:rPr>
          <w:rFonts w:asciiTheme="minorEastAsia" w:hAnsiTheme="minorEastAsia" w:eastAsiaTheme="minorEastAsia" w:cstheme="minorEastAsia"/>
          <w:sz w:val="21"/>
          <w:szCs w:val="21"/>
          <w:highlight w:val="none"/>
        </w:rPr>
        <w:sectPr>
          <w:footerReference r:id="rId5" w:type="default"/>
          <w:pgSz w:w="16838" w:h="11906" w:orient="landscape"/>
          <w:pgMar w:top="1440" w:right="1440" w:bottom="1440" w:left="1440" w:header="851" w:footer="992" w:gutter="0"/>
          <w:pgNumType w:fmt="decimal"/>
          <w:cols w:space="720" w:num="1"/>
          <w:docGrid w:type="lines" w:linePitch="312" w:charSpace="0"/>
        </w:sectPr>
      </w:pPr>
      <w:bookmarkStart w:id="19" w:name="_Toc508219336"/>
      <w:bookmarkStart w:id="20" w:name="_Toc508219371"/>
      <w:bookmarkStart w:id="21" w:name="OLE_LINK4"/>
      <w:bookmarkStart w:id="22" w:name="OLE_LINK3"/>
    </w:p>
    <w:p w14:paraId="75A88823">
      <w:pPr>
        <w:spacing w:line="520" w:lineRule="exact"/>
        <w:ind w:firstLine="377" w:firstLineChars="179"/>
        <w:jc w:val="center"/>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t>五、投标声明函</w:t>
      </w:r>
    </w:p>
    <w:p w14:paraId="53C96BA5">
      <w:pPr>
        <w:spacing w:line="360" w:lineRule="exact"/>
        <w:ind w:left="420" w:hanging="420" w:hanging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致</w:t>
      </w:r>
      <w:r>
        <w:rPr>
          <w:rFonts w:hint="eastAsia" w:asciiTheme="minorEastAsia" w:hAnsiTheme="minorEastAsia" w:eastAsiaTheme="minorEastAsia" w:cstheme="minorEastAsia"/>
          <w:color w:val="0D0D0D" w:themeColor="text1" w:themeTint="F2"/>
          <w:highlight w:val="none"/>
          <w:u w:val="single"/>
          <w14:textFill>
            <w14:solidFill>
              <w14:schemeClr w14:val="tx1">
                <w14:lumMod w14:val="95000"/>
                <w14:lumOff w14:val="5000"/>
              </w14:schemeClr>
            </w14:solidFill>
          </w14:textFill>
        </w:rPr>
        <w:t>南通市通州区水务有限公司</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w:t>
      </w:r>
    </w:p>
    <w:p w14:paraId="518558E0">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1、我方承诺（1）</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具有独立承担民事责任的能力；（2）具有良好的商业信誉和健全的财务会计制度；（3）具有履行合同所必需的设备及专业技术能力；（4）有依法缴纳税收和社会保障资金的良好记录；（5）参加本次招标活动前三年内，在经营活动中没有重大违法记录；（6）法律、行政法规规定的其他条件，且符合、承认并承诺履行招标文件各项规定的国内法人、其他组织（不包括在港澳台地区注册成立的法人、其它组织）；</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以及本项目招标文件规定的投标人须满足的特定条件。</w:t>
      </w:r>
    </w:p>
    <w:p w14:paraId="15520393">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2、我方承诺参加本次招标活动前三年内，在经营活动中没有重大违法记录，否则，可将我方的投标文件按照无效投标文件处理。</w:t>
      </w:r>
    </w:p>
    <w:p w14:paraId="35F9F3FA">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3、我方承诺完全具有履行合同所必需的设备和专业技术能力。</w:t>
      </w:r>
    </w:p>
    <w:p w14:paraId="09A41003">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4、我方承诺按照本项目招标文件和相关技术标准的条件，提交评估报告，并承担评估报告的质量。</w:t>
      </w:r>
    </w:p>
    <w:p w14:paraId="4BB13882">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5、我方对本项目招标文件（包括修改文件及有关附件）完全理解，并承诺在发生争议时，不会以对招标文件存在误解、不明为由，向你方行使任何法律上的抗辩权。</w:t>
      </w:r>
    </w:p>
    <w:p w14:paraId="7E2F707C">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6、我方投标文件有效期为自开标日起60个日历日，若中标，则投标有效期自动延续至合同履行完毕。</w:t>
      </w:r>
    </w:p>
    <w:p w14:paraId="1A7C7CC9">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7、我方承诺接受招标文件规定的付款方式。</w:t>
      </w:r>
    </w:p>
    <w:p w14:paraId="700782BF">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8、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14:paraId="0B7C65C8">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9、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14:paraId="191F05C9">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10、我方委托授权(姓名:_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14:paraId="71D5788A">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11、我方承诺将严格遵守《中华人民共和国招标投标法》及相关法规，若存在违法违规行为，将承担相应的法律后果。</w:t>
      </w:r>
    </w:p>
    <w:p w14:paraId="67C97B13">
      <w:pPr>
        <w:spacing w:line="360" w:lineRule="exact"/>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法定代表人签字或盖章：</w:t>
      </w:r>
    </w:p>
    <w:p w14:paraId="2FDE7A54">
      <w:pPr>
        <w:spacing w:line="360" w:lineRule="exact"/>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投标人公章：</w:t>
      </w:r>
    </w:p>
    <w:p w14:paraId="61848A0F">
      <w:pPr>
        <w:spacing w:line="360" w:lineRule="exact"/>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日期：</w:t>
      </w:r>
    </w:p>
    <w:p w14:paraId="79B8D308">
      <w:pPr>
        <w:spacing w:line="360" w:lineRule="exact"/>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注：1、出具本函的单位属于非法人组织的，按照法律、行政法规规定能够对外代表其从事民事活动的主要负责人，如个人独资企业的投资人，代表合伙企业执行合伙企业事务的合伙人等，视同法定代表人。</w:t>
      </w:r>
    </w:p>
    <w:p w14:paraId="0819459F">
      <w:pPr>
        <w:numPr>
          <w:ilvl w:val="0"/>
          <w:numId w:val="4"/>
        </w:numPr>
        <w:spacing w:line="360" w:lineRule="exact"/>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若本项目允许联合体投标，且投标人为联合体的，则上文中“我方”包含联合体各方。</w:t>
      </w:r>
    </w:p>
    <w:p w14:paraId="16EC4ACD">
      <w:pP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sectPr>
          <w:pgSz w:w="11906" w:h="16838"/>
          <w:pgMar w:top="1440" w:right="1440" w:bottom="1440" w:left="1440" w:header="851" w:footer="992" w:gutter="0"/>
          <w:pgNumType w:fmt="decimal"/>
          <w:cols w:space="720" w:num="1"/>
          <w:docGrid w:type="lines" w:linePitch="312" w:charSpace="0"/>
        </w:sect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br w:type="page"/>
      </w:r>
    </w:p>
    <w:p w14:paraId="4DBB9190">
      <w:pPr>
        <w:pStyle w:val="16"/>
        <w:rPr>
          <w:highlight w:val="none"/>
        </w:rPr>
      </w:pPr>
    </w:p>
    <w:p w14:paraId="55080663">
      <w:pPr>
        <w:pStyle w:val="16"/>
        <w:rPr>
          <w:highlight w:val="none"/>
        </w:rPr>
      </w:pPr>
    </w:p>
    <w:bookmarkEnd w:id="19"/>
    <w:bookmarkEnd w:id="20"/>
    <w:p w14:paraId="37A013B6">
      <w:pPr>
        <w:numPr>
          <w:ilvl w:val="0"/>
          <w:numId w:val="5"/>
        </w:numPr>
        <w:spacing w:line="360" w:lineRule="auto"/>
        <w:jc w:val="cente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highlight w:val="none"/>
          <w14:textFill>
            <w14:solidFill>
              <w14:schemeClr w14:val="tx1">
                <w14:lumMod w14:val="95000"/>
                <w14:lumOff w14:val="5000"/>
              </w14:schemeClr>
            </w14:solidFill>
          </w14:textFill>
        </w:rPr>
        <w:t xml:space="preserve"> 项目需求</w:t>
      </w:r>
    </w:p>
    <w:p w14:paraId="3E8AA8E7">
      <w:pPr>
        <w:pStyle w:val="16"/>
        <w:numPr>
          <w:ilvl w:val="0"/>
          <w:numId w:val="0"/>
        </w:numPr>
        <w:rPr>
          <w:highlight w:val="none"/>
        </w:rPr>
      </w:pPr>
    </w:p>
    <w:bookmarkEnd w:id="21"/>
    <w:bookmarkEnd w:id="22"/>
    <w:p w14:paraId="72F26163">
      <w:pPr>
        <w:keepNext/>
        <w:keepLines/>
        <w:spacing w:line="360" w:lineRule="auto"/>
        <w:jc w:val="left"/>
        <w:outlineLvl w:val="1"/>
        <w:rPr>
          <w:rFonts w:ascii="宋体" w:hAnsi="宋体" w:cs="宋体"/>
          <w:b/>
          <w:bCs/>
          <w:snapToGrid w:val="0"/>
          <w:sz w:val="24"/>
          <w:szCs w:val="24"/>
          <w:highlight w:val="none"/>
        </w:rPr>
      </w:pPr>
      <w:r>
        <w:rPr>
          <w:rFonts w:hint="eastAsia" w:ascii="宋体" w:hAnsi="宋体" w:cs="宋体"/>
          <w:b/>
          <w:bCs/>
          <w:snapToGrid w:val="0"/>
          <w:sz w:val="24"/>
          <w:szCs w:val="24"/>
          <w:highlight w:val="none"/>
        </w:rPr>
        <w:t>一、服务范围</w:t>
      </w:r>
    </w:p>
    <w:p w14:paraId="287F0F8E">
      <w:pPr>
        <w:tabs>
          <w:tab w:val="left" w:pos="3585"/>
        </w:tabs>
        <w:spacing w:line="360" w:lineRule="auto"/>
        <w:ind w:firstLine="460" w:firstLineChars="192"/>
        <w:rPr>
          <w:rFonts w:hint="eastAsia" w:ascii="Calibri" w:hAnsi="Calibri" w:cs="宋体"/>
          <w:sz w:val="24"/>
          <w:szCs w:val="24"/>
          <w:highlight w:val="none"/>
        </w:rPr>
      </w:pPr>
      <w:r>
        <w:rPr>
          <w:rFonts w:hint="eastAsia" w:ascii="Calibri" w:hAnsi="Calibri" w:cs="宋体"/>
          <w:sz w:val="24"/>
          <w:szCs w:val="24"/>
          <w:highlight w:val="none"/>
          <w:lang w:val="en-US" w:eastAsia="zh-CN"/>
        </w:rPr>
        <w:t>受通州区住建局委托，对应急水源地原有自动化控制平台增加数据库服务器及软件，开发报表及历史曲线等功能，增加两套组态软件等；增加监控探头及配套刻录机、硬盘、大屏等，提高应急水源地技防水平</w:t>
      </w:r>
      <w:r>
        <w:rPr>
          <w:rFonts w:hint="eastAsia" w:ascii="Calibri" w:hAnsi="Calibri" w:cs="宋体"/>
          <w:sz w:val="24"/>
          <w:szCs w:val="24"/>
          <w:highlight w:val="none"/>
        </w:rPr>
        <w:t>。采购内容</w:t>
      </w:r>
      <w:r>
        <w:rPr>
          <w:rFonts w:hint="eastAsia" w:ascii="Calibri" w:hAnsi="Calibri" w:cs="宋体"/>
          <w:sz w:val="24"/>
          <w:szCs w:val="24"/>
          <w:highlight w:val="none"/>
          <w:lang w:val="en-US" w:eastAsia="zh-CN"/>
        </w:rPr>
        <w:t>包含</w:t>
      </w:r>
      <w:r>
        <w:rPr>
          <w:rFonts w:hint="eastAsia" w:ascii="Calibri" w:hAnsi="Calibri" w:cs="宋体"/>
          <w:sz w:val="24"/>
          <w:szCs w:val="24"/>
          <w:highlight w:val="none"/>
        </w:rPr>
        <w:t>如下：</w:t>
      </w:r>
    </w:p>
    <w:tbl>
      <w:tblPr>
        <w:tblStyle w:val="23"/>
        <w:tblW w:w="16163" w:type="dxa"/>
        <w:jc w:val="center"/>
        <w:shd w:val="clear" w:color="auto" w:fill="auto"/>
        <w:tblLayout w:type="fixed"/>
        <w:tblCellMar>
          <w:top w:w="0" w:type="dxa"/>
          <w:left w:w="0" w:type="dxa"/>
          <w:bottom w:w="0" w:type="dxa"/>
          <w:right w:w="0" w:type="dxa"/>
        </w:tblCellMar>
      </w:tblPr>
      <w:tblGrid>
        <w:gridCol w:w="389"/>
        <w:gridCol w:w="1369"/>
        <w:gridCol w:w="487"/>
        <w:gridCol w:w="539"/>
        <w:gridCol w:w="1886"/>
        <w:gridCol w:w="11493"/>
      </w:tblGrid>
      <w:tr w14:paraId="61C96539">
        <w:tblPrEx>
          <w:shd w:val="clear" w:color="auto" w:fill="auto"/>
          <w:tblCellMar>
            <w:top w:w="0" w:type="dxa"/>
            <w:left w:w="0" w:type="dxa"/>
            <w:bottom w:w="0" w:type="dxa"/>
            <w:right w:w="0" w:type="dxa"/>
          </w:tblCellMar>
        </w:tblPrEx>
        <w:trPr>
          <w:trHeight w:val="27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8D5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ECB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设备名称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6AB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512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数量</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B3B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推荐品牌</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DCF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参数</w:t>
            </w:r>
          </w:p>
        </w:tc>
      </w:tr>
      <w:tr w14:paraId="34950F79">
        <w:tblPrEx>
          <w:tblCellMar>
            <w:top w:w="0" w:type="dxa"/>
            <w:left w:w="0" w:type="dxa"/>
            <w:bottom w:w="0" w:type="dxa"/>
            <w:right w:w="0" w:type="dxa"/>
          </w:tblCellMar>
        </w:tblPrEx>
        <w:trPr>
          <w:trHeight w:val="270" w:hRule="atLeast"/>
          <w:jc w:val="center"/>
        </w:trPr>
        <w:tc>
          <w:tcPr>
            <w:tcW w:w="278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4BCE3D">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一、自动化</w:t>
            </w:r>
          </w:p>
        </w:tc>
        <w:tc>
          <w:tcPr>
            <w:tcW w:w="1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4DC9C">
            <w:pPr>
              <w:jc w:val="center"/>
              <w:rPr>
                <w:rFonts w:hint="eastAsia" w:ascii="宋体" w:hAnsi="宋体" w:eastAsia="宋体" w:cs="宋体"/>
                <w:b/>
                <w:i w:val="0"/>
                <w:color w:val="000000"/>
                <w:sz w:val="18"/>
                <w:szCs w:val="18"/>
                <w:highlight w:val="none"/>
                <w:u w:val="none"/>
              </w:rPr>
            </w:pPr>
          </w:p>
        </w:tc>
        <w:tc>
          <w:tcPr>
            <w:tcW w:w="114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2341FB">
            <w:pPr>
              <w:jc w:val="left"/>
              <w:rPr>
                <w:rFonts w:hint="eastAsia" w:ascii="宋体" w:hAnsi="宋体" w:eastAsia="宋体" w:cs="宋体"/>
                <w:b/>
                <w:i w:val="0"/>
                <w:color w:val="000000"/>
                <w:sz w:val="18"/>
                <w:szCs w:val="18"/>
                <w:highlight w:val="none"/>
                <w:u w:val="none"/>
              </w:rPr>
            </w:pPr>
          </w:p>
        </w:tc>
      </w:tr>
      <w:tr w14:paraId="5F626B8C">
        <w:tblPrEx>
          <w:tblCellMar>
            <w:top w:w="0" w:type="dxa"/>
            <w:left w:w="0" w:type="dxa"/>
            <w:bottom w:w="0" w:type="dxa"/>
            <w:right w:w="0" w:type="dxa"/>
          </w:tblCellMar>
        </w:tblPrEx>
        <w:trPr>
          <w:trHeight w:val="81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33D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C30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数据应用服务器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EB08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813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B3E3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华为/浪潮/联想</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F33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机架式/AC500W/IntelXoen3.5 GHz（upto3.8 GHz,10M Cache,64位,四核）/16GDDR4</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/2*1T（64M Cache全天候硬盘，支持Raid1,5）/PCI-E 1G独立显卡/集成声卡/集成双1000M口，1个RS232，6 个USB3.0/DVD-ROM/键鼠 /27”液晶显示器及桌面网络盒1对及Windows 2012 Server R2 64位</w:t>
            </w:r>
          </w:p>
        </w:tc>
      </w:tr>
      <w:tr w14:paraId="5354CC1A">
        <w:tblPrEx>
          <w:tblCellMar>
            <w:top w:w="0" w:type="dxa"/>
            <w:left w:w="0" w:type="dxa"/>
            <w:bottom w:w="0" w:type="dxa"/>
            <w:right w:w="0" w:type="dxa"/>
          </w:tblCellMar>
        </w:tblPrEx>
        <w:trPr>
          <w:trHeight w:val="27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98F3">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56E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监控软件数据库</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B89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FFA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8BB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亚控/海翔/达梦</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D0D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要求最新数据库版本，数据库点位不少于1000点，数据库兼容主流服务器操作系统，正版永久授权</w:t>
            </w:r>
          </w:p>
        </w:tc>
      </w:tr>
      <w:tr w14:paraId="51838CB2">
        <w:tblPrEx>
          <w:tblCellMar>
            <w:top w:w="0" w:type="dxa"/>
            <w:left w:w="0" w:type="dxa"/>
            <w:bottom w:w="0" w:type="dxa"/>
            <w:right w:w="0" w:type="dxa"/>
          </w:tblCellMar>
        </w:tblPrEx>
        <w:trPr>
          <w:trHeight w:val="27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82F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78E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监控组态软件开发版</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332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F59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2E7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北京亚控/和利时/力控</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549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开发版环境，最新版本兼容国产操作系统，无限点，不限时正版永久授权</w:t>
            </w:r>
          </w:p>
        </w:tc>
      </w:tr>
      <w:tr w14:paraId="6A3EE40C">
        <w:tblPrEx>
          <w:tblCellMar>
            <w:top w:w="0" w:type="dxa"/>
            <w:left w:w="0" w:type="dxa"/>
            <w:bottom w:w="0" w:type="dxa"/>
            <w:right w:w="0" w:type="dxa"/>
          </w:tblCellMar>
        </w:tblPrEx>
        <w:trPr>
          <w:trHeight w:val="27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C7F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3073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监控组态软件运行版</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8EE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954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191E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北京亚控/和利时/力控</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DC14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运行版环境，最新版本兼容国产操作系统，无限点，不限时正版永久授权</w:t>
            </w:r>
          </w:p>
        </w:tc>
      </w:tr>
      <w:tr w14:paraId="7DE131C4">
        <w:tblPrEx>
          <w:tblCellMar>
            <w:top w:w="0" w:type="dxa"/>
            <w:left w:w="0" w:type="dxa"/>
            <w:bottom w:w="0" w:type="dxa"/>
            <w:right w:w="0" w:type="dxa"/>
          </w:tblCellMar>
        </w:tblPrEx>
        <w:trPr>
          <w:trHeight w:val="94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B307">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FB38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工业工控机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6D6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160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B38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华为/浪潮/联想</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872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AC300W/ Intel Core i5 3.2GHz(up to 3.4GHz，6M Cache，64位，四核)/16G DDR4/2TB硬盘/动态分配显存，1个VGA， 1个DVI-D， 1个HDMI ， 1个DP/板载声卡/板载 2个 1000兆网口，3 个串口，6 个USB2.0 ，2 个USB3.0 /DVD-ROM/键盘、鼠标/含音箱，27’液晶显示器及Windows10专业版64 位。安装于水务公司中控室</w:t>
            </w:r>
          </w:p>
        </w:tc>
      </w:tr>
      <w:tr w14:paraId="1B1C8317">
        <w:tblPrEx>
          <w:tblCellMar>
            <w:top w:w="0" w:type="dxa"/>
            <w:left w:w="0" w:type="dxa"/>
            <w:bottom w:w="0" w:type="dxa"/>
            <w:right w:w="0" w:type="dxa"/>
          </w:tblCellMar>
        </w:tblPrEx>
        <w:trPr>
          <w:trHeight w:val="27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0A6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03C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深井液位计</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BDB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61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13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79C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昆山丹瑞/川仪/西仪</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242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接入PLC控制，并与深井泵程序联动，安装在井外控制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同时配备有现场显示数据功能。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测量介质: 水（H2O）</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测量范围 0-80m/H2O（量程范围内任选）整体材质 膜片：316L</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外壳:304不锈钢,线缆:聚氨酯线缆,精确度:±0.25%FS(量程≥10m) ,±0.5%FS(量程＜10m)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稳定性:±0.1%FS/年</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介质温度 -20℃～40℃，供电电源 9～36VDC（隔爆型经安全栅供电)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输出信号:4-20mA,绝缘:100MΩ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防护等级:IP68</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负责更换原DN50穿线管内液位计。</w:t>
            </w:r>
          </w:p>
        </w:tc>
      </w:tr>
      <w:tr w14:paraId="354762AC">
        <w:tblPrEx>
          <w:tblCellMar>
            <w:top w:w="0" w:type="dxa"/>
            <w:left w:w="0" w:type="dxa"/>
            <w:bottom w:w="0" w:type="dxa"/>
            <w:right w:w="0" w:type="dxa"/>
          </w:tblCellMar>
        </w:tblPrEx>
        <w:trPr>
          <w:trHeight w:val="54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D36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0D2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电动执行器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244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C87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50D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上海冠碟/冠龙/力典</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CBD1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DN800出水总管阀门、DN800直供总管阀门加装电动头，智能一体化电动执行器;加长杆约4米，保证电动头露出地面约50cm;带电动涡轮减速箱</w:t>
            </w:r>
          </w:p>
        </w:tc>
      </w:tr>
      <w:tr w14:paraId="21C1D2A2">
        <w:tblPrEx>
          <w:tblCellMar>
            <w:top w:w="0" w:type="dxa"/>
            <w:left w:w="0" w:type="dxa"/>
            <w:bottom w:w="0" w:type="dxa"/>
            <w:right w:w="0" w:type="dxa"/>
          </w:tblCellMar>
        </w:tblPrEx>
        <w:trPr>
          <w:trHeight w:val="72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A8D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96D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电动阀PLC控制箱</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600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7638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CCF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和利时/台达/西门子</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0F4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1、配套现场手动阀门控制回路，排水泵浮球控制回路及其他辅材机柜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2、配远程控制PLC模块:DI:18,DO:12,AI:4</w:t>
            </w:r>
          </w:p>
        </w:tc>
      </w:tr>
      <w:tr w14:paraId="79E0B3E3">
        <w:tblPrEx>
          <w:tblCellMar>
            <w:top w:w="0" w:type="dxa"/>
            <w:left w:w="0" w:type="dxa"/>
            <w:bottom w:w="0" w:type="dxa"/>
            <w:right w:w="0" w:type="dxa"/>
          </w:tblCellMar>
        </w:tblPrEx>
        <w:trPr>
          <w:trHeight w:val="27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DFE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B0F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取样泵</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747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701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EC0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德力西/新界/威乐</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CA42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曝气池进清水池取样点，包含现场施工及水管电源线</w:t>
            </w:r>
          </w:p>
        </w:tc>
      </w:tr>
      <w:tr w14:paraId="6A31E1DC">
        <w:tblPrEx>
          <w:tblCellMar>
            <w:top w:w="0" w:type="dxa"/>
            <w:left w:w="0" w:type="dxa"/>
            <w:bottom w:w="0" w:type="dxa"/>
            <w:right w:w="0" w:type="dxa"/>
          </w:tblCellMar>
        </w:tblPrEx>
        <w:trPr>
          <w:trHeight w:val="270" w:hRule="atLeast"/>
          <w:jc w:val="center"/>
        </w:trPr>
        <w:tc>
          <w:tcPr>
            <w:tcW w:w="27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3C2F">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二、监控</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D8BA">
            <w:pPr>
              <w:jc w:val="center"/>
              <w:rPr>
                <w:rFonts w:hint="eastAsia" w:ascii="宋体" w:hAnsi="宋体" w:eastAsia="宋体" w:cs="宋体"/>
                <w:b/>
                <w:i w:val="0"/>
                <w:color w:val="000000"/>
                <w:sz w:val="18"/>
                <w:szCs w:val="18"/>
                <w:highlight w:val="none"/>
                <w:u w:val="none"/>
              </w:rPr>
            </w:pP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ECED">
            <w:pPr>
              <w:jc w:val="center"/>
              <w:rPr>
                <w:rFonts w:hint="eastAsia" w:ascii="宋体" w:hAnsi="宋体" w:eastAsia="宋体" w:cs="宋体"/>
                <w:b/>
                <w:i w:val="0"/>
                <w:color w:val="000000"/>
                <w:sz w:val="18"/>
                <w:szCs w:val="18"/>
                <w:highlight w:val="none"/>
                <w:u w:val="none"/>
              </w:rPr>
            </w:pPr>
          </w:p>
        </w:tc>
      </w:tr>
      <w:tr w14:paraId="2BB903C6">
        <w:tblPrEx>
          <w:tblCellMar>
            <w:top w:w="0" w:type="dxa"/>
            <w:left w:w="0" w:type="dxa"/>
            <w:bottom w:w="0" w:type="dxa"/>
            <w:right w:w="0" w:type="dxa"/>
          </w:tblCellMar>
        </w:tblPrEx>
        <w:trPr>
          <w:trHeight w:val="122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499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039D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摄像机立杆</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689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B50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22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181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国产定制</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B24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1、1套不低于1.5米（大门口），4套不低于2米（</w:t>
            </w:r>
            <w:r>
              <w:rPr>
                <w:rFonts w:hint="eastAsia" w:ascii="宋体" w:hAnsi="宋体" w:cs="宋体"/>
                <w:i w:val="0"/>
                <w:color w:val="000000"/>
                <w:kern w:val="0"/>
                <w:sz w:val="18"/>
                <w:szCs w:val="18"/>
                <w:highlight w:val="none"/>
                <w:u w:val="none"/>
                <w:lang w:val="en-US" w:eastAsia="zh-CN" w:bidi="ar"/>
              </w:rPr>
              <w:t>2口</w:t>
            </w:r>
            <w:r>
              <w:rPr>
                <w:rFonts w:hint="eastAsia" w:ascii="宋体" w:hAnsi="宋体" w:eastAsia="宋体" w:cs="宋体"/>
                <w:i w:val="0"/>
                <w:color w:val="000000"/>
                <w:kern w:val="0"/>
                <w:sz w:val="18"/>
                <w:szCs w:val="18"/>
                <w:highlight w:val="none"/>
                <w:u w:val="none"/>
                <w:lang w:val="en-US" w:eastAsia="zh-CN" w:bidi="ar"/>
              </w:rPr>
              <w:t>清水池</w:t>
            </w:r>
            <w:r>
              <w:rPr>
                <w:rFonts w:hint="eastAsia" w:ascii="宋体" w:hAnsi="宋体" w:cs="宋体"/>
                <w:i w:val="0"/>
                <w:color w:val="000000"/>
                <w:kern w:val="0"/>
                <w:sz w:val="18"/>
                <w:szCs w:val="18"/>
                <w:highlight w:val="none"/>
                <w:u w:val="none"/>
                <w:lang w:val="en-US" w:eastAsia="zh-CN" w:bidi="ar"/>
              </w:rPr>
              <w:t>，各安装在池顶东南角及西北角</w:t>
            </w:r>
            <w:r>
              <w:rPr>
                <w:rFonts w:hint="eastAsia" w:ascii="宋体" w:hAnsi="宋体" w:eastAsia="宋体" w:cs="宋体"/>
                <w:i w:val="0"/>
                <w:color w:val="000000"/>
                <w:kern w:val="0"/>
                <w:sz w:val="18"/>
                <w:szCs w:val="18"/>
                <w:highlight w:val="none"/>
                <w:u w:val="none"/>
                <w:lang w:val="en-US" w:eastAsia="zh-CN" w:bidi="ar"/>
              </w:rPr>
              <w:t>），13套不低于3.5米（深井</w:t>
            </w:r>
            <w:r>
              <w:rPr>
                <w:rFonts w:hint="eastAsia" w:ascii="宋体" w:hAnsi="宋体" w:cs="宋体"/>
                <w:i w:val="0"/>
                <w:color w:val="000000"/>
                <w:kern w:val="0"/>
                <w:sz w:val="18"/>
                <w:szCs w:val="18"/>
                <w:highlight w:val="none"/>
                <w:u w:val="none"/>
                <w:lang w:val="en-US" w:eastAsia="zh-CN" w:bidi="ar"/>
              </w:rPr>
              <w:t>旁，保证深井及井旁控制柜都在视野内</w:t>
            </w:r>
            <w:r>
              <w:rPr>
                <w:rFonts w:hint="eastAsia" w:ascii="宋体" w:hAnsi="宋体" w:eastAsia="宋体" w:cs="宋体"/>
                <w:i w:val="0"/>
                <w:color w:val="000000"/>
                <w:kern w:val="0"/>
                <w:sz w:val="18"/>
                <w:szCs w:val="18"/>
                <w:highlight w:val="none"/>
                <w:u w:val="none"/>
                <w:lang w:val="en-US" w:eastAsia="zh-CN" w:bidi="ar"/>
              </w:rPr>
              <w:t>），4套不低于6米（</w:t>
            </w:r>
            <w:r>
              <w:rPr>
                <w:rFonts w:hint="eastAsia" w:ascii="宋体" w:hAnsi="宋体" w:cs="宋体"/>
                <w:i w:val="0"/>
                <w:color w:val="000000"/>
                <w:kern w:val="0"/>
                <w:sz w:val="18"/>
                <w:szCs w:val="18"/>
                <w:highlight w:val="none"/>
                <w:u w:val="none"/>
                <w:lang w:val="en-US" w:eastAsia="zh-CN" w:bidi="ar"/>
              </w:rPr>
              <w:t>泵房东侧道路南北各1、综合楼东侧道路南北各1</w:t>
            </w:r>
            <w:r>
              <w:rPr>
                <w:rFonts w:hint="eastAsia" w:ascii="宋体" w:hAnsi="宋体" w:eastAsia="宋体" w:cs="宋体"/>
                <w:i w:val="0"/>
                <w:color w:val="000000"/>
                <w:kern w:val="0"/>
                <w:sz w:val="18"/>
                <w:szCs w:val="18"/>
                <w:highlight w:val="none"/>
                <w:u w:val="none"/>
                <w:lang w:val="en-US" w:eastAsia="zh-CN" w:bidi="ar"/>
              </w:rPr>
              <w:t>）</w:t>
            </w:r>
            <w:r>
              <w:rPr>
                <w:rFonts w:hint="eastAsia" w:ascii="宋体" w:hAnsi="宋体" w:cs="宋体"/>
                <w:i w:val="0"/>
                <w:color w:val="000000"/>
                <w:kern w:val="0"/>
                <w:sz w:val="18"/>
                <w:szCs w:val="18"/>
                <w:highlight w:val="none"/>
                <w:u w:val="none"/>
                <w:lang w:val="en-US" w:eastAsia="zh-CN" w:bidi="ar"/>
              </w:rPr>
              <w:t>，具体位置由甲乙双方现场确定</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2、碳钢喷塑，带避雷针，杆内接线</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2、摄像机等密封、防水、防腐</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4、监控杆接地</w:t>
            </w:r>
          </w:p>
        </w:tc>
      </w:tr>
      <w:tr w14:paraId="40CE2A91">
        <w:tblPrEx>
          <w:tblCellMar>
            <w:top w:w="0" w:type="dxa"/>
            <w:left w:w="0" w:type="dxa"/>
            <w:bottom w:w="0" w:type="dxa"/>
            <w:right w:w="0" w:type="dxa"/>
          </w:tblCellMar>
        </w:tblPrEx>
        <w:trPr>
          <w:trHeight w:val="9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BC1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9D5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枪型摄像机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DFB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B95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37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4DF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海康威视/大华/宇视</w:t>
            </w:r>
          </w:p>
        </w:tc>
        <w:tc>
          <w:tcPr>
            <w:tcW w:w="114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E8DC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深井13、配电间4、值班室2、泵房2、在线仪表室1、清水池4、滤池5、加氯间5、大门1</w:t>
            </w:r>
            <w:r>
              <w:rPr>
                <w:rFonts w:hint="eastAsia" w:ascii="宋体" w:hAnsi="宋体" w:cs="宋体"/>
                <w:i w:val="0"/>
                <w:color w:val="000000"/>
                <w:kern w:val="0"/>
                <w:sz w:val="18"/>
                <w:szCs w:val="18"/>
                <w:highlight w:val="none"/>
                <w:u w:val="none"/>
                <w:lang w:val="en-US" w:eastAsia="zh-CN" w:bidi="ar"/>
              </w:rPr>
              <w:t>，室内安装位置根据甲方要求</w:t>
            </w:r>
            <w:r>
              <w:rPr>
                <w:rFonts w:hint="eastAsia" w:ascii="宋体" w:hAnsi="宋体" w:eastAsia="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含支架等配件，带夜视功能。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200万筒型网络摄像机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白光全彩筒型网络摄像机，最高分辨率可达200万像素，并在此分辨率下可输出25 fps实时图像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1个内置麦克风</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移动侦测（支持人形检测）与异常侦测</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支持背光补偿，强光抑制，3D数字降噪，数字宽动态，适应不同环境</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适用于道路、仓库、地下停车场、酒吧、管道、园区等光线较暗或无光照环境且要求高清画质的场所</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支持开放型网络视频接口，ISAPI，SDK，GB28181协议，支持萤石平台接入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智能补光，支持白光/红外双补光，红外光最远可达50 m，白光最远可达30 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符合IP67防尘防水设计，可靠性高</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传感器类型：1/2.7" Progressive Scan CMOS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最低照度：彩色：0.01 Lux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焦距&amp;视场角：4 mm，水平视场角：81.3°，垂直视场角：43.6°，对角视场角：96.9°</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 mm，水平视场角：50.9°，垂直视场角：29.3°，对角视场角：58.1°</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8 mm，水平视场角：39.4°，垂直视场角：21.7°，对角视场角：45.6°</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12 mm，水平视场角：24.6°，垂直视场角：13.9°，对角视场角：28.1°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红外波长范围：850 nm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防补光过曝：支持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补光灯类型：智能补光，可切换白光灯、红外灯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补光距离：红外光最远可达50 m，白光最远可达30 m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最大分辨率：1920 × 1080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视频压缩标准：主码流：H.265/H.264，支持Smart264/Smart265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子码流：H.265/H.264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宽动态：数字宽动态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音频：1个内置麦克风</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网络：1个RJ45 10 M/100 M自适应以太网口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启动及工作温湿度：-30 °C~60 °C，湿度小于95%（无凝结）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存储温湿度：-30 °C~60 °C，湿度小于95%（无凝结）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供电方式：DC：12 V ± 25%，支持防反接保护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PoE：IEEE 802.3af，CLASS 3</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电流及功耗：DC：12 V，0.42 A，最大功耗：5 W</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PoE：IEEE802.3af ，CLASS 3，最大功耗：6.5 W</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电源接口类型：Ø5.5 mm圆口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恢复出厂设置：支持客户端或浏览器恢复</w:t>
            </w:r>
          </w:p>
        </w:tc>
      </w:tr>
      <w:tr w14:paraId="31F8249A">
        <w:tblPrEx>
          <w:shd w:val="clear" w:color="auto" w:fill="auto"/>
          <w:tblCellMar>
            <w:top w:w="0" w:type="dxa"/>
            <w:left w:w="0" w:type="dxa"/>
            <w:bottom w:w="0" w:type="dxa"/>
            <w:right w:w="0" w:type="dxa"/>
          </w:tblCellMar>
        </w:tblPrEx>
        <w:trPr>
          <w:trHeight w:val="667"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19D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8B27">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云台球型摄像机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9C4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36E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4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BB7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海康威视/大华/宇视</w:t>
            </w:r>
          </w:p>
        </w:tc>
        <w:tc>
          <w:tcPr>
            <w:tcW w:w="114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F49B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安装于场内道路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含支架等配件。200万像素，带夜视功能。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基础参数隐私遮蔽最多24块;多边形区域;支持马赛克;支持多种颜色设置宽动态 120dB超宽动态强光抑制支持日夜转换模式自动ICR彩转黑聚焦模式半自动/手动/自动区域聚焦支持背光补偿支持日夜转换方式白天、夜晚、自动、定时切换光学变倍 23倍 3D降噪支持图像设置亮度;对比度;锐度;饱和度信噪比＞52dB 快门 1/1秒 ~ 1/30,000秒慢快门支持透雾支持区域曝光支持数字变倍 16倍最低照度 0 Lux with IR;彩色：0.005Lux @ (F1.6，AGC ON)；黑白：0.001Lux @ (F1.6，AGC ON) 传感器类型 1/2.8＂ progressive scan CMOS 补光红外照射距离 100米云台功能垂直速度垂直键控速度：0.1°-80°/s,速度可设;垂直预置点速度：80°/s 垂直范围 -15°-90°(自动翻转) 水平速度水平键控速度：0.1°-80°/s,速度可设;水平预置点速度：80°/s 水平范围 360° 云台垂直速度垂直键控速度：0.1°-80°/s,速度可设;垂直预置点速度：80°/s 垂直范围 -15°-90°(自动翻转) 巡航扫描 8条，每条可添加32个预置点花样扫描 4条预置点视频冻结支持水平范围 360° 断电记忆支持定时任务预置点;花样扫描;巡航扫描;自动扫描;全景扫描;随机扫描;垂直扫描;帧扫描;球机重启;球机校验;辅助输出守望功能预置点;花样扫描;巡航扫描;自动扫描;垂直扫描;随机扫描;帧扫描;全景扫描方位角信息显示支持预置点个数 300个水平速度水平键控速度：0.1°-80°/s,速度可设;水平预置点速度：80°/s 3D 定位支持比例变倍支持视频 H.265 Main Profile 最大图像尺寸 2560×1440 H.264 Baseline Profile;Main Profile;High Profile 视频压缩码率 32kbps-16384kbps 视频压缩标准 H.265;H.264;MJPEG 第三码流帧率分辨率 50 Hz：25 fps（1920 × 1080，1280 × 960，1280 × 720，704 × 576，640 × 480，352 × 288） 60 Hz：30 fps（1920 × 1080，1280 × 960，1280 × 720，704 × 480，640 × 480，352 × 240） ROI 主码流、子码流、第三码流支持8块ROI区域码流类型主码流;子码流;第三码流 Smart 265 支持子码流帧率分辨率 50 Hz：25 fps（704 × 576，640 × 480，352 × 288） 60 Hz：30 fps（704 × 480，640 × 480，352 × 240）主码流帧率分辨率 50 Hz：25 fps（2560 × 1440，1920 × 1080，1280 × 960，1280 × 720） 60 Hz：30 fps（2560 × 1440，1920 × 1080，1280 × 960，1280 × 720 Smart 264 支持 SVC 支持音频音频压缩标准 G.711alaw;G.711ulaw;G.722.1;G.726;MP2L2;PCM;ACC-LC 环境噪声过滤支持音频采样率 MP2L2：16kHz，32kHz，48kHz;PCM：8kHz，16kHz，32kHz，48kHz 音频压缩码率 MP2L2：32kbps，40kbps，48kbps，56kbps，64kbps，80kbps，96kbps，112kbps，128kbps，144kbps，160kbps，192kbps 智能普通事件支持 Smart事件支持报警联动支持网络接口协议软件集成的开放式API,ISAPI,海康SDK,第三方管理平台接入,GB/T28181协议,支持视图库,支持萤石接入,ISUP,开放型网络视频接口安全管理授权的用户名和密码;以及MAC地址绑定;HTTPS加密;IEEE 802.1x网络访问控制;IP地址过滤浏览器 IE11, Chrome57+, Firefox52+, Safari11+ 最大取流路数 20路客户端支持iVMS-4200客户端;海康互联网络存储 NAS (NFS, SMB/ CIFS);ANR 支持协议 IPv4/IPv6;HTTP;HTTPS;Qos;FTP;SMTP;UPnP;SNMP;DNS;DDNS;NTP;RTSP;RTCP;RTP;TCP/IP;UDP;IGMP;ICMP;DHCP;Bonjour;WebSocket;WebSockets 用户管理 32个 Wi-Fi 传输速率 11b:11Mbps； 11g:54Mbps； 11n:上限150Mbps 频率范围 2.4 GHz 至 2.4835 GHz 无线标准 IEEE802.11b, 802.11g</w:t>
            </w:r>
          </w:p>
        </w:tc>
      </w:tr>
      <w:tr w14:paraId="11F1B8ED">
        <w:tblPrEx>
          <w:shd w:val="clear" w:color="auto" w:fill="auto"/>
          <w:tblCellMar>
            <w:top w:w="0" w:type="dxa"/>
            <w:left w:w="0" w:type="dxa"/>
            <w:bottom w:w="0" w:type="dxa"/>
            <w:right w:w="0" w:type="dxa"/>
          </w:tblCellMar>
        </w:tblPrEx>
        <w:trPr>
          <w:trHeight w:val="483"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5A4F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0C3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64路数字硬盘录像机+8T硬盘*9</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57C3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54D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5F0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海康威视/大华/宇视</w:t>
            </w:r>
          </w:p>
        </w:tc>
        <w:tc>
          <w:tcPr>
            <w:tcW w:w="11493"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4969822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2U机架式9盘位嵌入式网络硬盘录像机，整机采用短机箱设计，搭载高性能ATX电源</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【硬件规格】</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存储接口：9个SATA接口，可满配20TB硬盘，总容量可达180TB</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视频接口：2×HDMI，2×VGA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网络接口：2×RJ45 10/100/1000Mbps自适应以太网口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报警接口：16路报警输入，9路报警输出（其中第9路支持CTRL 12V）</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反向供电：1路DC12V 1A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串行接口：1路RS-232接口，1路全双工RS-485接口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USB接口：2×USB 2.0，2×USB 3.0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扩展接口：1×eSATA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【产品性能】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输入带宽：384Mbps（开启RAID后为200Mbps）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输出带宽：256Mbps（开启RAID后为200Mbps）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接入能力：64路H.264、H.265格式高清码流接入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解码能力：最大支持32×1080P</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显示能力：最大支持8K+1080P、2×4K异源输出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RAID模式：RAID0、RAID1、RAID5、RAID6、RAID10，支持全局热备盘，RAID与智能应用互斥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【智能应用】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整机搭载高性能AI引擎，支持独立配置目标识别、图搜等引擎模式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目标识别应用：支持目标抓拍、比对报警；支持以图搜图、按姓名检索、按属性检索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目标名单库：支持16个名单库，总库容5万张</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目标抓拍：4路视频流（2MP）</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目标比对：16路图片流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图搜应用：支持智能图搜功能，搭配前端智搜相机可对设备视频录像中的目标实现快速检索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智能图搜：64路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出厂默认图搜应用，图搜应用与目标识别应用可切换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硬盘容量需保证连续刻录，24h*90天记录/</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满足不低于90天存储时间</w:t>
            </w:r>
          </w:p>
        </w:tc>
      </w:tr>
      <w:tr w14:paraId="1EBBE92E">
        <w:tblPrEx>
          <w:shd w:val="clear" w:color="auto" w:fill="auto"/>
          <w:tblCellMar>
            <w:top w:w="0" w:type="dxa"/>
            <w:left w:w="0" w:type="dxa"/>
            <w:bottom w:w="0" w:type="dxa"/>
            <w:right w:w="0" w:type="dxa"/>
          </w:tblCellMar>
        </w:tblPrEx>
        <w:trPr>
          <w:trHeight w:val="2582"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5CE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2345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监控汇聚工业交换机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633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E5E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4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486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华为/TPLINK/H3C</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9A18F">
            <w:pPr>
              <w:keepNext w:val="0"/>
              <w:keepLines w:val="0"/>
              <w:widowControl/>
              <w:suppressLineNumbers w:val="0"/>
              <w:spacing w:after="220" w:afterAutospacing="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20光8电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不低于20个千兆 SFP光口（ 不可以用收发器外部转接），8个千兆电口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支持ITU G.8032标准的ERPS环网协议，自愈时间小于20ms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支持国际标准IEEE 802.3D/W/S 标准的STP/RSTP/MSTP 协议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支持丰富的网络安全监测功能，可以与网络安全检测设备对接，无安全漏洞</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符合工业交换机A类电磁兼容标准，满足GB/T17626-2018或DL/T1241-2013产品技术规范</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冗余双电源DC/AC电源规格可选，防反接，过流保护功能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-40℃～85℃宽温设计，确保设备适应各种严酷的现场环境</w:t>
            </w:r>
          </w:p>
        </w:tc>
      </w:tr>
      <w:tr w14:paraId="16D78C27">
        <w:tblPrEx>
          <w:shd w:val="clear" w:color="auto" w:fill="auto"/>
          <w:tblCellMar>
            <w:top w:w="0" w:type="dxa"/>
            <w:left w:w="0" w:type="dxa"/>
            <w:bottom w:w="0" w:type="dxa"/>
            <w:right w:w="0" w:type="dxa"/>
          </w:tblCellMar>
        </w:tblPrEx>
        <w:trPr>
          <w:trHeight w:val="189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87A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6B6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监控接入层工业交换机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26C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84D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13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21D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华为/TPLINK/H3C</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C71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2光8电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-接口类型:8*10/100/1000 Base-T 电口+2* Base-X SFP光口，DC9-56V或者220 AC直接供电，导轨式安装</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-工作温度:-40~75C，储存温度:-40-85C，防护等级:IP40防护等级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-拨码开关:具备四路拨码开关，便于运维人员日常维护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-提供1个数字输入接口，设备开启事件告警功能后，系统根据数字输入电压的变化或设备内部的检测结果来触发报警设备发出告警。检测情况可通过Alarm告警指示灯状态做出判断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-支持二层环网协议:支持STP/RSTP，支持G.8032以太网环保护协议ERPS协议</w:t>
            </w:r>
          </w:p>
        </w:tc>
      </w:tr>
      <w:tr w14:paraId="1A581D5C">
        <w:tblPrEx>
          <w:shd w:val="clear" w:color="auto" w:fill="auto"/>
          <w:tblCellMar>
            <w:top w:w="0" w:type="dxa"/>
            <w:left w:w="0" w:type="dxa"/>
            <w:bottom w:w="0" w:type="dxa"/>
            <w:right w:w="0" w:type="dxa"/>
          </w:tblCellMar>
        </w:tblPrEx>
        <w:trPr>
          <w:trHeight w:val="27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7C8A3">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86D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电源线3*1.5</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EFBE7">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米</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EA1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1000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D6D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华美/上上/江南</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72ADD">
            <w:pPr>
              <w:jc w:val="center"/>
              <w:rPr>
                <w:rFonts w:hint="eastAsia" w:ascii="宋体" w:hAnsi="宋体" w:eastAsia="宋体" w:cs="宋体"/>
                <w:i w:val="0"/>
                <w:color w:val="000000"/>
                <w:sz w:val="18"/>
                <w:szCs w:val="18"/>
                <w:highlight w:val="none"/>
                <w:u w:val="none"/>
              </w:rPr>
            </w:pPr>
          </w:p>
        </w:tc>
      </w:tr>
      <w:tr w14:paraId="6635115D">
        <w:tblPrEx>
          <w:tblCellMar>
            <w:top w:w="0" w:type="dxa"/>
            <w:left w:w="0" w:type="dxa"/>
            <w:bottom w:w="0" w:type="dxa"/>
            <w:right w:w="0" w:type="dxa"/>
          </w:tblCellMar>
        </w:tblPrEx>
        <w:trPr>
          <w:trHeight w:val="42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FDF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802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光纤(电信级)12芯</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03AD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米</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483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1000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932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长飞/烽火/通鼎</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5EF19">
            <w:pPr>
              <w:jc w:val="center"/>
              <w:rPr>
                <w:rFonts w:hint="eastAsia" w:ascii="宋体" w:hAnsi="宋体" w:eastAsia="宋体" w:cs="宋体"/>
                <w:i w:val="0"/>
                <w:color w:val="000000"/>
                <w:sz w:val="18"/>
                <w:szCs w:val="18"/>
                <w:highlight w:val="none"/>
                <w:u w:val="none"/>
              </w:rPr>
            </w:pPr>
          </w:p>
        </w:tc>
      </w:tr>
      <w:tr w14:paraId="48188665">
        <w:tblPrEx>
          <w:tblCellMar>
            <w:top w:w="0" w:type="dxa"/>
            <w:left w:w="0" w:type="dxa"/>
            <w:bottom w:w="0" w:type="dxa"/>
            <w:right w:w="0" w:type="dxa"/>
          </w:tblCellMar>
        </w:tblPrEx>
        <w:trPr>
          <w:trHeight w:val="46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13E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687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42U服务器机柜</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A93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C69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18D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唐大图腾/鑫成/威图</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D8F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前后开门，2000*600*800，防护等级：IP20</w:t>
            </w:r>
          </w:p>
        </w:tc>
      </w:tr>
      <w:tr w14:paraId="17CF13DA">
        <w:tblPrEx>
          <w:tblCellMar>
            <w:top w:w="0" w:type="dxa"/>
            <w:left w:w="0" w:type="dxa"/>
            <w:bottom w:w="0" w:type="dxa"/>
            <w:right w:w="0" w:type="dxa"/>
          </w:tblCellMar>
        </w:tblPrEx>
        <w:trPr>
          <w:trHeight w:val="27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79D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18D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光纤、交换机、收发器等辅材</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D0A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958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7E3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国优</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EFBB">
            <w:pPr>
              <w:jc w:val="center"/>
              <w:rPr>
                <w:rFonts w:hint="eastAsia" w:ascii="宋体" w:hAnsi="宋体" w:eastAsia="宋体" w:cs="宋体"/>
                <w:i w:val="0"/>
                <w:color w:val="000000"/>
                <w:sz w:val="18"/>
                <w:szCs w:val="18"/>
                <w:highlight w:val="none"/>
                <w:u w:val="none"/>
              </w:rPr>
            </w:pPr>
          </w:p>
        </w:tc>
      </w:tr>
      <w:tr w14:paraId="4EEE1C3D">
        <w:tblPrEx>
          <w:tblCellMar>
            <w:top w:w="0" w:type="dxa"/>
            <w:left w:w="0" w:type="dxa"/>
            <w:bottom w:w="0" w:type="dxa"/>
            <w:right w:w="0" w:type="dxa"/>
          </w:tblCellMar>
        </w:tblPrEx>
        <w:trPr>
          <w:trHeight w:val="218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354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4E9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拼接屏</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2BD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ED29">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47B7">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京东方/创维/华融</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E30A">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单屏外观尺寸：1211.5mm（长）*682.3mm（高）                                                                                                                                                                                                                                                                                                                                                                                                                                                                               液晶显示单元，采用55寸工业屏体，LED光源，物理拼缝1.88mm(双边拼缝）亮度：500cd/㎡，分辨率不低于1920*1080，画面比率16：9 ,高对比度4000：1，可视角度：178° 亮度均匀，显示清晰、图像失真小，影像不闪烁，可满足7×24×365长时间开机，寿命不低于60000小时。输入接口：HDMI*1， VGA*1，BNC*2，YPr/Pb，S-VIDEO*1，支持分屏显示，整屏显示，任意组合显示.内置图像拼接处理器：支持HDMI输入、视频输入、VGA输入，DVI输入，支持高清1920X1080分辨率， RS232或RJ45接口控制，液晶显示单元直接输入VGA信号和视频信号，屏与屏之间即可拼接显示。极速响应，增强抗干扰能力：采用并行高速总线连接技术，控制端发出命令后，系统能在1微秒时间内，切换信号到命令指定的通道，实现快速响应。断电前状态记忆功能：通过控制软件的提前设置，能在现场断电的情况下，能自动记忆设备关机前的工作状态。</w:t>
            </w:r>
          </w:p>
          <w:p w14:paraId="6DA1845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安装在保安室，实现所有监控（含电子围栏）轮巡</w:t>
            </w:r>
          </w:p>
        </w:tc>
      </w:tr>
      <w:tr w14:paraId="2BE263A2">
        <w:tblPrEx>
          <w:tblCellMar>
            <w:top w:w="0" w:type="dxa"/>
            <w:left w:w="0" w:type="dxa"/>
            <w:bottom w:w="0" w:type="dxa"/>
            <w:right w:w="0" w:type="dxa"/>
          </w:tblCellMar>
        </w:tblPrEx>
        <w:trPr>
          <w:trHeight w:val="214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4C3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8C9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解码器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499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6AE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0FD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大屏配套</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EC48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支持256路H.265/H.264格式500万及以下清晰度摄像头输入；                                                                                                                                                                        输出4个HDMI全高清大屏接口；                                                                                                                 内置矩阵画面分割1/4/9/16；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解码能力：1、4画面时=1080P，9画面时=720P，16画面时=D1；                                                                                       同步硬解码16路1080P或36路720P或64路D1；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支持轮切、组切、画面开窗；</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支持单通道IP摄像机单屏画面分割、单屏、拼接全屏等显示方式</w:t>
            </w:r>
          </w:p>
        </w:tc>
      </w:tr>
      <w:tr w14:paraId="47A31365">
        <w:tblPrEx>
          <w:shd w:val="clear" w:color="auto" w:fill="auto"/>
          <w:tblCellMar>
            <w:top w:w="0" w:type="dxa"/>
            <w:left w:w="0" w:type="dxa"/>
            <w:bottom w:w="0" w:type="dxa"/>
            <w:right w:w="0" w:type="dxa"/>
          </w:tblCellMar>
        </w:tblPrEx>
        <w:trPr>
          <w:trHeight w:val="270" w:hRule="atLeast"/>
          <w:jc w:val="center"/>
        </w:trPr>
        <w:tc>
          <w:tcPr>
            <w:tcW w:w="27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4E3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三、电子围栏、巡更</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483B">
            <w:pPr>
              <w:jc w:val="center"/>
              <w:rPr>
                <w:rFonts w:hint="eastAsia" w:ascii="宋体" w:hAnsi="宋体" w:eastAsia="宋体" w:cs="宋体"/>
                <w:b/>
                <w:i w:val="0"/>
                <w:color w:val="000000"/>
                <w:sz w:val="18"/>
                <w:szCs w:val="18"/>
                <w:highlight w:val="none"/>
                <w:u w:val="none"/>
              </w:rPr>
            </w:pP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36A1">
            <w:pPr>
              <w:jc w:val="center"/>
              <w:rPr>
                <w:rFonts w:hint="eastAsia" w:ascii="宋体" w:hAnsi="宋体" w:eastAsia="宋体" w:cs="宋体"/>
                <w:b/>
                <w:i w:val="0"/>
                <w:color w:val="000000"/>
                <w:sz w:val="18"/>
                <w:szCs w:val="18"/>
                <w:highlight w:val="none"/>
                <w:u w:val="none"/>
              </w:rPr>
            </w:pPr>
          </w:p>
        </w:tc>
      </w:tr>
      <w:tr w14:paraId="2056A928">
        <w:tblPrEx>
          <w:tblCellMar>
            <w:top w:w="0" w:type="dxa"/>
            <w:left w:w="0" w:type="dxa"/>
            <w:bottom w:w="0" w:type="dxa"/>
            <w:right w:w="0" w:type="dxa"/>
          </w:tblCellMar>
        </w:tblPrEx>
        <w:trPr>
          <w:trHeight w:val="108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875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C21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电子围栏</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F525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D30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47F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海康威视/大华/上海广拓</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0B1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维修原有电子围栏，沿南边河道、北边河道完善防护范围，并将原有电子围栏报警移至保安室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四线制电子围栏，组成包括20#多股合金线，高压线，不锈钢防水箱、终端杆、终端杆绝缘子、承力杆、承力杆绝缘子、中间杆、中间杆绝缘子、万向底座、合金线、高压线、线线连接器、紧线器、避雷器、警示牌、声光警灯等。</w:t>
            </w:r>
          </w:p>
        </w:tc>
      </w:tr>
      <w:tr w14:paraId="1A1C39D7">
        <w:tblPrEx>
          <w:tblCellMar>
            <w:top w:w="0" w:type="dxa"/>
            <w:left w:w="0" w:type="dxa"/>
            <w:bottom w:w="0" w:type="dxa"/>
            <w:right w:w="0" w:type="dxa"/>
          </w:tblCellMar>
        </w:tblPrEx>
        <w:trPr>
          <w:trHeight w:val="204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313F">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334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巡更仪</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D1A3">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85F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2F8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科密/海康威视/兰德华</w:t>
            </w:r>
          </w:p>
        </w:tc>
        <w:tc>
          <w:tcPr>
            <w:tcW w:w="1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589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含两只巡更棒，设19个巡更点，需按水务公司指定位置安装、生成报表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存储空间：不低于6万条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通讯模式：USB通讯，无需安装驱动，即插即用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使用温度：-40°C到+80°C</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读卡距离：≥3.5 CM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低功耗，充电一次，可连续读卡不少于15天</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读卡提示：声音、灯光、震动选择提示</w:t>
            </w:r>
          </w:p>
        </w:tc>
      </w:tr>
    </w:tbl>
    <w:p w14:paraId="558B5102">
      <w:pPr>
        <w:ind w:firstLine="420" w:firstLineChars="200"/>
        <w:rPr>
          <w:rFonts w:hint="eastAsia" w:asciiTheme="minorEastAsia" w:hAnsiTheme="minorEastAsia" w:eastAsiaTheme="minorEastAsia" w:cstheme="minorEastAsia"/>
          <w:kern w:val="0"/>
          <w:sz w:val="21"/>
          <w:szCs w:val="21"/>
          <w:highlight w:val="none"/>
          <w:lang w:val="en-US" w:eastAsia="zh-CN" w:bidi="ar-SA"/>
        </w:rPr>
      </w:pPr>
    </w:p>
    <w:p w14:paraId="7CCD4284">
      <w:pPr>
        <w:ind w:firstLine="420" w:firstLineChars="200"/>
        <w:rPr>
          <w:rFonts w:hint="eastAsia" w:asciiTheme="minorEastAsia" w:hAnsiTheme="minorEastAsia" w:eastAsiaTheme="minorEastAsia" w:cstheme="minorEastAsia"/>
          <w:kern w:val="0"/>
          <w:sz w:val="21"/>
          <w:szCs w:val="21"/>
          <w:highlight w:val="none"/>
          <w:lang w:val="en-US" w:eastAsia="zh-CN" w:bidi="ar-SA"/>
        </w:rPr>
      </w:pPr>
    </w:p>
    <w:p w14:paraId="5D9433E6">
      <w:pPr>
        <w:ind w:firstLine="420" w:firstLineChars="200"/>
        <w:rPr>
          <w:rFonts w:hint="eastAsia" w:asciiTheme="minorEastAsia" w:hAnsiTheme="minorEastAsia" w:eastAsiaTheme="minorEastAsia" w:cstheme="minorEastAsia"/>
          <w:kern w:val="0"/>
          <w:sz w:val="21"/>
          <w:szCs w:val="21"/>
          <w:highlight w:val="none"/>
          <w:lang w:val="en-US" w:eastAsia="zh-CN" w:bidi="ar-SA"/>
        </w:rPr>
        <w:sectPr>
          <w:pgSz w:w="16838" w:h="11906" w:orient="landscape"/>
          <w:pgMar w:top="1440" w:right="1440" w:bottom="1440" w:left="1440" w:header="851" w:footer="992" w:gutter="0"/>
          <w:pgNumType w:fmt="decimal"/>
          <w:cols w:space="720" w:num="1"/>
          <w:docGrid w:type="lines" w:linePitch="312" w:charSpace="0"/>
        </w:sectPr>
      </w:pPr>
    </w:p>
    <w:p w14:paraId="6D264DC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以上设备清单数量仅供参考，请各投标人自行踏勘，以现场实际为准。含现场施工、PLC调试、原有自控系统优化、监控施工（包含维修老视频监控，将新、老监控整合到同一个客户端操作、显示等）等。本项目采用固定总价模式，中标后价格不予调整。</w:t>
      </w:r>
    </w:p>
    <w:p w14:paraId="4BAE67AC">
      <w:pPr>
        <w:pStyle w:val="2"/>
        <w:pageBreakBefore w:val="0"/>
        <w:widowControl w:val="0"/>
        <w:kinsoku/>
        <w:wordWrap/>
        <w:overflowPunct/>
        <w:topLinePunct w:val="0"/>
        <w:autoSpaceDE/>
        <w:autoSpaceDN/>
        <w:bidi w:val="0"/>
        <w:adjustRightInd/>
        <w:snapToGrid/>
        <w:spacing w:after="0" w:line="400" w:lineRule="exact"/>
        <w:ind w:firstLine="525" w:firstLineChars="250"/>
        <w:textAlignment w:val="auto"/>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投标人可以选择推荐品牌，也可以选择推荐品牌以外的品牌，但所选品牌档次必须高于或等于推荐品牌档次，</w:t>
      </w:r>
      <w:r>
        <w:rPr>
          <w:rFonts w:hint="eastAsia" w:asciiTheme="minorEastAsia" w:hAnsiTheme="minorEastAsia" w:eastAsiaTheme="minorEastAsia" w:cstheme="minorEastAsia"/>
          <w:b/>
          <w:kern w:val="0"/>
          <w:highlight w:val="none"/>
        </w:rPr>
        <w:t>提供</w:t>
      </w:r>
      <w:r>
        <w:rPr>
          <w:rFonts w:hint="eastAsia" w:asciiTheme="minorEastAsia" w:hAnsiTheme="minorEastAsia" w:eastAsiaTheme="minorEastAsia" w:cstheme="minorEastAsia"/>
          <w:b/>
          <w:kern w:val="0"/>
          <w:highlight w:val="none"/>
          <w:u w:val="single"/>
        </w:rPr>
        <w:t>①由相关机构出具的检测报告；②技术白皮书；③生产许可证；④地级市及以上质量技术监督单位（如南通市质量技术监督局）出具的所投品牌产品不低于本招标文件项目需求内的“推荐品牌”的技术标准证明文件。</w:t>
      </w:r>
      <w:r>
        <w:rPr>
          <w:rFonts w:hint="eastAsia" w:asciiTheme="minorEastAsia" w:hAnsiTheme="minorEastAsia" w:eastAsiaTheme="minorEastAsia" w:cstheme="minorEastAsia"/>
          <w:b/>
          <w:kern w:val="0"/>
          <w:highlight w:val="none"/>
        </w:rPr>
        <w:t>以上四项</w:t>
      </w:r>
      <w:r>
        <w:rPr>
          <w:rFonts w:hint="eastAsia" w:asciiTheme="minorEastAsia" w:hAnsiTheme="minorEastAsia" w:eastAsiaTheme="minorEastAsia" w:cstheme="minorEastAsia"/>
          <w:b/>
          <w:kern w:val="0"/>
          <w:highlight w:val="none"/>
          <w:lang w:eastAsia="zh-CN"/>
        </w:rPr>
        <w:t>材料均须</w:t>
      </w:r>
      <w:r>
        <w:rPr>
          <w:rFonts w:hint="eastAsia" w:asciiTheme="minorEastAsia" w:hAnsiTheme="minorEastAsia" w:eastAsiaTheme="minorEastAsia" w:cstheme="minorEastAsia"/>
          <w:b/>
          <w:kern w:val="0"/>
          <w:highlight w:val="none"/>
        </w:rPr>
        <w:t>提供加盖生产厂家红章作为佐证材料并作为报价标的组成部分，未提供的或未按要求提供的，评标委员会不予认可。</w:t>
      </w:r>
      <w:r>
        <w:rPr>
          <w:rFonts w:hint="eastAsia" w:asciiTheme="minorEastAsia" w:hAnsiTheme="minorEastAsia" w:eastAsiaTheme="minorEastAsia" w:cstheme="minorEastAsia"/>
          <w:kern w:val="0"/>
          <w:highlight w:val="none"/>
        </w:rPr>
        <w:t>当评标小组三分之二以上评委认定，所选品牌档次低于建议品牌档次的，将作无效投标处理。</w:t>
      </w:r>
    </w:p>
    <w:p w14:paraId="53738F40">
      <w:pPr>
        <w:keepNext/>
        <w:keepLines/>
        <w:pageBreakBefore w:val="0"/>
        <w:widowControl w:val="0"/>
        <w:kinsoku/>
        <w:wordWrap/>
        <w:overflowPunct/>
        <w:topLinePunct w:val="0"/>
        <w:autoSpaceDE/>
        <w:autoSpaceDN/>
        <w:bidi w:val="0"/>
        <w:adjustRightInd/>
        <w:snapToGrid/>
        <w:spacing w:line="400" w:lineRule="exact"/>
        <w:jc w:val="left"/>
        <w:textAlignment w:val="auto"/>
        <w:outlineLvl w:val="1"/>
        <w:rPr>
          <w:rFonts w:ascii="宋体" w:hAnsi="宋体" w:cs="宋体"/>
          <w:b/>
          <w:bCs/>
          <w:snapToGrid w:val="0"/>
          <w:sz w:val="24"/>
          <w:szCs w:val="24"/>
          <w:highlight w:val="none"/>
        </w:rPr>
      </w:pPr>
      <w:r>
        <w:rPr>
          <w:rFonts w:hint="eastAsia" w:ascii="宋体" w:hAnsi="宋体" w:cs="宋体"/>
          <w:b/>
          <w:bCs/>
          <w:snapToGrid w:val="0"/>
          <w:sz w:val="24"/>
          <w:szCs w:val="24"/>
          <w:highlight w:val="none"/>
        </w:rPr>
        <w:t xml:space="preserve">二、规范性引用文件 </w:t>
      </w:r>
    </w:p>
    <w:p w14:paraId="39A3D97B">
      <w:pPr>
        <w:pageBreakBefore w:val="0"/>
        <w:widowControl w:val="0"/>
        <w:tabs>
          <w:tab w:val="left" w:pos="3585"/>
        </w:tabs>
        <w:kinsoku/>
        <w:wordWrap/>
        <w:overflowPunct/>
        <w:topLinePunct w:val="0"/>
        <w:autoSpaceDE/>
        <w:autoSpaceDN/>
        <w:bidi w:val="0"/>
        <w:adjustRightInd/>
        <w:snapToGrid/>
        <w:spacing w:line="400" w:lineRule="exact"/>
        <w:ind w:firstLine="403" w:firstLineChars="192"/>
        <w:textAlignment w:val="auto"/>
        <w:rPr>
          <w:rFonts w:ascii="Calibri" w:hAnsi="Calibri" w:cs="宋体"/>
          <w:sz w:val="21"/>
          <w:szCs w:val="21"/>
          <w:highlight w:val="none"/>
        </w:rPr>
      </w:pPr>
      <w:r>
        <w:rPr>
          <w:rFonts w:hint="eastAsia" w:ascii="Calibri" w:hAnsi="Calibri" w:cs="宋体"/>
          <w:sz w:val="21"/>
          <w:szCs w:val="21"/>
          <w:highlight w:val="none"/>
        </w:rPr>
        <w:t xml:space="preserve">下列文件中的条款通过本标准的引用而成为本标准的条款。凡注有日期的引用文件，其后的修改或修订版均不适用于本标准（不包括勘误的内容）。凡是未注明日期的引用文件，其最新版本适用于本标准。 </w:t>
      </w:r>
    </w:p>
    <w:p w14:paraId="6A0D5B7B">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GB50174</w:t>
      </w:r>
      <w:r>
        <w:rPr>
          <w:rFonts w:hint="eastAsia" w:hAnsi="宋体"/>
          <w:color w:val="000000"/>
          <w:sz w:val="21"/>
          <w:szCs w:val="21"/>
          <w:highlight w:val="none"/>
        </w:rPr>
        <w:t>-2017</w:t>
      </w:r>
      <w:r>
        <w:rPr>
          <w:rFonts w:hint="eastAsia" w:hAnsi="宋体"/>
          <w:color w:val="000000"/>
          <w:sz w:val="21"/>
          <w:szCs w:val="21"/>
          <w:highlight w:val="none"/>
        </w:rPr>
        <w:tab/>
      </w:r>
      <w:r>
        <w:rPr>
          <w:rFonts w:hint="eastAsia" w:hAnsi="宋体"/>
          <w:color w:val="000000"/>
          <w:sz w:val="21"/>
          <w:szCs w:val="21"/>
          <w:highlight w:val="none"/>
        </w:rPr>
        <w:tab/>
      </w:r>
      <w:r>
        <w:rPr>
          <w:rFonts w:hint="eastAsia" w:hAnsi="宋体"/>
          <w:color w:val="000000"/>
          <w:sz w:val="21"/>
          <w:szCs w:val="21"/>
          <w:highlight w:val="none"/>
        </w:rPr>
        <w:t>数据中心设计规范</w:t>
      </w:r>
    </w:p>
    <w:p w14:paraId="689A8FB2">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 50093</w:t>
      </w:r>
      <w:r>
        <w:rPr>
          <w:rFonts w:hint="eastAsia" w:hAnsi="宋体"/>
          <w:color w:val="000000"/>
          <w:sz w:val="21"/>
          <w:szCs w:val="21"/>
          <w:highlight w:val="none"/>
        </w:rPr>
        <w:t xml:space="preserve">-2013     </w:t>
      </w:r>
      <w:r>
        <w:rPr>
          <w:rFonts w:hint="eastAsia" w:hAnsi="宋体"/>
          <w:color w:val="000000"/>
          <w:sz w:val="21"/>
          <w:szCs w:val="21"/>
          <w:highlight w:val="none"/>
        </w:rPr>
        <w:tab/>
      </w:r>
      <w:r>
        <w:rPr>
          <w:rFonts w:hAnsi="宋体"/>
          <w:color w:val="000000"/>
          <w:sz w:val="21"/>
          <w:szCs w:val="21"/>
          <w:highlight w:val="none"/>
        </w:rPr>
        <w:t>自动化仪表工程施工及</w:t>
      </w:r>
      <w:r>
        <w:rPr>
          <w:rFonts w:hint="eastAsia" w:hAnsi="宋体"/>
          <w:color w:val="000000"/>
          <w:sz w:val="21"/>
          <w:szCs w:val="21"/>
          <w:highlight w:val="none"/>
        </w:rPr>
        <w:t>质量</w:t>
      </w:r>
      <w:r>
        <w:rPr>
          <w:rFonts w:hAnsi="宋体"/>
          <w:color w:val="000000"/>
          <w:sz w:val="21"/>
          <w:szCs w:val="21"/>
          <w:highlight w:val="none"/>
        </w:rPr>
        <w:t>验收规范</w:t>
      </w:r>
    </w:p>
    <w:p w14:paraId="674312E4">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 50198</w:t>
      </w:r>
      <w:r>
        <w:rPr>
          <w:rFonts w:hint="eastAsia" w:hAnsi="宋体"/>
          <w:color w:val="000000"/>
          <w:sz w:val="21"/>
          <w:szCs w:val="21"/>
          <w:highlight w:val="none"/>
        </w:rPr>
        <w:t xml:space="preserve">-2011 </w:t>
      </w:r>
      <w:r>
        <w:rPr>
          <w:rFonts w:hint="eastAsia" w:hAnsi="宋体"/>
          <w:color w:val="000000"/>
          <w:sz w:val="21"/>
          <w:szCs w:val="21"/>
          <w:highlight w:val="none"/>
        </w:rPr>
        <w:tab/>
      </w:r>
      <w:r>
        <w:rPr>
          <w:rFonts w:hint="eastAsia" w:hAnsi="宋体"/>
          <w:color w:val="000000"/>
          <w:sz w:val="21"/>
          <w:szCs w:val="21"/>
          <w:highlight w:val="none"/>
        </w:rPr>
        <w:tab/>
      </w:r>
      <w:r>
        <w:rPr>
          <w:rFonts w:hAnsi="宋体"/>
          <w:color w:val="000000"/>
          <w:sz w:val="21"/>
          <w:szCs w:val="21"/>
          <w:highlight w:val="none"/>
        </w:rPr>
        <w:t>民用闭路监视电视系统工程技术规范</w:t>
      </w:r>
    </w:p>
    <w:p w14:paraId="4866A72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 50339</w:t>
      </w:r>
      <w:r>
        <w:rPr>
          <w:rFonts w:hint="eastAsia" w:hAnsi="宋体"/>
          <w:color w:val="000000"/>
          <w:sz w:val="21"/>
          <w:szCs w:val="21"/>
          <w:highlight w:val="none"/>
        </w:rPr>
        <w:t xml:space="preserve">-2013      </w:t>
      </w:r>
      <w:r>
        <w:rPr>
          <w:rFonts w:hint="eastAsia" w:hAnsi="宋体"/>
          <w:color w:val="000000"/>
          <w:sz w:val="21"/>
          <w:szCs w:val="21"/>
          <w:highlight w:val="none"/>
        </w:rPr>
        <w:tab/>
      </w:r>
      <w:r>
        <w:rPr>
          <w:rFonts w:hAnsi="宋体"/>
          <w:color w:val="000000"/>
          <w:sz w:val="21"/>
          <w:szCs w:val="21"/>
          <w:highlight w:val="none"/>
        </w:rPr>
        <w:t>智能建筑工程质量验收规范</w:t>
      </w:r>
    </w:p>
    <w:p w14:paraId="6573A6E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 50343</w:t>
      </w:r>
      <w:r>
        <w:rPr>
          <w:rFonts w:hint="eastAsia" w:hAnsi="宋体"/>
          <w:color w:val="000000"/>
          <w:sz w:val="21"/>
          <w:szCs w:val="21"/>
          <w:highlight w:val="none"/>
        </w:rPr>
        <w:t xml:space="preserve">-2012     </w:t>
      </w:r>
      <w:r>
        <w:rPr>
          <w:rFonts w:hint="eastAsia" w:hAnsi="宋体"/>
          <w:color w:val="000000"/>
          <w:sz w:val="21"/>
          <w:szCs w:val="21"/>
          <w:highlight w:val="none"/>
        </w:rPr>
        <w:tab/>
      </w:r>
      <w:r>
        <w:rPr>
          <w:rFonts w:hAnsi="宋体"/>
          <w:color w:val="000000"/>
          <w:sz w:val="21"/>
          <w:szCs w:val="21"/>
          <w:highlight w:val="none"/>
        </w:rPr>
        <w:t>建筑物电子信息系统防雷技术规范</w:t>
      </w:r>
    </w:p>
    <w:p w14:paraId="6A4B0DCA">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HG/T 20507</w:t>
      </w:r>
      <w:r>
        <w:rPr>
          <w:rFonts w:hint="eastAsia" w:hAnsi="宋体"/>
          <w:color w:val="000000"/>
          <w:sz w:val="21"/>
          <w:szCs w:val="21"/>
          <w:highlight w:val="none"/>
        </w:rPr>
        <w:t xml:space="preserve">-2014   </w:t>
      </w:r>
      <w:r>
        <w:rPr>
          <w:rFonts w:hint="eastAsia" w:hAnsi="宋体"/>
          <w:color w:val="000000"/>
          <w:sz w:val="21"/>
          <w:szCs w:val="21"/>
          <w:highlight w:val="none"/>
        </w:rPr>
        <w:tab/>
      </w:r>
      <w:r>
        <w:rPr>
          <w:rFonts w:hAnsi="宋体"/>
          <w:color w:val="000000"/>
          <w:sz w:val="21"/>
          <w:szCs w:val="21"/>
          <w:highlight w:val="none"/>
        </w:rPr>
        <w:t>自动化仪表选型</w:t>
      </w:r>
      <w:r>
        <w:rPr>
          <w:rFonts w:hint="eastAsia" w:hAnsi="宋体"/>
          <w:color w:val="000000"/>
          <w:sz w:val="21"/>
          <w:szCs w:val="21"/>
          <w:highlight w:val="none"/>
        </w:rPr>
        <w:t>设计规范</w:t>
      </w:r>
    </w:p>
    <w:p w14:paraId="2245125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HG/T 20508</w:t>
      </w:r>
      <w:r>
        <w:rPr>
          <w:rFonts w:hint="eastAsia" w:hAnsi="宋体"/>
          <w:color w:val="000000"/>
          <w:sz w:val="21"/>
          <w:szCs w:val="21"/>
          <w:highlight w:val="none"/>
        </w:rPr>
        <w:t xml:space="preserve">-2014   </w:t>
      </w:r>
      <w:r>
        <w:rPr>
          <w:rFonts w:hint="eastAsia" w:hAnsi="宋体"/>
          <w:color w:val="000000"/>
          <w:sz w:val="21"/>
          <w:szCs w:val="21"/>
          <w:highlight w:val="none"/>
        </w:rPr>
        <w:tab/>
      </w:r>
      <w:r>
        <w:rPr>
          <w:rFonts w:hAnsi="宋体"/>
          <w:color w:val="000000"/>
          <w:sz w:val="21"/>
          <w:szCs w:val="21"/>
          <w:highlight w:val="none"/>
        </w:rPr>
        <w:t>控制室</w:t>
      </w:r>
      <w:r>
        <w:rPr>
          <w:rFonts w:hint="eastAsia" w:hAnsi="宋体"/>
          <w:color w:val="000000"/>
          <w:sz w:val="21"/>
          <w:szCs w:val="21"/>
          <w:highlight w:val="none"/>
        </w:rPr>
        <w:t>设计规范</w:t>
      </w:r>
    </w:p>
    <w:p w14:paraId="2B23EBFB">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HG/T 20509</w:t>
      </w:r>
      <w:r>
        <w:rPr>
          <w:rFonts w:hint="eastAsia" w:hAnsi="宋体"/>
          <w:color w:val="000000"/>
          <w:sz w:val="21"/>
          <w:szCs w:val="21"/>
          <w:highlight w:val="none"/>
        </w:rPr>
        <w:t xml:space="preserve">-2014   </w:t>
      </w:r>
      <w:r>
        <w:rPr>
          <w:rFonts w:hint="eastAsia" w:hAnsi="宋体"/>
          <w:color w:val="000000"/>
          <w:sz w:val="21"/>
          <w:szCs w:val="21"/>
          <w:highlight w:val="none"/>
        </w:rPr>
        <w:tab/>
      </w:r>
      <w:r>
        <w:rPr>
          <w:rFonts w:hAnsi="宋体"/>
          <w:color w:val="000000"/>
          <w:sz w:val="21"/>
          <w:szCs w:val="21"/>
          <w:highlight w:val="none"/>
        </w:rPr>
        <w:t>仪表供电</w:t>
      </w:r>
      <w:r>
        <w:rPr>
          <w:rFonts w:hint="eastAsia" w:hAnsi="宋体"/>
          <w:color w:val="000000"/>
          <w:sz w:val="21"/>
          <w:szCs w:val="21"/>
          <w:highlight w:val="none"/>
        </w:rPr>
        <w:t>设计规范</w:t>
      </w:r>
    </w:p>
    <w:p w14:paraId="0193ED8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HG/T 20511</w:t>
      </w:r>
      <w:r>
        <w:rPr>
          <w:rFonts w:hint="eastAsia" w:hAnsi="宋体"/>
          <w:color w:val="000000"/>
          <w:sz w:val="21"/>
          <w:szCs w:val="21"/>
          <w:highlight w:val="none"/>
        </w:rPr>
        <w:t xml:space="preserve">-2014   </w:t>
      </w:r>
      <w:r>
        <w:rPr>
          <w:rFonts w:hint="eastAsia" w:hAnsi="宋体"/>
          <w:color w:val="000000"/>
          <w:sz w:val="21"/>
          <w:szCs w:val="21"/>
          <w:highlight w:val="none"/>
        </w:rPr>
        <w:tab/>
      </w:r>
      <w:r>
        <w:rPr>
          <w:rFonts w:hAnsi="宋体"/>
          <w:color w:val="000000"/>
          <w:sz w:val="21"/>
          <w:szCs w:val="21"/>
          <w:highlight w:val="none"/>
        </w:rPr>
        <w:t>信号报警</w:t>
      </w:r>
      <w:r>
        <w:rPr>
          <w:rFonts w:hint="eastAsia" w:hAnsi="宋体"/>
          <w:color w:val="000000"/>
          <w:sz w:val="21"/>
          <w:szCs w:val="21"/>
          <w:highlight w:val="none"/>
        </w:rPr>
        <w:t>及联</w:t>
      </w:r>
      <w:r>
        <w:rPr>
          <w:rFonts w:hAnsi="宋体"/>
          <w:color w:val="000000"/>
          <w:sz w:val="21"/>
          <w:szCs w:val="21"/>
          <w:highlight w:val="none"/>
        </w:rPr>
        <w:t>锁系统</w:t>
      </w:r>
      <w:r>
        <w:rPr>
          <w:rFonts w:hint="eastAsia" w:hAnsi="宋体"/>
          <w:color w:val="000000"/>
          <w:sz w:val="21"/>
          <w:szCs w:val="21"/>
          <w:highlight w:val="none"/>
        </w:rPr>
        <w:t>设计规范</w:t>
      </w:r>
    </w:p>
    <w:p w14:paraId="66C1671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HG/T 20512</w:t>
      </w:r>
      <w:r>
        <w:rPr>
          <w:rFonts w:hint="eastAsia" w:hAnsi="宋体"/>
          <w:color w:val="000000"/>
          <w:sz w:val="21"/>
          <w:szCs w:val="21"/>
          <w:highlight w:val="none"/>
        </w:rPr>
        <w:t xml:space="preserve">-2014   </w:t>
      </w:r>
      <w:r>
        <w:rPr>
          <w:rFonts w:hint="eastAsia" w:hAnsi="宋体"/>
          <w:color w:val="000000"/>
          <w:sz w:val="21"/>
          <w:szCs w:val="21"/>
          <w:highlight w:val="none"/>
        </w:rPr>
        <w:tab/>
      </w:r>
      <w:r>
        <w:rPr>
          <w:rFonts w:hAnsi="宋体"/>
          <w:color w:val="000000"/>
          <w:sz w:val="21"/>
          <w:szCs w:val="21"/>
          <w:highlight w:val="none"/>
        </w:rPr>
        <w:t>仪表配管配线</w:t>
      </w:r>
      <w:r>
        <w:rPr>
          <w:rFonts w:hint="eastAsia" w:hAnsi="宋体"/>
          <w:color w:val="000000"/>
          <w:sz w:val="21"/>
          <w:szCs w:val="21"/>
          <w:highlight w:val="none"/>
        </w:rPr>
        <w:t>设计规范</w:t>
      </w:r>
    </w:p>
    <w:p w14:paraId="4E3D8F0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HG/T 20513</w:t>
      </w:r>
      <w:r>
        <w:rPr>
          <w:rFonts w:hint="eastAsia" w:hAnsi="宋体"/>
          <w:color w:val="000000"/>
          <w:sz w:val="21"/>
          <w:szCs w:val="21"/>
          <w:highlight w:val="none"/>
        </w:rPr>
        <w:t xml:space="preserve">-2014   </w:t>
      </w:r>
      <w:r>
        <w:rPr>
          <w:rFonts w:hint="eastAsia" w:hAnsi="宋体"/>
          <w:color w:val="000000"/>
          <w:sz w:val="21"/>
          <w:szCs w:val="21"/>
          <w:highlight w:val="none"/>
        </w:rPr>
        <w:tab/>
      </w:r>
      <w:r>
        <w:rPr>
          <w:rFonts w:hAnsi="宋体"/>
          <w:color w:val="000000"/>
          <w:sz w:val="21"/>
          <w:szCs w:val="21"/>
          <w:highlight w:val="none"/>
        </w:rPr>
        <w:t>仪表系统接地</w:t>
      </w:r>
      <w:r>
        <w:rPr>
          <w:rFonts w:hint="eastAsia" w:hAnsi="宋体"/>
          <w:color w:val="000000"/>
          <w:sz w:val="21"/>
          <w:szCs w:val="21"/>
          <w:highlight w:val="none"/>
        </w:rPr>
        <w:t>设计规范</w:t>
      </w:r>
    </w:p>
    <w:p w14:paraId="487CE96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 2887</w:t>
      </w:r>
      <w:r>
        <w:rPr>
          <w:rFonts w:hint="eastAsia" w:hAnsi="宋体"/>
          <w:color w:val="000000"/>
          <w:sz w:val="21"/>
          <w:szCs w:val="21"/>
          <w:highlight w:val="none"/>
        </w:rPr>
        <w:t>-2011</w:t>
      </w:r>
      <w:r>
        <w:rPr>
          <w:rFonts w:hint="eastAsia" w:hAnsi="宋体"/>
          <w:color w:val="000000"/>
          <w:sz w:val="21"/>
          <w:szCs w:val="21"/>
          <w:highlight w:val="none"/>
        </w:rPr>
        <w:tab/>
      </w:r>
      <w:r>
        <w:rPr>
          <w:rFonts w:hint="eastAsia" w:hAnsi="宋体"/>
          <w:color w:val="000000"/>
          <w:sz w:val="21"/>
          <w:szCs w:val="21"/>
          <w:highlight w:val="none"/>
        </w:rPr>
        <w:t xml:space="preserve">        </w:t>
      </w:r>
      <w:r>
        <w:rPr>
          <w:rFonts w:hAnsi="宋体"/>
          <w:color w:val="000000"/>
          <w:sz w:val="21"/>
          <w:szCs w:val="21"/>
          <w:highlight w:val="none"/>
        </w:rPr>
        <w:t>计算机场地</w:t>
      </w:r>
      <w:r>
        <w:rPr>
          <w:rFonts w:hint="eastAsia" w:hAnsi="宋体"/>
          <w:color w:val="000000"/>
          <w:sz w:val="21"/>
          <w:szCs w:val="21"/>
          <w:highlight w:val="none"/>
        </w:rPr>
        <w:t>通用规范</w:t>
      </w:r>
    </w:p>
    <w:p w14:paraId="4FFE389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w:t>
      </w:r>
      <w:r>
        <w:rPr>
          <w:rFonts w:hint="eastAsia" w:hAnsi="宋体"/>
          <w:color w:val="000000"/>
          <w:sz w:val="21"/>
          <w:szCs w:val="21"/>
          <w:highlight w:val="none"/>
        </w:rPr>
        <w:t>/T50064-2014       交流电气装置的过电压保护和绝缘配合设计规范</w:t>
      </w:r>
    </w:p>
    <w:p w14:paraId="5D0D744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 8566</w:t>
      </w:r>
      <w:r>
        <w:rPr>
          <w:rFonts w:hint="eastAsia" w:hAnsi="宋体"/>
          <w:color w:val="000000"/>
          <w:sz w:val="21"/>
          <w:szCs w:val="21"/>
          <w:highlight w:val="none"/>
        </w:rPr>
        <w:t>-20</w:t>
      </w:r>
      <w:r>
        <w:rPr>
          <w:rFonts w:hint="eastAsia" w:hAnsi="宋体"/>
          <w:color w:val="000000"/>
          <w:sz w:val="21"/>
          <w:szCs w:val="21"/>
          <w:highlight w:val="none"/>
          <w:lang w:val="en-US" w:eastAsia="zh-CN"/>
        </w:rPr>
        <w:t>22</w:t>
      </w:r>
      <w:r>
        <w:rPr>
          <w:rFonts w:hint="eastAsia" w:hAnsi="宋体"/>
          <w:color w:val="000000"/>
          <w:sz w:val="21"/>
          <w:szCs w:val="21"/>
          <w:highlight w:val="none"/>
        </w:rPr>
        <w:t xml:space="preserve">       信息技术 软件生存周期过程</w:t>
      </w:r>
    </w:p>
    <w:p w14:paraId="69953742">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GB/T 7353</w:t>
      </w:r>
      <w:r>
        <w:rPr>
          <w:rFonts w:hint="eastAsia" w:hAnsi="宋体"/>
          <w:color w:val="000000"/>
          <w:sz w:val="21"/>
          <w:szCs w:val="21"/>
          <w:highlight w:val="none"/>
        </w:rPr>
        <w:t xml:space="preserve">-1999    </w:t>
      </w:r>
      <w:r>
        <w:rPr>
          <w:rFonts w:hint="eastAsia" w:hAnsi="宋体"/>
          <w:color w:val="000000"/>
          <w:sz w:val="21"/>
          <w:szCs w:val="21"/>
          <w:highlight w:val="none"/>
        </w:rPr>
        <w:tab/>
      </w:r>
      <w:r>
        <w:rPr>
          <w:rFonts w:hAnsi="宋体"/>
          <w:color w:val="000000"/>
          <w:sz w:val="21"/>
          <w:szCs w:val="21"/>
          <w:highlight w:val="none"/>
        </w:rPr>
        <w:t>工业自动化仪表盘、柜、台、箱</w:t>
      </w:r>
    </w:p>
    <w:p w14:paraId="06381100">
      <w:pPr>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highlight w:val="none"/>
        </w:rPr>
      </w:pPr>
      <w:r>
        <w:rPr>
          <w:rFonts w:hAnsi="宋体"/>
          <w:color w:val="000000"/>
          <w:sz w:val="21"/>
          <w:szCs w:val="21"/>
          <w:highlight w:val="none"/>
        </w:rPr>
        <w:t>GB50395</w:t>
      </w:r>
      <w:r>
        <w:rPr>
          <w:rFonts w:hint="eastAsia" w:hAnsi="宋体"/>
          <w:color w:val="000000"/>
          <w:sz w:val="21"/>
          <w:szCs w:val="21"/>
          <w:highlight w:val="none"/>
        </w:rPr>
        <w:t xml:space="preserve">-2007      </w:t>
      </w:r>
      <w:r>
        <w:rPr>
          <w:rFonts w:hint="eastAsia" w:hAnsi="宋体"/>
          <w:color w:val="000000"/>
          <w:sz w:val="21"/>
          <w:szCs w:val="21"/>
          <w:highlight w:val="none"/>
        </w:rPr>
        <w:tab/>
      </w:r>
      <w:r>
        <w:rPr>
          <w:rFonts w:hAnsi="宋体"/>
          <w:color w:val="000000"/>
          <w:sz w:val="21"/>
          <w:szCs w:val="21"/>
          <w:highlight w:val="none"/>
        </w:rPr>
        <w:t>视频安防监控系统工程</w:t>
      </w:r>
      <w:r>
        <w:rPr>
          <w:rFonts w:hint="eastAsia" w:hAnsi="宋体"/>
          <w:color w:val="000000"/>
          <w:sz w:val="21"/>
          <w:szCs w:val="21"/>
          <w:highlight w:val="none"/>
        </w:rPr>
        <w:t>设计</w:t>
      </w:r>
      <w:r>
        <w:rPr>
          <w:rFonts w:hAnsi="宋体"/>
          <w:color w:val="000000"/>
          <w:sz w:val="21"/>
          <w:szCs w:val="21"/>
          <w:highlight w:val="none"/>
        </w:rPr>
        <w:t>规范</w:t>
      </w:r>
    </w:p>
    <w:p w14:paraId="7CE790E1">
      <w:pPr>
        <w:keepNext/>
        <w:keepLines/>
        <w:pageBreakBefore w:val="0"/>
        <w:widowControl w:val="0"/>
        <w:kinsoku/>
        <w:wordWrap/>
        <w:overflowPunct/>
        <w:topLinePunct w:val="0"/>
        <w:autoSpaceDE/>
        <w:autoSpaceDN/>
        <w:bidi w:val="0"/>
        <w:adjustRightInd/>
        <w:snapToGrid/>
        <w:spacing w:line="400" w:lineRule="exact"/>
        <w:jc w:val="left"/>
        <w:textAlignment w:val="auto"/>
        <w:outlineLvl w:val="1"/>
        <w:rPr>
          <w:rFonts w:ascii="宋体" w:hAnsi="宋体" w:cs="宋体"/>
          <w:b/>
          <w:bCs/>
          <w:snapToGrid w:val="0"/>
          <w:sz w:val="21"/>
          <w:szCs w:val="21"/>
          <w:highlight w:val="none"/>
        </w:rPr>
      </w:pPr>
      <w:r>
        <w:rPr>
          <w:rFonts w:hint="eastAsia" w:ascii="宋体" w:hAnsi="宋体" w:cs="宋体"/>
          <w:b/>
          <w:bCs/>
          <w:snapToGrid w:val="0"/>
          <w:sz w:val="21"/>
          <w:szCs w:val="21"/>
          <w:highlight w:val="none"/>
        </w:rPr>
        <w:t>三、质保</w:t>
      </w:r>
    </w:p>
    <w:p w14:paraId="06568C90">
      <w:pPr>
        <w:pageBreakBefore w:val="0"/>
        <w:widowControl w:val="0"/>
        <w:kinsoku/>
        <w:wordWrap/>
        <w:overflowPunct/>
        <w:topLinePunct w:val="0"/>
        <w:autoSpaceDE/>
        <w:autoSpaceDN/>
        <w:bidi w:val="0"/>
        <w:adjustRightInd/>
        <w:snapToGrid/>
        <w:spacing w:line="400" w:lineRule="exact"/>
        <w:textAlignment w:val="auto"/>
        <w:rPr>
          <w:rFonts w:ascii="仿宋" w:hAnsi="仿宋" w:cs="Arial"/>
          <w:bCs/>
          <w:sz w:val="21"/>
          <w:szCs w:val="21"/>
          <w:highlight w:val="none"/>
        </w:rPr>
      </w:pPr>
      <w:r>
        <w:rPr>
          <w:rFonts w:hint="eastAsia" w:ascii="Calibri" w:hAnsi="Calibri" w:cs="宋体"/>
          <w:sz w:val="21"/>
          <w:szCs w:val="21"/>
          <w:highlight w:val="none"/>
        </w:rPr>
        <w:t xml:space="preserve">    质保期1年，质保期从安装调试完毕，并经买方验收合格之日开始计算，质保期内的服务均为免费上门服务。</w:t>
      </w:r>
    </w:p>
    <w:p w14:paraId="3262E12D">
      <w:pPr>
        <w:pStyle w:val="31"/>
        <w:spacing w:line="400" w:lineRule="exact"/>
        <w:rPr>
          <w:rFonts w:hint="default" w:cs="仿宋" w:asciiTheme="minorEastAsia" w:hAnsiTheme="minorEastAsia" w:eastAsiaTheme="minorEastAsia"/>
          <w:b/>
          <w:bCs/>
          <w:color w:val="auto"/>
          <w:kern w:val="2"/>
          <w:szCs w:val="32"/>
          <w:highlight w:val="none"/>
        </w:rPr>
      </w:pPr>
    </w:p>
    <w:sectPr>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2754221-2A32-441B-9491-AB5F10A86045}"/>
  </w:font>
  <w:font w:name="黑体">
    <w:panose1 w:val="02010600030101010101"/>
    <w:charset w:val="86"/>
    <w:family w:val="auto"/>
    <w:pitch w:val="default"/>
    <w:sig w:usb0="800002BF" w:usb1="38CF7CFA" w:usb2="00000016" w:usb3="00000000" w:csb0="00040001" w:csb1="00000000"/>
    <w:embedRegular r:id="rId2" w:fontKey="{A274A7CD-9B78-436F-A5A8-4B2A47DE76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7939FE5-FD48-4D0A-8FF7-B875DC6EEAF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56FD8A4-4D7E-4E98-85CF-7DAB5AACFACB}"/>
  </w:font>
  <w:font w:name="等线">
    <w:panose1 w:val="02010600030101010101"/>
    <w:charset w:val="86"/>
    <w:family w:val="auto"/>
    <w:pitch w:val="default"/>
    <w:sig w:usb0="A00002BF" w:usb1="38CF7CFA" w:usb2="00000016" w:usb3="00000000" w:csb0="0004000F" w:csb1="00000000"/>
    <w:embedRegular r:id="rId5" w:fontKey="{D0C872A3-4555-405D-848B-491C0F193207}"/>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宋体"/>
    <w:panose1 w:val="00000000000000000000"/>
    <w:charset w:val="86"/>
    <w:family w:val="auto"/>
    <w:pitch w:val="default"/>
    <w:sig w:usb0="00000000" w:usb1="00000000" w:usb2="00000010" w:usb3="00000000" w:csb0="00040000" w:csb1="00000000"/>
    <w:embedRegular r:id="rId6" w:fontKey="{8F9DB9E1-8AE3-4043-AA69-AEC9A4EE2588}"/>
  </w:font>
  <w:font w:name="隶书">
    <w:panose1 w:val="02010509060101010101"/>
    <w:charset w:val="86"/>
    <w:family w:val="modern"/>
    <w:pitch w:val="default"/>
    <w:sig w:usb0="00000001" w:usb1="080E0000" w:usb2="00000000" w:usb3="00000000" w:csb0="00040000" w:csb1="00000000"/>
    <w:embedRegular r:id="rId7" w:fontKey="{938A0E9F-F32C-4AD9-A8ED-7485D6E6AD46}"/>
  </w:font>
  <w:font w:name="方正仿宋_GBK">
    <w:panose1 w:val="03000509000000000000"/>
    <w:charset w:val="86"/>
    <w:family w:val="script"/>
    <w:pitch w:val="default"/>
    <w:sig w:usb0="00000001" w:usb1="080E0000" w:usb2="00000000" w:usb3="00000000" w:csb0="00040000" w:csb1="00000000"/>
    <w:embedRegular r:id="rId8" w:fontKey="{CAED8587-EEB1-4096-A7B8-4BBB0D2887D8}"/>
  </w:font>
  <w:font w:name="方正小标宋_GBK">
    <w:altName w:val="微软雅黑"/>
    <w:panose1 w:val="03000509000000000000"/>
    <w:charset w:val="86"/>
    <w:family w:val="auto"/>
    <w:pitch w:val="default"/>
    <w:sig w:usb0="00000000" w:usb1="00000000" w:usb2="00000000" w:usb3="00000000" w:csb0="00040000" w:csb1="00000000"/>
    <w:embedRegular r:id="rId9" w:fontKey="{E91B4279-C01C-4C7A-9116-37F24A1E6A4E}"/>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embedRegular r:id="rId10" w:fontKey="{9EF38678-9773-4401-AFB3-61C6CECC7B14}"/>
  </w:font>
  <w:font w:name="仿宋">
    <w:panose1 w:val="02010609060101010101"/>
    <w:charset w:val="86"/>
    <w:family w:val="modern"/>
    <w:pitch w:val="default"/>
    <w:sig w:usb0="800002BF" w:usb1="38CF7CFA" w:usb2="00000016" w:usb3="00000000" w:csb0="00040001" w:csb1="00000000"/>
    <w:embedRegular r:id="rId11" w:fontKey="{41031990-7010-462B-94E5-5772714BBA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27BC">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9923C">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789923C">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2B53D5FA">
    <w:pPr>
      <w:pStyle w:val="1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F893">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FD2C5F">
                          <w:pPr>
                            <w:pStyle w:val="13"/>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7FD2C5F">
                    <w:pPr>
                      <w:pStyle w:val="13"/>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14:paraId="13150AF2">
    <w:pPr>
      <w:pStyle w:val="13"/>
      <w:jc w:val="right"/>
      <w:rPr>
        <w:bdr w:val="single" w:color="auto" w:sz="4" w:space="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971A">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85A93">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F585A93">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4DF08DC2">
    <w:pPr>
      <w:pStyle w:val="1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F120C"/>
    <w:multiLevelType w:val="singleLevel"/>
    <w:tmpl w:val="B4EF120C"/>
    <w:lvl w:ilvl="0" w:tentative="0">
      <w:start w:val="2"/>
      <w:numFmt w:val="decimal"/>
      <w:suff w:val="nothing"/>
      <w:lvlText w:val="%1、"/>
      <w:lvlJc w:val="left"/>
    </w:lvl>
  </w:abstractNum>
  <w:abstractNum w:abstractNumId="1">
    <w:nsid w:val="BEC0AC2D"/>
    <w:multiLevelType w:val="singleLevel"/>
    <w:tmpl w:val="BEC0AC2D"/>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6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0D0C1D"/>
    <w:multiLevelType w:val="singleLevel"/>
    <w:tmpl w:val="3F0D0C1D"/>
    <w:lvl w:ilvl="0" w:tentative="0">
      <w:start w:val="6"/>
      <w:numFmt w:val="chineseCounting"/>
      <w:suff w:val="space"/>
      <w:lvlText w:val="第%1章"/>
      <w:lvlJc w:val="left"/>
      <w:rPr>
        <w:rFonts w:hint="eastAsia"/>
      </w:rPr>
    </w:lvl>
  </w:abstractNum>
  <w:abstractNum w:abstractNumId="4">
    <w:nsid w:val="7E7B7994"/>
    <w:multiLevelType w:val="multilevel"/>
    <w:tmpl w:val="7E7B799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mFlYjAzOGFkN2ViOTliZTYyYmViOWQ1NWVlNzkifQ=="/>
  </w:docVars>
  <w:rsids>
    <w:rsidRoot w:val="001D7491"/>
    <w:rsid w:val="000008CD"/>
    <w:rsid w:val="00000CD6"/>
    <w:rsid w:val="00000D34"/>
    <w:rsid w:val="000013E5"/>
    <w:rsid w:val="0000175C"/>
    <w:rsid w:val="00001D0F"/>
    <w:rsid w:val="00002A1D"/>
    <w:rsid w:val="00002B2A"/>
    <w:rsid w:val="00002E4A"/>
    <w:rsid w:val="00003A13"/>
    <w:rsid w:val="00003A8A"/>
    <w:rsid w:val="00003BBF"/>
    <w:rsid w:val="0000422B"/>
    <w:rsid w:val="00004888"/>
    <w:rsid w:val="00005383"/>
    <w:rsid w:val="0000673A"/>
    <w:rsid w:val="000068EB"/>
    <w:rsid w:val="00006BD8"/>
    <w:rsid w:val="00007632"/>
    <w:rsid w:val="000079E4"/>
    <w:rsid w:val="00007B04"/>
    <w:rsid w:val="00007B18"/>
    <w:rsid w:val="00010C98"/>
    <w:rsid w:val="00010E2A"/>
    <w:rsid w:val="00010EE2"/>
    <w:rsid w:val="00014048"/>
    <w:rsid w:val="00014224"/>
    <w:rsid w:val="00014B97"/>
    <w:rsid w:val="000154FC"/>
    <w:rsid w:val="00016452"/>
    <w:rsid w:val="00017BE3"/>
    <w:rsid w:val="0002052D"/>
    <w:rsid w:val="0002079F"/>
    <w:rsid w:val="0002094E"/>
    <w:rsid w:val="00020AE0"/>
    <w:rsid w:val="0002104C"/>
    <w:rsid w:val="00021147"/>
    <w:rsid w:val="000212E6"/>
    <w:rsid w:val="000214C4"/>
    <w:rsid w:val="00021746"/>
    <w:rsid w:val="000224C7"/>
    <w:rsid w:val="00022938"/>
    <w:rsid w:val="00022C93"/>
    <w:rsid w:val="00022FA4"/>
    <w:rsid w:val="000237F7"/>
    <w:rsid w:val="00023BF8"/>
    <w:rsid w:val="00024935"/>
    <w:rsid w:val="000269FB"/>
    <w:rsid w:val="00026F4C"/>
    <w:rsid w:val="000271C3"/>
    <w:rsid w:val="0003018B"/>
    <w:rsid w:val="000305DE"/>
    <w:rsid w:val="00030BF4"/>
    <w:rsid w:val="0003137F"/>
    <w:rsid w:val="00031729"/>
    <w:rsid w:val="00031959"/>
    <w:rsid w:val="000319C7"/>
    <w:rsid w:val="00032DF9"/>
    <w:rsid w:val="00033E8E"/>
    <w:rsid w:val="00034950"/>
    <w:rsid w:val="00035655"/>
    <w:rsid w:val="000364EA"/>
    <w:rsid w:val="000365BC"/>
    <w:rsid w:val="000370DF"/>
    <w:rsid w:val="0003796A"/>
    <w:rsid w:val="00037CAA"/>
    <w:rsid w:val="0004006F"/>
    <w:rsid w:val="0004036B"/>
    <w:rsid w:val="0004068D"/>
    <w:rsid w:val="00040F70"/>
    <w:rsid w:val="0004106B"/>
    <w:rsid w:val="00041326"/>
    <w:rsid w:val="00043A9B"/>
    <w:rsid w:val="00043E69"/>
    <w:rsid w:val="0004461D"/>
    <w:rsid w:val="00045093"/>
    <w:rsid w:val="00045700"/>
    <w:rsid w:val="00045FE6"/>
    <w:rsid w:val="000464AA"/>
    <w:rsid w:val="00046B24"/>
    <w:rsid w:val="00046E4F"/>
    <w:rsid w:val="000474EC"/>
    <w:rsid w:val="00047CCA"/>
    <w:rsid w:val="00047D2D"/>
    <w:rsid w:val="0005032D"/>
    <w:rsid w:val="000518FD"/>
    <w:rsid w:val="00051F1B"/>
    <w:rsid w:val="0005241F"/>
    <w:rsid w:val="00052711"/>
    <w:rsid w:val="000532E7"/>
    <w:rsid w:val="00053F53"/>
    <w:rsid w:val="00054122"/>
    <w:rsid w:val="000545C6"/>
    <w:rsid w:val="00055DD9"/>
    <w:rsid w:val="000561B6"/>
    <w:rsid w:val="00056479"/>
    <w:rsid w:val="000568DA"/>
    <w:rsid w:val="00056D34"/>
    <w:rsid w:val="00056DA3"/>
    <w:rsid w:val="00056FA0"/>
    <w:rsid w:val="000573FD"/>
    <w:rsid w:val="00057517"/>
    <w:rsid w:val="00060A0D"/>
    <w:rsid w:val="000615ED"/>
    <w:rsid w:val="00061B6D"/>
    <w:rsid w:val="00062170"/>
    <w:rsid w:val="000623BC"/>
    <w:rsid w:val="0006295D"/>
    <w:rsid w:val="000630E5"/>
    <w:rsid w:val="0006371D"/>
    <w:rsid w:val="00063CFF"/>
    <w:rsid w:val="000641F5"/>
    <w:rsid w:val="000649EE"/>
    <w:rsid w:val="00064D62"/>
    <w:rsid w:val="0006522F"/>
    <w:rsid w:val="00065690"/>
    <w:rsid w:val="00065A53"/>
    <w:rsid w:val="000661A1"/>
    <w:rsid w:val="00066E52"/>
    <w:rsid w:val="00067108"/>
    <w:rsid w:val="000675BA"/>
    <w:rsid w:val="00067605"/>
    <w:rsid w:val="0006771F"/>
    <w:rsid w:val="000705C8"/>
    <w:rsid w:val="000706CC"/>
    <w:rsid w:val="00070D8D"/>
    <w:rsid w:val="00070FCC"/>
    <w:rsid w:val="000720E0"/>
    <w:rsid w:val="00072CB2"/>
    <w:rsid w:val="00073129"/>
    <w:rsid w:val="000739A8"/>
    <w:rsid w:val="00073A3A"/>
    <w:rsid w:val="000748A6"/>
    <w:rsid w:val="00074AD5"/>
    <w:rsid w:val="00074FC6"/>
    <w:rsid w:val="00075507"/>
    <w:rsid w:val="00075A53"/>
    <w:rsid w:val="000763E9"/>
    <w:rsid w:val="00077360"/>
    <w:rsid w:val="0007778C"/>
    <w:rsid w:val="00077942"/>
    <w:rsid w:val="00077E23"/>
    <w:rsid w:val="0008023A"/>
    <w:rsid w:val="00080BB2"/>
    <w:rsid w:val="00081B89"/>
    <w:rsid w:val="00082F2D"/>
    <w:rsid w:val="00083057"/>
    <w:rsid w:val="000832B0"/>
    <w:rsid w:val="00083647"/>
    <w:rsid w:val="00083767"/>
    <w:rsid w:val="00083A11"/>
    <w:rsid w:val="00083A66"/>
    <w:rsid w:val="00083C89"/>
    <w:rsid w:val="00084332"/>
    <w:rsid w:val="00084438"/>
    <w:rsid w:val="00084945"/>
    <w:rsid w:val="00084946"/>
    <w:rsid w:val="0008562F"/>
    <w:rsid w:val="00086499"/>
    <w:rsid w:val="0008694E"/>
    <w:rsid w:val="00086D0C"/>
    <w:rsid w:val="00086E7E"/>
    <w:rsid w:val="00087144"/>
    <w:rsid w:val="00087348"/>
    <w:rsid w:val="0008758E"/>
    <w:rsid w:val="0009060A"/>
    <w:rsid w:val="0009092C"/>
    <w:rsid w:val="00090F73"/>
    <w:rsid w:val="00091AF3"/>
    <w:rsid w:val="00091BE4"/>
    <w:rsid w:val="000939E2"/>
    <w:rsid w:val="0009428F"/>
    <w:rsid w:val="000948E1"/>
    <w:rsid w:val="00095043"/>
    <w:rsid w:val="0009532B"/>
    <w:rsid w:val="000954F1"/>
    <w:rsid w:val="000968E5"/>
    <w:rsid w:val="00096F7B"/>
    <w:rsid w:val="00097B78"/>
    <w:rsid w:val="00097E8C"/>
    <w:rsid w:val="00097F0C"/>
    <w:rsid w:val="000A01A9"/>
    <w:rsid w:val="000A0208"/>
    <w:rsid w:val="000A2050"/>
    <w:rsid w:val="000A20BB"/>
    <w:rsid w:val="000A29DA"/>
    <w:rsid w:val="000A30D1"/>
    <w:rsid w:val="000A3448"/>
    <w:rsid w:val="000A3A41"/>
    <w:rsid w:val="000A4C6E"/>
    <w:rsid w:val="000A4E81"/>
    <w:rsid w:val="000A5A82"/>
    <w:rsid w:val="000A5B80"/>
    <w:rsid w:val="000A625A"/>
    <w:rsid w:val="000A6EDD"/>
    <w:rsid w:val="000A7404"/>
    <w:rsid w:val="000B00A4"/>
    <w:rsid w:val="000B0B83"/>
    <w:rsid w:val="000B0F8C"/>
    <w:rsid w:val="000B2120"/>
    <w:rsid w:val="000B28BA"/>
    <w:rsid w:val="000B349E"/>
    <w:rsid w:val="000B5483"/>
    <w:rsid w:val="000B64FD"/>
    <w:rsid w:val="000B6C26"/>
    <w:rsid w:val="000B71E7"/>
    <w:rsid w:val="000B7312"/>
    <w:rsid w:val="000C0858"/>
    <w:rsid w:val="000C0943"/>
    <w:rsid w:val="000C0B92"/>
    <w:rsid w:val="000C1198"/>
    <w:rsid w:val="000C13F1"/>
    <w:rsid w:val="000C1BF4"/>
    <w:rsid w:val="000C1F8B"/>
    <w:rsid w:val="000C3363"/>
    <w:rsid w:val="000C3392"/>
    <w:rsid w:val="000C3DD6"/>
    <w:rsid w:val="000C4405"/>
    <w:rsid w:val="000C4A3E"/>
    <w:rsid w:val="000C4B70"/>
    <w:rsid w:val="000C5CBA"/>
    <w:rsid w:val="000C5E0E"/>
    <w:rsid w:val="000C5E58"/>
    <w:rsid w:val="000C64AF"/>
    <w:rsid w:val="000C6EEC"/>
    <w:rsid w:val="000C6FA1"/>
    <w:rsid w:val="000C6FDF"/>
    <w:rsid w:val="000C7A73"/>
    <w:rsid w:val="000C7C67"/>
    <w:rsid w:val="000D11A7"/>
    <w:rsid w:val="000D230C"/>
    <w:rsid w:val="000D28F1"/>
    <w:rsid w:val="000D2A11"/>
    <w:rsid w:val="000D4138"/>
    <w:rsid w:val="000D444C"/>
    <w:rsid w:val="000D4E55"/>
    <w:rsid w:val="000D506C"/>
    <w:rsid w:val="000D7408"/>
    <w:rsid w:val="000D74EB"/>
    <w:rsid w:val="000D764A"/>
    <w:rsid w:val="000E05F4"/>
    <w:rsid w:val="000E0E5D"/>
    <w:rsid w:val="000E14A4"/>
    <w:rsid w:val="000E1EB6"/>
    <w:rsid w:val="000E3383"/>
    <w:rsid w:val="000E363D"/>
    <w:rsid w:val="000E371F"/>
    <w:rsid w:val="000E384A"/>
    <w:rsid w:val="000E3AC9"/>
    <w:rsid w:val="000E3B18"/>
    <w:rsid w:val="000E3D72"/>
    <w:rsid w:val="000E4023"/>
    <w:rsid w:val="000E4A90"/>
    <w:rsid w:val="000E53AA"/>
    <w:rsid w:val="000E5D43"/>
    <w:rsid w:val="000E7417"/>
    <w:rsid w:val="000E7937"/>
    <w:rsid w:val="000F039D"/>
    <w:rsid w:val="000F18AD"/>
    <w:rsid w:val="000F1CAA"/>
    <w:rsid w:val="000F21E0"/>
    <w:rsid w:val="000F2385"/>
    <w:rsid w:val="000F253B"/>
    <w:rsid w:val="000F2D5D"/>
    <w:rsid w:val="000F3093"/>
    <w:rsid w:val="000F328D"/>
    <w:rsid w:val="000F460E"/>
    <w:rsid w:val="000F52DF"/>
    <w:rsid w:val="000F54F3"/>
    <w:rsid w:val="000F5BBA"/>
    <w:rsid w:val="000F6E37"/>
    <w:rsid w:val="000F7A72"/>
    <w:rsid w:val="001015EB"/>
    <w:rsid w:val="00101842"/>
    <w:rsid w:val="00101AAC"/>
    <w:rsid w:val="00101F4A"/>
    <w:rsid w:val="00103CD3"/>
    <w:rsid w:val="00104A0F"/>
    <w:rsid w:val="001065AC"/>
    <w:rsid w:val="00106641"/>
    <w:rsid w:val="0010685D"/>
    <w:rsid w:val="00107D51"/>
    <w:rsid w:val="00107FA8"/>
    <w:rsid w:val="001106AD"/>
    <w:rsid w:val="001110F1"/>
    <w:rsid w:val="00112151"/>
    <w:rsid w:val="00113D59"/>
    <w:rsid w:val="00113E06"/>
    <w:rsid w:val="001144DE"/>
    <w:rsid w:val="001146B0"/>
    <w:rsid w:val="00114FC2"/>
    <w:rsid w:val="001155D4"/>
    <w:rsid w:val="00115A48"/>
    <w:rsid w:val="0011616A"/>
    <w:rsid w:val="0011635C"/>
    <w:rsid w:val="00116668"/>
    <w:rsid w:val="0011681F"/>
    <w:rsid w:val="0011767E"/>
    <w:rsid w:val="00121368"/>
    <w:rsid w:val="001214C5"/>
    <w:rsid w:val="001216A7"/>
    <w:rsid w:val="0012181B"/>
    <w:rsid w:val="00122262"/>
    <w:rsid w:val="001236BD"/>
    <w:rsid w:val="00123E99"/>
    <w:rsid w:val="00124214"/>
    <w:rsid w:val="00125361"/>
    <w:rsid w:val="00126C8D"/>
    <w:rsid w:val="00127360"/>
    <w:rsid w:val="001273C1"/>
    <w:rsid w:val="00127429"/>
    <w:rsid w:val="00127FD4"/>
    <w:rsid w:val="00130D89"/>
    <w:rsid w:val="001310DB"/>
    <w:rsid w:val="001313AF"/>
    <w:rsid w:val="00131599"/>
    <w:rsid w:val="00132BA0"/>
    <w:rsid w:val="00133B3A"/>
    <w:rsid w:val="00134A67"/>
    <w:rsid w:val="00134D8C"/>
    <w:rsid w:val="00135200"/>
    <w:rsid w:val="0013569F"/>
    <w:rsid w:val="001361EB"/>
    <w:rsid w:val="00136706"/>
    <w:rsid w:val="00136A12"/>
    <w:rsid w:val="00136A6E"/>
    <w:rsid w:val="00137429"/>
    <w:rsid w:val="00137711"/>
    <w:rsid w:val="0013795D"/>
    <w:rsid w:val="00137B91"/>
    <w:rsid w:val="00137FED"/>
    <w:rsid w:val="0014002B"/>
    <w:rsid w:val="00140318"/>
    <w:rsid w:val="0014062A"/>
    <w:rsid w:val="00140B29"/>
    <w:rsid w:val="0014120B"/>
    <w:rsid w:val="001419ED"/>
    <w:rsid w:val="00142077"/>
    <w:rsid w:val="00142189"/>
    <w:rsid w:val="001421B0"/>
    <w:rsid w:val="00143D92"/>
    <w:rsid w:val="00144014"/>
    <w:rsid w:val="001445A8"/>
    <w:rsid w:val="0014564B"/>
    <w:rsid w:val="00146C71"/>
    <w:rsid w:val="00147370"/>
    <w:rsid w:val="0014746A"/>
    <w:rsid w:val="001479C1"/>
    <w:rsid w:val="00150586"/>
    <w:rsid w:val="00150626"/>
    <w:rsid w:val="0015106B"/>
    <w:rsid w:val="0015165B"/>
    <w:rsid w:val="00151EFE"/>
    <w:rsid w:val="001526AA"/>
    <w:rsid w:val="00152B85"/>
    <w:rsid w:val="00152F95"/>
    <w:rsid w:val="00153618"/>
    <w:rsid w:val="001539A0"/>
    <w:rsid w:val="00153B9B"/>
    <w:rsid w:val="00153FA9"/>
    <w:rsid w:val="00154307"/>
    <w:rsid w:val="0015540F"/>
    <w:rsid w:val="00155F67"/>
    <w:rsid w:val="0015622A"/>
    <w:rsid w:val="00156387"/>
    <w:rsid w:val="00156C09"/>
    <w:rsid w:val="0015763F"/>
    <w:rsid w:val="00157F91"/>
    <w:rsid w:val="001602D0"/>
    <w:rsid w:val="00160997"/>
    <w:rsid w:val="00162ECD"/>
    <w:rsid w:val="001634F0"/>
    <w:rsid w:val="001640FF"/>
    <w:rsid w:val="00165482"/>
    <w:rsid w:val="001663B1"/>
    <w:rsid w:val="00166ADF"/>
    <w:rsid w:val="00167867"/>
    <w:rsid w:val="00167D82"/>
    <w:rsid w:val="00170640"/>
    <w:rsid w:val="00170985"/>
    <w:rsid w:val="00170B09"/>
    <w:rsid w:val="00170C80"/>
    <w:rsid w:val="00171353"/>
    <w:rsid w:val="001722C1"/>
    <w:rsid w:val="00173056"/>
    <w:rsid w:val="0017415D"/>
    <w:rsid w:val="00174712"/>
    <w:rsid w:val="0017496F"/>
    <w:rsid w:val="00174FA7"/>
    <w:rsid w:val="00175288"/>
    <w:rsid w:val="00176113"/>
    <w:rsid w:val="0017622E"/>
    <w:rsid w:val="00176476"/>
    <w:rsid w:val="00176AC2"/>
    <w:rsid w:val="00176BD8"/>
    <w:rsid w:val="00176FB9"/>
    <w:rsid w:val="00177C4B"/>
    <w:rsid w:val="00180384"/>
    <w:rsid w:val="001803F1"/>
    <w:rsid w:val="00181748"/>
    <w:rsid w:val="00181ECD"/>
    <w:rsid w:val="00181EFE"/>
    <w:rsid w:val="00182B1C"/>
    <w:rsid w:val="00182C2F"/>
    <w:rsid w:val="00185FE7"/>
    <w:rsid w:val="0018636A"/>
    <w:rsid w:val="00186669"/>
    <w:rsid w:val="00186732"/>
    <w:rsid w:val="00187627"/>
    <w:rsid w:val="00187A9A"/>
    <w:rsid w:val="001903F1"/>
    <w:rsid w:val="00190946"/>
    <w:rsid w:val="00190A2F"/>
    <w:rsid w:val="00190FD9"/>
    <w:rsid w:val="00191B7E"/>
    <w:rsid w:val="00192889"/>
    <w:rsid w:val="001928A6"/>
    <w:rsid w:val="001937C0"/>
    <w:rsid w:val="00193A91"/>
    <w:rsid w:val="00193DC5"/>
    <w:rsid w:val="00194366"/>
    <w:rsid w:val="00195C2D"/>
    <w:rsid w:val="00196318"/>
    <w:rsid w:val="001970CD"/>
    <w:rsid w:val="001A016A"/>
    <w:rsid w:val="001A034C"/>
    <w:rsid w:val="001A0670"/>
    <w:rsid w:val="001A0918"/>
    <w:rsid w:val="001A0A91"/>
    <w:rsid w:val="001A0ABE"/>
    <w:rsid w:val="001A1222"/>
    <w:rsid w:val="001A19CF"/>
    <w:rsid w:val="001A1A0C"/>
    <w:rsid w:val="001A226F"/>
    <w:rsid w:val="001A3259"/>
    <w:rsid w:val="001A4965"/>
    <w:rsid w:val="001A5753"/>
    <w:rsid w:val="001A5957"/>
    <w:rsid w:val="001A64A9"/>
    <w:rsid w:val="001A64B9"/>
    <w:rsid w:val="001A6552"/>
    <w:rsid w:val="001A7378"/>
    <w:rsid w:val="001A7833"/>
    <w:rsid w:val="001B148B"/>
    <w:rsid w:val="001B1738"/>
    <w:rsid w:val="001B27D5"/>
    <w:rsid w:val="001B4297"/>
    <w:rsid w:val="001B43EB"/>
    <w:rsid w:val="001B5072"/>
    <w:rsid w:val="001B53B9"/>
    <w:rsid w:val="001B5ECD"/>
    <w:rsid w:val="001B6340"/>
    <w:rsid w:val="001B635E"/>
    <w:rsid w:val="001B6557"/>
    <w:rsid w:val="001B6A2F"/>
    <w:rsid w:val="001B6A63"/>
    <w:rsid w:val="001B718A"/>
    <w:rsid w:val="001B7266"/>
    <w:rsid w:val="001B78D3"/>
    <w:rsid w:val="001C0606"/>
    <w:rsid w:val="001C0B8A"/>
    <w:rsid w:val="001C0D92"/>
    <w:rsid w:val="001C0DDF"/>
    <w:rsid w:val="001C1DE3"/>
    <w:rsid w:val="001C1E87"/>
    <w:rsid w:val="001C2D69"/>
    <w:rsid w:val="001C3046"/>
    <w:rsid w:val="001C3903"/>
    <w:rsid w:val="001C4146"/>
    <w:rsid w:val="001C5002"/>
    <w:rsid w:val="001C5013"/>
    <w:rsid w:val="001C505E"/>
    <w:rsid w:val="001C562F"/>
    <w:rsid w:val="001C5ACD"/>
    <w:rsid w:val="001C63E3"/>
    <w:rsid w:val="001C7589"/>
    <w:rsid w:val="001C7A2C"/>
    <w:rsid w:val="001D091A"/>
    <w:rsid w:val="001D0BB3"/>
    <w:rsid w:val="001D0E91"/>
    <w:rsid w:val="001D30EE"/>
    <w:rsid w:val="001D328F"/>
    <w:rsid w:val="001D35D4"/>
    <w:rsid w:val="001D42C0"/>
    <w:rsid w:val="001D4AAE"/>
    <w:rsid w:val="001D4F74"/>
    <w:rsid w:val="001D5664"/>
    <w:rsid w:val="001D5976"/>
    <w:rsid w:val="001D5C74"/>
    <w:rsid w:val="001D684B"/>
    <w:rsid w:val="001D6ADA"/>
    <w:rsid w:val="001D7491"/>
    <w:rsid w:val="001D7790"/>
    <w:rsid w:val="001D77D6"/>
    <w:rsid w:val="001D782F"/>
    <w:rsid w:val="001D7B1B"/>
    <w:rsid w:val="001D7C5C"/>
    <w:rsid w:val="001E0040"/>
    <w:rsid w:val="001E0800"/>
    <w:rsid w:val="001E0AC1"/>
    <w:rsid w:val="001E15D6"/>
    <w:rsid w:val="001E1B8D"/>
    <w:rsid w:val="001E2388"/>
    <w:rsid w:val="001E2776"/>
    <w:rsid w:val="001E2929"/>
    <w:rsid w:val="001E3D26"/>
    <w:rsid w:val="001E4F65"/>
    <w:rsid w:val="001E5182"/>
    <w:rsid w:val="001E5249"/>
    <w:rsid w:val="001E5FDD"/>
    <w:rsid w:val="001E6616"/>
    <w:rsid w:val="001E6690"/>
    <w:rsid w:val="001E6D1C"/>
    <w:rsid w:val="001E6D39"/>
    <w:rsid w:val="001E6DE1"/>
    <w:rsid w:val="001E7234"/>
    <w:rsid w:val="001E74F1"/>
    <w:rsid w:val="001E753C"/>
    <w:rsid w:val="001F055B"/>
    <w:rsid w:val="001F0A7B"/>
    <w:rsid w:val="001F0A8B"/>
    <w:rsid w:val="001F0ADE"/>
    <w:rsid w:val="001F0AFB"/>
    <w:rsid w:val="001F0F52"/>
    <w:rsid w:val="001F1E1C"/>
    <w:rsid w:val="001F364F"/>
    <w:rsid w:val="001F447E"/>
    <w:rsid w:val="001F575C"/>
    <w:rsid w:val="001F5820"/>
    <w:rsid w:val="001F58CA"/>
    <w:rsid w:val="001F610B"/>
    <w:rsid w:val="001F6F90"/>
    <w:rsid w:val="001F7031"/>
    <w:rsid w:val="001F7095"/>
    <w:rsid w:val="001F7589"/>
    <w:rsid w:val="00200293"/>
    <w:rsid w:val="002003D3"/>
    <w:rsid w:val="00200631"/>
    <w:rsid w:val="00200F32"/>
    <w:rsid w:val="00201D83"/>
    <w:rsid w:val="00201F11"/>
    <w:rsid w:val="002021F8"/>
    <w:rsid w:val="00202474"/>
    <w:rsid w:val="00202E71"/>
    <w:rsid w:val="002031B4"/>
    <w:rsid w:val="00203DE7"/>
    <w:rsid w:val="00204579"/>
    <w:rsid w:val="00205832"/>
    <w:rsid w:val="002062B0"/>
    <w:rsid w:val="00206E3A"/>
    <w:rsid w:val="00207851"/>
    <w:rsid w:val="00207C7A"/>
    <w:rsid w:val="0021006E"/>
    <w:rsid w:val="002100D8"/>
    <w:rsid w:val="00210ADB"/>
    <w:rsid w:val="00210EF1"/>
    <w:rsid w:val="0021100F"/>
    <w:rsid w:val="0021140D"/>
    <w:rsid w:val="00212987"/>
    <w:rsid w:val="0021329B"/>
    <w:rsid w:val="00213548"/>
    <w:rsid w:val="002149D8"/>
    <w:rsid w:val="00215ED9"/>
    <w:rsid w:val="00215F57"/>
    <w:rsid w:val="002168EB"/>
    <w:rsid w:val="00216BD5"/>
    <w:rsid w:val="00216FA5"/>
    <w:rsid w:val="00217008"/>
    <w:rsid w:val="00217DDD"/>
    <w:rsid w:val="002207FD"/>
    <w:rsid w:val="00220E67"/>
    <w:rsid w:val="0022111D"/>
    <w:rsid w:val="00221167"/>
    <w:rsid w:val="002213FA"/>
    <w:rsid w:val="00221470"/>
    <w:rsid w:val="00221E8E"/>
    <w:rsid w:val="00221EEA"/>
    <w:rsid w:val="002228E4"/>
    <w:rsid w:val="00222D57"/>
    <w:rsid w:val="00222E75"/>
    <w:rsid w:val="00223D03"/>
    <w:rsid w:val="002262A8"/>
    <w:rsid w:val="002268A1"/>
    <w:rsid w:val="00226BCE"/>
    <w:rsid w:val="00226C64"/>
    <w:rsid w:val="002270E0"/>
    <w:rsid w:val="002277AB"/>
    <w:rsid w:val="00230AC7"/>
    <w:rsid w:val="00230C8F"/>
    <w:rsid w:val="002315AC"/>
    <w:rsid w:val="002316F1"/>
    <w:rsid w:val="002319B1"/>
    <w:rsid w:val="00231C16"/>
    <w:rsid w:val="0023246E"/>
    <w:rsid w:val="00233035"/>
    <w:rsid w:val="002333EF"/>
    <w:rsid w:val="002335C6"/>
    <w:rsid w:val="00233A7B"/>
    <w:rsid w:val="00233D14"/>
    <w:rsid w:val="002349F1"/>
    <w:rsid w:val="0023530A"/>
    <w:rsid w:val="00235976"/>
    <w:rsid w:val="00235F7C"/>
    <w:rsid w:val="00237BC0"/>
    <w:rsid w:val="00240986"/>
    <w:rsid w:val="0024153C"/>
    <w:rsid w:val="00241A57"/>
    <w:rsid w:val="0024232F"/>
    <w:rsid w:val="00242AEE"/>
    <w:rsid w:val="00242DCE"/>
    <w:rsid w:val="00242F24"/>
    <w:rsid w:val="002434E0"/>
    <w:rsid w:val="002451D2"/>
    <w:rsid w:val="00245221"/>
    <w:rsid w:val="00245553"/>
    <w:rsid w:val="00245768"/>
    <w:rsid w:val="00245AEE"/>
    <w:rsid w:val="00246082"/>
    <w:rsid w:val="00246AD3"/>
    <w:rsid w:val="002476EF"/>
    <w:rsid w:val="002479BF"/>
    <w:rsid w:val="00247C61"/>
    <w:rsid w:val="002504BA"/>
    <w:rsid w:val="00251554"/>
    <w:rsid w:val="00251EB1"/>
    <w:rsid w:val="0025231E"/>
    <w:rsid w:val="0025243C"/>
    <w:rsid w:val="00253130"/>
    <w:rsid w:val="0025332D"/>
    <w:rsid w:val="00253764"/>
    <w:rsid w:val="00253DDB"/>
    <w:rsid w:val="002555BE"/>
    <w:rsid w:val="00255AD5"/>
    <w:rsid w:val="00255B4E"/>
    <w:rsid w:val="00255CF4"/>
    <w:rsid w:val="00255DF9"/>
    <w:rsid w:val="00255E58"/>
    <w:rsid w:val="00256524"/>
    <w:rsid w:val="002568D3"/>
    <w:rsid w:val="0025697F"/>
    <w:rsid w:val="00256DC6"/>
    <w:rsid w:val="00256EA7"/>
    <w:rsid w:val="00257239"/>
    <w:rsid w:val="0025733F"/>
    <w:rsid w:val="002574F5"/>
    <w:rsid w:val="0025794E"/>
    <w:rsid w:val="00257A41"/>
    <w:rsid w:val="00257C12"/>
    <w:rsid w:val="00257C95"/>
    <w:rsid w:val="002606EA"/>
    <w:rsid w:val="00260C59"/>
    <w:rsid w:val="00261257"/>
    <w:rsid w:val="0026190E"/>
    <w:rsid w:val="00261C73"/>
    <w:rsid w:val="00262DB2"/>
    <w:rsid w:val="0026326C"/>
    <w:rsid w:val="002637F5"/>
    <w:rsid w:val="00263B23"/>
    <w:rsid w:val="0026444B"/>
    <w:rsid w:val="00264E29"/>
    <w:rsid w:val="002656A2"/>
    <w:rsid w:val="00265CF3"/>
    <w:rsid w:val="00266E50"/>
    <w:rsid w:val="0026715A"/>
    <w:rsid w:val="00267255"/>
    <w:rsid w:val="0026770D"/>
    <w:rsid w:val="00267833"/>
    <w:rsid w:val="002702FA"/>
    <w:rsid w:val="0027118C"/>
    <w:rsid w:val="002712DC"/>
    <w:rsid w:val="00271406"/>
    <w:rsid w:val="00271AE8"/>
    <w:rsid w:val="00271F37"/>
    <w:rsid w:val="00272229"/>
    <w:rsid w:val="00272442"/>
    <w:rsid w:val="0027247A"/>
    <w:rsid w:val="002727F7"/>
    <w:rsid w:val="00272861"/>
    <w:rsid w:val="00272991"/>
    <w:rsid w:val="002729E6"/>
    <w:rsid w:val="00273C98"/>
    <w:rsid w:val="00273E05"/>
    <w:rsid w:val="002740B9"/>
    <w:rsid w:val="002747B0"/>
    <w:rsid w:val="002748D8"/>
    <w:rsid w:val="0027506C"/>
    <w:rsid w:val="00275C73"/>
    <w:rsid w:val="00276011"/>
    <w:rsid w:val="0027611A"/>
    <w:rsid w:val="00276409"/>
    <w:rsid w:val="002764F3"/>
    <w:rsid w:val="002766B3"/>
    <w:rsid w:val="00276E3F"/>
    <w:rsid w:val="002778ED"/>
    <w:rsid w:val="00277FF9"/>
    <w:rsid w:val="002806C4"/>
    <w:rsid w:val="00281132"/>
    <w:rsid w:val="002813E0"/>
    <w:rsid w:val="00281945"/>
    <w:rsid w:val="00282762"/>
    <w:rsid w:val="002827BF"/>
    <w:rsid w:val="00282ADD"/>
    <w:rsid w:val="00282BE9"/>
    <w:rsid w:val="002837A5"/>
    <w:rsid w:val="00284395"/>
    <w:rsid w:val="002843F9"/>
    <w:rsid w:val="0028448D"/>
    <w:rsid w:val="0028501F"/>
    <w:rsid w:val="0028531D"/>
    <w:rsid w:val="00285352"/>
    <w:rsid w:val="002861BF"/>
    <w:rsid w:val="0028674A"/>
    <w:rsid w:val="00286779"/>
    <w:rsid w:val="00286BF8"/>
    <w:rsid w:val="00287456"/>
    <w:rsid w:val="00290718"/>
    <w:rsid w:val="00291167"/>
    <w:rsid w:val="002915CF"/>
    <w:rsid w:val="002918FF"/>
    <w:rsid w:val="00291B47"/>
    <w:rsid w:val="00292727"/>
    <w:rsid w:val="002931D5"/>
    <w:rsid w:val="00293390"/>
    <w:rsid w:val="00295D52"/>
    <w:rsid w:val="0029605A"/>
    <w:rsid w:val="00296247"/>
    <w:rsid w:val="00296958"/>
    <w:rsid w:val="00296C8F"/>
    <w:rsid w:val="00296F40"/>
    <w:rsid w:val="00296FDD"/>
    <w:rsid w:val="00297059"/>
    <w:rsid w:val="0029724E"/>
    <w:rsid w:val="0029797A"/>
    <w:rsid w:val="002A109A"/>
    <w:rsid w:val="002A1741"/>
    <w:rsid w:val="002A182F"/>
    <w:rsid w:val="002A210E"/>
    <w:rsid w:val="002A36E5"/>
    <w:rsid w:val="002A476B"/>
    <w:rsid w:val="002A4CE0"/>
    <w:rsid w:val="002A560B"/>
    <w:rsid w:val="002A5B33"/>
    <w:rsid w:val="002A63FC"/>
    <w:rsid w:val="002A6EC7"/>
    <w:rsid w:val="002A7097"/>
    <w:rsid w:val="002A71FD"/>
    <w:rsid w:val="002A72D0"/>
    <w:rsid w:val="002A72E3"/>
    <w:rsid w:val="002A7556"/>
    <w:rsid w:val="002A779C"/>
    <w:rsid w:val="002B05E1"/>
    <w:rsid w:val="002B0B4E"/>
    <w:rsid w:val="002B18B8"/>
    <w:rsid w:val="002B18D5"/>
    <w:rsid w:val="002B1B84"/>
    <w:rsid w:val="002B1C1A"/>
    <w:rsid w:val="002B1D26"/>
    <w:rsid w:val="002B2190"/>
    <w:rsid w:val="002B220E"/>
    <w:rsid w:val="002B292E"/>
    <w:rsid w:val="002B2C1C"/>
    <w:rsid w:val="002B382B"/>
    <w:rsid w:val="002B3926"/>
    <w:rsid w:val="002B4B28"/>
    <w:rsid w:val="002B5603"/>
    <w:rsid w:val="002B6AC5"/>
    <w:rsid w:val="002B6C95"/>
    <w:rsid w:val="002B6CC4"/>
    <w:rsid w:val="002B711B"/>
    <w:rsid w:val="002B71BB"/>
    <w:rsid w:val="002C0924"/>
    <w:rsid w:val="002C0945"/>
    <w:rsid w:val="002C1A64"/>
    <w:rsid w:val="002C3110"/>
    <w:rsid w:val="002C38C7"/>
    <w:rsid w:val="002C457D"/>
    <w:rsid w:val="002C4640"/>
    <w:rsid w:val="002C5165"/>
    <w:rsid w:val="002C594A"/>
    <w:rsid w:val="002C6039"/>
    <w:rsid w:val="002C66A6"/>
    <w:rsid w:val="002C68C2"/>
    <w:rsid w:val="002C70BB"/>
    <w:rsid w:val="002C719A"/>
    <w:rsid w:val="002C7790"/>
    <w:rsid w:val="002D17C1"/>
    <w:rsid w:val="002D1C10"/>
    <w:rsid w:val="002D1DE6"/>
    <w:rsid w:val="002D235B"/>
    <w:rsid w:val="002D4294"/>
    <w:rsid w:val="002D4EC2"/>
    <w:rsid w:val="002D593A"/>
    <w:rsid w:val="002D5ECA"/>
    <w:rsid w:val="002D62E1"/>
    <w:rsid w:val="002D6A83"/>
    <w:rsid w:val="002D766B"/>
    <w:rsid w:val="002D7764"/>
    <w:rsid w:val="002D7AD7"/>
    <w:rsid w:val="002D7AF4"/>
    <w:rsid w:val="002E30E7"/>
    <w:rsid w:val="002E35C3"/>
    <w:rsid w:val="002E37C2"/>
    <w:rsid w:val="002E3ED1"/>
    <w:rsid w:val="002E439B"/>
    <w:rsid w:val="002E471B"/>
    <w:rsid w:val="002E5D0D"/>
    <w:rsid w:val="002E5FD6"/>
    <w:rsid w:val="002E6C16"/>
    <w:rsid w:val="002E6F53"/>
    <w:rsid w:val="002E74E7"/>
    <w:rsid w:val="002E7A41"/>
    <w:rsid w:val="002F02D8"/>
    <w:rsid w:val="002F0378"/>
    <w:rsid w:val="002F039E"/>
    <w:rsid w:val="002F0956"/>
    <w:rsid w:val="002F1C18"/>
    <w:rsid w:val="002F1D4D"/>
    <w:rsid w:val="002F2269"/>
    <w:rsid w:val="002F3ABE"/>
    <w:rsid w:val="002F4215"/>
    <w:rsid w:val="002F4664"/>
    <w:rsid w:val="002F496A"/>
    <w:rsid w:val="002F53B2"/>
    <w:rsid w:val="002F5534"/>
    <w:rsid w:val="002F5F6F"/>
    <w:rsid w:val="002F659E"/>
    <w:rsid w:val="002F68C4"/>
    <w:rsid w:val="00300149"/>
    <w:rsid w:val="00300D12"/>
    <w:rsid w:val="0030174C"/>
    <w:rsid w:val="00301E32"/>
    <w:rsid w:val="00302C64"/>
    <w:rsid w:val="00302DBF"/>
    <w:rsid w:val="00303145"/>
    <w:rsid w:val="00303C76"/>
    <w:rsid w:val="00304C2F"/>
    <w:rsid w:val="0031138C"/>
    <w:rsid w:val="003130EE"/>
    <w:rsid w:val="00313580"/>
    <w:rsid w:val="00313804"/>
    <w:rsid w:val="00314A6E"/>
    <w:rsid w:val="00314B32"/>
    <w:rsid w:val="00314F6B"/>
    <w:rsid w:val="003153DC"/>
    <w:rsid w:val="00315874"/>
    <w:rsid w:val="00315AF1"/>
    <w:rsid w:val="00315CEC"/>
    <w:rsid w:val="00315FDB"/>
    <w:rsid w:val="00316B6B"/>
    <w:rsid w:val="00316E35"/>
    <w:rsid w:val="00320207"/>
    <w:rsid w:val="003207BB"/>
    <w:rsid w:val="00320AA3"/>
    <w:rsid w:val="00321512"/>
    <w:rsid w:val="00321A37"/>
    <w:rsid w:val="00323823"/>
    <w:rsid w:val="0032392D"/>
    <w:rsid w:val="00323BC4"/>
    <w:rsid w:val="00323D06"/>
    <w:rsid w:val="00323DA0"/>
    <w:rsid w:val="003244D2"/>
    <w:rsid w:val="00324571"/>
    <w:rsid w:val="00324F9D"/>
    <w:rsid w:val="003253E8"/>
    <w:rsid w:val="00326A9E"/>
    <w:rsid w:val="00326CC3"/>
    <w:rsid w:val="003271E6"/>
    <w:rsid w:val="00330EA6"/>
    <w:rsid w:val="00330FFD"/>
    <w:rsid w:val="00331D18"/>
    <w:rsid w:val="00332937"/>
    <w:rsid w:val="003332DE"/>
    <w:rsid w:val="00333553"/>
    <w:rsid w:val="00333A99"/>
    <w:rsid w:val="00333B1D"/>
    <w:rsid w:val="00333D8C"/>
    <w:rsid w:val="00334149"/>
    <w:rsid w:val="00334521"/>
    <w:rsid w:val="0033520C"/>
    <w:rsid w:val="0033643D"/>
    <w:rsid w:val="00336658"/>
    <w:rsid w:val="0033690C"/>
    <w:rsid w:val="00336C46"/>
    <w:rsid w:val="00336E38"/>
    <w:rsid w:val="00336FC4"/>
    <w:rsid w:val="00336FF7"/>
    <w:rsid w:val="0033756D"/>
    <w:rsid w:val="003376BE"/>
    <w:rsid w:val="00337C75"/>
    <w:rsid w:val="0034051F"/>
    <w:rsid w:val="00340732"/>
    <w:rsid w:val="00340A2C"/>
    <w:rsid w:val="00340A54"/>
    <w:rsid w:val="00341326"/>
    <w:rsid w:val="003415BE"/>
    <w:rsid w:val="003420E1"/>
    <w:rsid w:val="00343496"/>
    <w:rsid w:val="003434CE"/>
    <w:rsid w:val="00344F99"/>
    <w:rsid w:val="00345CC2"/>
    <w:rsid w:val="00345EFC"/>
    <w:rsid w:val="0034624F"/>
    <w:rsid w:val="003463F1"/>
    <w:rsid w:val="00346A1D"/>
    <w:rsid w:val="00346C08"/>
    <w:rsid w:val="00346C6A"/>
    <w:rsid w:val="003470C2"/>
    <w:rsid w:val="003470DD"/>
    <w:rsid w:val="0034741B"/>
    <w:rsid w:val="00347479"/>
    <w:rsid w:val="0035044E"/>
    <w:rsid w:val="00350955"/>
    <w:rsid w:val="0035180F"/>
    <w:rsid w:val="00352C80"/>
    <w:rsid w:val="00352F61"/>
    <w:rsid w:val="003531A1"/>
    <w:rsid w:val="003536C7"/>
    <w:rsid w:val="00353946"/>
    <w:rsid w:val="003544AE"/>
    <w:rsid w:val="00355109"/>
    <w:rsid w:val="00355CD7"/>
    <w:rsid w:val="003560F9"/>
    <w:rsid w:val="00356AF5"/>
    <w:rsid w:val="003571CA"/>
    <w:rsid w:val="0035783F"/>
    <w:rsid w:val="003603A0"/>
    <w:rsid w:val="0036054D"/>
    <w:rsid w:val="00360DA6"/>
    <w:rsid w:val="00360FDF"/>
    <w:rsid w:val="003610FA"/>
    <w:rsid w:val="00361391"/>
    <w:rsid w:val="003615BC"/>
    <w:rsid w:val="00361F31"/>
    <w:rsid w:val="0036215F"/>
    <w:rsid w:val="00362407"/>
    <w:rsid w:val="003632C2"/>
    <w:rsid w:val="003634E4"/>
    <w:rsid w:val="00364BF2"/>
    <w:rsid w:val="003661CF"/>
    <w:rsid w:val="00366822"/>
    <w:rsid w:val="00366C89"/>
    <w:rsid w:val="0036701D"/>
    <w:rsid w:val="003679AA"/>
    <w:rsid w:val="00367D6D"/>
    <w:rsid w:val="00370EDD"/>
    <w:rsid w:val="0037131A"/>
    <w:rsid w:val="00371DDF"/>
    <w:rsid w:val="00372353"/>
    <w:rsid w:val="0037278D"/>
    <w:rsid w:val="00373013"/>
    <w:rsid w:val="00373396"/>
    <w:rsid w:val="003738B6"/>
    <w:rsid w:val="00373948"/>
    <w:rsid w:val="00374317"/>
    <w:rsid w:val="00374BA9"/>
    <w:rsid w:val="003764E2"/>
    <w:rsid w:val="0037660F"/>
    <w:rsid w:val="003766CC"/>
    <w:rsid w:val="003768D8"/>
    <w:rsid w:val="00376D78"/>
    <w:rsid w:val="0038007D"/>
    <w:rsid w:val="003802D7"/>
    <w:rsid w:val="0038051A"/>
    <w:rsid w:val="00381521"/>
    <w:rsid w:val="00381888"/>
    <w:rsid w:val="0038195C"/>
    <w:rsid w:val="00382065"/>
    <w:rsid w:val="003829B0"/>
    <w:rsid w:val="00383A84"/>
    <w:rsid w:val="003844FE"/>
    <w:rsid w:val="00384AD9"/>
    <w:rsid w:val="00384CE3"/>
    <w:rsid w:val="00384D95"/>
    <w:rsid w:val="003856EF"/>
    <w:rsid w:val="00385711"/>
    <w:rsid w:val="0038644F"/>
    <w:rsid w:val="00386C84"/>
    <w:rsid w:val="00387A8A"/>
    <w:rsid w:val="00390440"/>
    <w:rsid w:val="00390629"/>
    <w:rsid w:val="00390AC3"/>
    <w:rsid w:val="00390C55"/>
    <w:rsid w:val="00391801"/>
    <w:rsid w:val="003919D4"/>
    <w:rsid w:val="003927EE"/>
    <w:rsid w:val="00392EB8"/>
    <w:rsid w:val="00393509"/>
    <w:rsid w:val="003938C8"/>
    <w:rsid w:val="00394EAE"/>
    <w:rsid w:val="00395A14"/>
    <w:rsid w:val="00396788"/>
    <w:rsid w:val="003971BB"/>
    <w:rsid w:val="00397EF3"/>
    <w:rsid w:val="003A04F7"/>
    <w:rsid w:val="003A0EED"/>
    <w:rsid w:val="003A2653"/>
    <w:rsid w:val="003A309A"/>
    <w:rsid w:val="003A368A"/>
    <w:rsid w:val="003A3944"/>
    <w:rsid w:val="003A4CFC"/>
    <w:rsid w:val="003A5E96"/>
    <w:rsid w:val="003A6236"/>
    <w:rsid w:val="003A62F5"/>
    <w:rsid w:val="003A699D"/>
    <w:rsid w:val="003A6AE7"/>
    <w:rsid w:val="003A6B90"/>
    <w:rsid w:val="003A6CCC"/>
    <w:rsid w:val="003A6E11"/>
    <w:rsid w:val="003A6F05"/>
    <w:rsid w:val="003A7973"/>
    <w:rsid w:val="003B010A"/>
    <w:rsid w:val="003B07A4"/>
    <w:rsid w:val="003B08ED"/>
    <w:rsid w:val="003B1B59"/>
    <w:rsid w:val="003B20A2"/>
    <w:rsid w:val="003B2589"/>
    <w:rsid w:val="003B275F"/>
    <w:rsid w:val="003B3E88"/>
    <w:rsid w:val="003B3EB7"/>
    <w:rsid w:val="003B4182"/>
    <w:rsid w:val="003B47D4"/>
    <w:rsid w:val="003B491D"/>
    <w:rsid w:val="003B4BF1"/>
    <w:rsid w:val="003B544E"/>
    <w:rsid w:val="003B605A"/>
    <w:rsid w:val="003B68A9"/>
    <w:rsid w:val="003B7DEE"/>
    <w:rsid w:val="003B7E5F"/>
    <w:rsid w:val="003C0EEB"/>
    <w:rsid w:val="003C1019"/>
    <w:rsid w:val="003C1F7B"/>
    <w:rsid w:val="003C219A"/>
    <w:rsid w:val="003C328B"/>
    <w:rsid w:val="003C349C"/>
    <w:rsid w:val="003C3EFA"/>
    <w:rsid w:val="003C3F59"/>
    <w:rsid w:val="003C4360"/>
    <w:rsid w:val="003C468F"/>
    <w:rsid w:val="003C4E2C"/>
    <w:rsid w:val="003C5547"/>
    <w:rsid w:val="003C56A5"/>
    <w:rsid w:val="003C5830"/>
    <w:rsid w:val="003C58B6"/>
    <w:rsid w:val="003C6214"/>
    <w:rsid w:val="003C6F8B"/>
    <w:rsid w:val="003D0BC4"/>
    <w:rsid w:val="003D17B7"/>
    <w:rsid w:val="003D1845"/>
    <w:rsid w:val="003D18A6"/>
    <w:rsid w:val="003D1B9E"/>
    <w:rsid w:val="003D1BDE"/>
    <w:rsid w:val="003D1E9B"/>
    <w:rsid w:val="003D3C18"/>
    <w:rsid w:val="003D3C63"/>
    <w:rsid w:val="003D4BBD"/>
    <w:rsid w:val="003D4DEF"/>
    <w:rsid w:val="003D4F4F"/>
    <w:rsid w:val="003D4FE0"/>
    <w:rsid w:val="003D5788"/>
    <w:rsid w:val="003D71D5"/>
    <w:rsid w:val="003D72CB"/>
    <w:rsid w:val="003D7D28"/>
    <w:rsid w:val="003E01BE"/>
    <w:rsid w:val="003E0A6F"/>
    <w:rsid w:val="003E1838"/>
    <w:rsid w:val="003E305E"/>
    <w:rsid w:val="003E3885"/>
    <w:rsid w:val="003E4218"/>
    <w:rsid w:val="003E47B6"/>
    <w:rsid w:val="003E5602"/>
    <w:rsid w:val="003E6743"/>
    <w:rsid w:val="003E6953"/>
    <w:rsid w:val="003E6A0F"/>
    <w:rsid w:val="003E7CF5"/>
    <w:rsid w:val="003E7F4A"/>
    <w:rsid w:val="003F1234"/>
    <w:rsid w:val="003F1B15"/>
    <w:rsid w:val="003F1D2F"/>
    <w:rsid w:val="003F2C86"/>
    <w:rsid w:val="003F321F"/>
    <w:rsid w:val="003F42BF"/>
    <w:rsid w:val="003F47A9"/>
    <w:rsid w:val="003F4E58"/>
    <w:rsid w:val="003F5B1F"/>
    <w:rsid w:val="003F623D"/>
    <w:rsid w:val="003F670C"/>
    <w:rsid w:val="003F6877"/>
    <w:rsid w:val="003F77CB"/>
    <w:rsid w:val="003F7D9C"/>
    <w:rsid w:val="004002B7"/>
    <w:rsid w:val="0040089C"/>
    <w:rsid w:val="00400AE9"/>
    <w:rsid w:val="00401423"/>
    <w:rsid w:val="00401474"/>
    <w:rsid w:val="004017B6"/>
    <w:rsid w:val="00401C7E"/>
    <w:rsid w:val="00402121"/>
    <w:rsid w:val="0040242E"/>
    <w:rsid w:val="00402511"/>
    <w:rsid w:val="00402989"/>
    <w:rsid w:val="004029AD"/>
    <w:rsid w:val="00402A7F"/>
    <w:rsid w:val="00403991"/>
    <w:rsid w:val="004039DC"/>
    <w:rsid w:val="00403C4F"/>
    <w:rsid w:val="00405BB2"/>
    <w:rsid w:val="00406178"/>
    <w:rsid w:val="004061CB"/>
    <w:rsid w:val="00406378"/>
    <w:rsid w:val="0040676A"/>
    <w:rsid w:val="004069DB"/>
    <w:rsid w:val="00406E4B"/>
    <w:rsid w:val="00407472"/>
    <w:rsid w:val="00407C78"/>
    <w:rsid w:val="004107F4"/>
    <w:rsid w:val="00410FE1"/>
    <w:rsid w:val="004113E7"/>
    <w:rsid w:val="00411802"/>
    <w:rsid w:val="0041248A"/>
    <w:rsid w:val="00412EE3"/>
    <w:rsid w:val="00413D88"/>
    <w:rsid w:val="004141E8"/>
    <w:rsid w:val="00414B0E"/>
    <w:rsid w:val="0041505B"/>
    <w:rsid w:val="0041509D"/>
    <w:rsid w:val="004154CF"/>
    <w:rsid w:val="004159D2"/>
    <w:rsid w:val="0041665E"/>
    <w:rsid w:val="00416757"/>
    <w:rsid w:val="004200AC"/>
    <w:rsid w:val="004201E5"/>
    <w:rsid w:val="004205FC"/>
    <w:rsid w:val="0042071A"/>
    <w:rsid w:val="00420B67"/>
    <w:rsid w:val="00421435"/>
    <w:rsid w:val="004216A3"/>
    <w:rsid w:val="0042181F"/>
    <w:rsid w:val="00422268"/>
    <w:rsid w:val="0042231C"/>
    <w:rsid w:val="004230F5"/>
    <w:rsid w:val="00423492"/>
    <w:rsid w:val="004245AA"/>
    <w:rsid w:val="0042487C"/>
    <w:rsid w:val="00425338"/>
    <w:rsid w:val="00425D47"/>
    <w:rsid w:val="0042603A"/>
    <w:rsid w:val="00430327"/>
    <w:rsid w:val="00430E7D"/>
    <w:rsid w:val="0043100B"/>
    <w:rsid w:val="004311CC"/>
    <w:rsid w:val="00431426"/>
    <w:rsid w:val="00431600"/>
    <w:rsid w:val="00431F38"/>
    <w:rsid w:val="00432657"/>
    <w:rsid w:val="00432B7E"/>
    <w:rsid w:val="00432FDB"/>
    <w:rsid w:val="00433662"/>
    <w:rsid w:val="0043369C"/>
    <w:rsid w:val="00434011"/>
    <w:rsid w:val="00434257"/>
    <w:rsid w:val="00435692"/>
    <w:rsid w:val="00435B95"/>
    <w:rsid w:val="00435E9B"/>
    <w:rsid w:val="00435F45"/>
    <w:rsid w:val="004366D8"/>
    <w:rsid w:val="00437343"/>
    <w:rsid w:val="004373E7"/>
    <w:rsid w:val="00441356"/>
    <w:rsid w:val="00443F48"/>
    <w:rsid w:val="0044402F"/>
    <w:rsid w:val="00444413"/>
    <w:rsid w:val="0044451C"/>
    <w:rsid w:val="0044464D"/>
    <w:rsid w:val="0044559C"/>
    <w:rsid w:val="0044568D"/>
    <w:rsid w:val="0044568E"/>
    <w:rsid w:val="00445BA7"/>
    <w:rsid w:val="00445E90"/>
    <w:rsid w:val="00446E30"/>
    <w:rsid w:val="00446FAF"/>
    <w:rsid w:val="004475D5"/>
    <w:rsid w:val="004479A8"/>
    <w:rsid w:val="00447CD7"/>
    <w:rsid w:val="00450982"/>
    <w:rsid w:val="00451284"/>
    <w:rsid w:val="0045366E"/>
    <w:rsid w:val="00453A10"/>
    <w:rsid w:val="00454621"/>
    <w:rsid w:val="0045490F"/>
    <w:rsid w:val="00454D6D"/>
    <w:rsid w:val="004552D5"/>
    <w:rsid w:val="0045554B"/>
    <w:rsid w:val="0045613E"/>
    <w:rsid w:val="0045648A"/>
    <w:rsid w:val="004567E5"/>
    <w:rsid w:val="00457CB6"/>
    <w:rsid w:val="004600A0"/>
    <w:rsid w:val="004603BF"/>
    <w:rsid w:val="004603E1"/>
    <w:rsid w:val="00460703"/>
    <w:rsid w:val="00460937"/>
    <w:rsid w:val="00460EEF"/>
    <w:rsid w:val="0046120B"/>
    <w:rsid w:val="00461808"/>
    <w:rsid w:val="004630CB"/>
    <w:rsid w:val="00463265"/>
    <w:rsid w:val="00463B61"/>
    <w:rsid w:val="00463BC2"/>
    <w:rsid w:val="00463FB9"/>
    <w:rsid w:val="00463FCF"/>
    <w:rsid w:val="0046412B"/>
    <w:rsid w:val="004644F7"/>
    <w:rsid w:val="00464A9A"/>
    <w:rsid w:val="004652C4"/>
    <w:rsid w:val="004660AE"/>
    <w:rsid w:val="00466A39"/>
    <w:rsid w:val="00466B35"/>
    <w:rsid w:val="00467041"/>
    <w:rsid w:val="0046753D"/>
    <w:rsid w:val="00467EB2"/>
    <w:rsid w:val="00470099"/>
    <w:rsid w:val="0047034B"/>
    <w:rsid w:val="004706D4"/>
    <w:rsid w:val="00471128"/>
    <w:rsid w:val="004725F3"/>
    <w:rsid w:val="00472A16"/>
    <w:rsid w:val="004730AB"/>
    <w:rsid w:val="004736B1"/>
    <w:rsid w:val="004738C3"/>
    <w:rsid w:val="00474482"/>
    <w:rsid w:val="00474735"/>
    <w:rsid w:val="00474BE3"/>
    <w:rsid w:val="00474F20"/>
    <w:rsid w:val="00475C46"/>
    <w:rsid w:val="00475CC8"/>
    <w:rsid w:val="00476003"/>
    <w:rsid w:val="004763A0"/>
    <w:rsid w:val="0047659A"/>
    <w:rsid w:val="00476716"/>
    <w:rsid w:val="00477E92"/>
    <w:rsid w:val="0048028E"/>
    <w:rsid w:val="00480F22"/>
    <w:rsid w:val="004812F7"/>
    <w:rsid w:val="00481D94"/>
    <w:rsid w:val="00481EC3"/>
    <w:rsid w:val="00482372"/>
    <w:rsid w:val="00483D42"/>
    <w:rsid w:val="004842A5"/>
    <w:rsid w:val="00484F94"/>
    <w:rsid w:val="00485780"/>
    <w:rsid w:val="00485CBC"/>
    <w:rsid w:val="004864BD"/>
    <w:rsid w:val="00486F33"/>
    <w:rsid w:val="00487788"/>
    <w:rsid w:val="00487852"/>
    <w:rsid w:val="004904E1"/>
    <w:rsid w:val="004906E1"/>
    <w:rsid w:val="00490C9E"/>
    <w:rsid w:val="00490D73"/>
    <w:rsid w:val="00490F81"/>
    <w:rsid w:val="004924D3"/>
    <w:rsid w:val="00492EAC"/>
    <w:rsid w:val="00492FEE"/>
    <w:rsid w:val="0049300C"/>
    <w:rsid w:val="00493219"/>
    <w:rsid w:val="0049378A"/>
    <w:rsid w:val="00494020"/>
    <w:rsid w:val="00494D49"/>
    <w:rsid w:val="00494FBB"/>
    <w:rsid w:val="00494FDA"/>
    <w:rsid w:val="00495322"/>
    <w:rsid w:val="0049597A"/>
    <w:rsid w:val="00495D1D"/>
    <w:rsid w:val="00496136"/>
    <w:rsid w:val="004966FA"/>
    <w:rsid w:val="00496877"/>
    <w:rsid w:val="00497091"/>
    <w:rsid w:val="0049768E"/>
    <w:rsid w:val="00497F21"/>
    <w:rsid w:val="004A015E"/>
    <w:rsid w:val="004A0242"/>
    <w:rsid w:val="004A0598"/>
    <w:rsid w:val="004A06CA"/>
    <w:rsid w:val="004A0749"/>
    <w:rsid w:val="004A0A89"/>
    <w:rsid w:val="004A0F2A"/>
    <w:rsid w:val="004A1DE5"/>
    <w:rsid w:val="004A20A8"/>
    <w:rsid w:val="004A2199"/>
    <w:rsid w:val="004A267E"/>
    <w:rsid w:val="004A288D"/>
    <w:rsid w:val="004A28E7"/>
    <w:rsid w:val="004A3411"/>
    <w:rsid w:val="004A35BE"/>
    <w:rsid w:val="004A3873"/>
    <w:rsid w:val="004A517D"/>
    <w:rsid w:val="004A5447"/>
    <w:rsid w:val="004A6545"/>
    <w:rsid w:val="004A71EA"/>
    <w:rsid w:val="004A7506"/>
    <w:rsid w:val="004A76DB"/>
    <w:rsid w:val="004B0D73"/>
    <w:rsid w:val="004B1355"/>
    <w:rsid w:val="004B1AFA"/>
    <w:rsid w:val="004B2185"/>
    <w:rsid w:val="004B2D10"/>
    <w:rsid w:val="004B2EF8"/>
    <w:rsid w:val="004B379D"/>
    <w:rsid w:val="004B4013"/>
    <w:rsid w:val="004B41EC"/>
    <w:rsid w:val="004B48F4"/>
    <w:rsid w:val="004B4F23"/>
    <w:rsid w:val="004B61C6"/>
    <w:rsid w:val="004B7387"/>
    <w:rsid w:val="004B73FB"/>
    <w:rsid w:val="004C0606"/>
    <w:rsid w:val="004C13A4"/>
    <w:rsid w:val="004C1937"/>
    <w:rsid w:val="004C1F30"/>
    <w:rsid w:val="004C1F7A"/>
    <w:rsid w:val="004C23ED"/>
    <w:rsid w:val="004C3020"/>
    <w:rsid w:val="004C35DF"/>
    <w:rsid w:val="004C45CF"/>
    <w:rsid w:val="004C4DBB"/>
    <w:rsid w:val="004C5086"/>
    <w:rsid w:val="004C5648"/>
    <w:rsid w:val="004C5AEA"/>
    <w:rsid w:val="004C5D9C"/>
    <w:rsid w:val="004C63B1"/>
    <w:rsid w:val="004C796A"/>
    <w:rsid w:val="004C7F75"/>
    <w:rsid w:val="004D07D5"/>
    <w:rsid w:val="004D0945"/>
    <w:rsid w:val="004D1F69"/>
    <w:rsid w:val="004D25F1"/>
    <w:rsid w:val="004D2940"/>
    <w:rsid w:val="004D29B6"/>
    <w:rsid w:val="004D2A0A"/>
    <w:rsid w:val="004D2BEB"/>
    <w:rsid w:val="004D30F2"/>
    <w:rsid w:val="004D324E"/>
    <w:rsid w:val="004D3462"/>
    <w:rsid w:val="004D4247"/>
    <w:rsid w:val="004D5202"/>
    <w:rsid w:val="004D5FEC"/>
    <w:rsid w:val="004D642C"/>
    <w:rsid w:val="004D688E"/>
    <w:rsid w:val="004D7F5D"/>
    <w:rsid w:val="004E057F"/>
    <w:rsid w:val="004E08A6"/>
    <w:rsid w:val="004E0C8A"/>
    <w:rsid w:val="004E11D5"/>
    <w:rsid w:val="004E1363"/>
    <w:rsid w:val="004E15CC"/>
    <w:rsid w:val="004E16C2"/>
    <w:rsid w:val="004E3B4E"/>
    <w:rsid w:val="004E419B"/>
    <w:rsid w:val="004E44DB"/>
    <w:rsid w:val="004E4B6A"/>
    <w:rsid w:val="004E5765"/>
    <w:rsid w:val="004E5954"/>
    <w:rsid w:val="004E5D2B"/>
    <w:rsid w:val="004E6DD1"/>
    <w:rsid w:val="004E707A"/>
    <w:rsid w:val="004E77D1"/>
    <w:rsid w:val="004E785E"/>
    <w:rsid w:val="004E7BFF"/>
    <w:rsid w:val="004F0237"/>
    <w:rsid w:val="004F0DE9"/>
    <w:rsid w:val="004F0E10"/>
    <w:rsid w:val="004F104F"/>
    <w:rsid w:val="004F140E"/>
    <w:rsid w:val="004F19A4"/>
    <w:rsid w:val="004F1C45"/>
    <w:rsid w:val="004F234F"/>
    <w:rsid w:val="004F26B7"/>
    <w:rsid w:val="004F3375"/>
    <w:rsid w:val="004F33C6"/>
    <w:rsid w:val="004F400C"/>
    <w:rsid w:val="004F4047"/>
    <w:rsid w:val="004F4889"/>
    <w:rsid w:val="004F4B82"/>
    <w:rsid w:val="004F4E37"/>
    <w:rsid w:val="004F5007"/>
    <w:rsid w:val="004F563A"/>
    <w:rsid w:val="004F566B"/>
    <w:rsid w:val="004F5B37"/>
    <w:rsid w:val="004F6139"/>
    <w:rsid w:val="004F648D"/>
    <w:rsid w:val="004F676C"/>
    <w:rsid w:val="004F791A"/>
    <w:rsid w:val="004F7A99"/>
    <w:rsid w:val="004F7DA3"/>
    <w:rsid w:val="004F7FEF"/>
    <w:rsid w:val="00500792"/>
    <w:rsid w:val="00501BAB"/>
    <w:rsid w:val="00501EB1"/>
    <w:rsid w:val="0050241D"/>
    <w:rsid w:val="00504551"/>
    <w:rsid w:val="0050476F"/>
    <w:rsid w:val="00504AB9"/>
    <w:rsid w:val="00504AD6"/>
    <w:rsid w:val="00505360"/>
    <w:rsid w:val="005060D5"/>
    <w:rsid w:val="005062AE"/>
    <w:rsid w:val="005065DE"/>
    <w:rsid w:val="0050734A"/>
    <w:rsid w:val="005073D5"/>
    <w:rsid w:val="0050747B"/>
    <w:rsid w:val="005074FE"/>
    <w:rsid w:val="00507595"/>
    <w:rsid w:val="00507954"/>
    <w:rsid w:val="00507BE5"/>
    <w:rsid w:val="0051007B"/>
    <w:rsid w:val="0051156D"/>
    <w:rsid w:val="00511E99"/>
    <w:rsid w:val="0051268C"/>
    <w:rsid w:val="00513877"/>
    <w:rsid w:val="00514662"/>
    <w:rsid w:val="00514C17"/>
    <w:rsid w:val="005161BA"/>
    <w:rsid w:val="00516F1E"/>
    <w:rsid w:val="00517044"/>
    <w:rsid w:val="00517202"/>
    <w:rsid w:val="005202FB"/>
    <w:rsid w:val="0052042C"/>
    <w:rsid w:val="0052069D"/>
    <w:rsid w:val="005212CA"/>
    <w:rsid w:val="00521967"/>
    <w:rsid w:val="00521BD5"/>
    <w:rsid w:val="00521F7A"/>
    <w:rsid w:val="00522332"/>
    <w:rsid w:val="00522DB3"/>
    <w:rsid w:val="005232A8"/>
    <w:rsid w:val="00524788"/>
    <w:rsid w:val="00524B14"/>
    <w:rsid w:val="00524F07"/>
    <w:rsid w:val="00525349"/>
    <w:rsid w:val="00527835"/>
    <w:rsid w:val="00527ACC"/>
    <w:rsid w:val="00531D69"/>
    <w:rsid w:val="00532404"/>
    <w:rsid w:val="0053261A"/>
    <w:rsid w:val="00533263"/>
    <w:rsid w:val="0053359E"/>
    <w:rsid w:val="00533787"/>
    <w:rsid w:val="005337F6"/>
    <w:rsid w:val="005350D0"/>
    <w:rsid w:val="0053525E"/>
    <w:rsid w:val="005360BC"/>
    <w:rsid w:val="00537D28"/>
    <w:rsid w:val="00537DB9"/>
    <w:rsid w:val="00540D26"/>
    <w:rsid w:val="005412B5"/>
    <w:rsid w:val="00541F0B"/>
    <w:rsid w:val="005429C0"/>
    <w:rsid w:val="00542CB5"/>
    <w:rsid w:val="005432A0"/>
    <w:rsid w:val="005434BE"/>
    <w:rsid w:val="00543609"/>
    <w:rsid w:val="0054397D"/>
    <w:rsid w:val="00543A7A"/>
    <w:rsid w:val="00543B80"/>
    <w:rsid w:val="00543CE4"/>
    <w:rsid w:val="005446BF"/>
    <w:rsid w:val="00544A69"/>
    <w:rsid w:val="00545637"/>
    <w:rsid w:val="0054666B"/>
    <w:rsid w:val="00546A49"/>
    <w:rsid w:val="00547134"/>
    <w:rsid w:val="00547BEC"/>
    <w:rsid w:val="00547DDC"/>
    <w:rsid w:val="005500A7"/>
    <w:rsid w:val="005509B6"/>
    <w:rsid w:val="00551069"/>
    <w:rsid w:val="00551144"/>
    <w:rsid w:val="00551529"/>
    <w:rsid w:val="00551986"/>
    <w:rsid w:val="00551C32"/>
    <w:rsid w:val="005527A5"/>
    <w:rsid w:val="00554BFA"/>
    <w:rsid w:val="005554BA"/>
    <w:rsid w:val="00555863"/>
    <w:rsid w:val="00555957"/>
    <w:rsid w:val="005566FE"/>
    <w:rsid w:val="0055761B"/>
    <w:rsid w:val="00557B52"/>
    <w:rsid w:val="005611A5"/>
    <w:rsid w:val="005619BA"/>
    <w:rsid w:val="0056270B"/>
    <w:rsid w:val="00562AC9"/>
    <w:rsid w:val="00562C25"/>
    <w:rsid w:val="00562FA3"/>
    <w:rsid w:val="00563C68"/>
    <w:rsid w:val="0056407A"/>
    <w:rsid w:val="005640EA"/>
    <w:rsid w:val="00564A74"/>
    <w:rsid w:val="00564E99"/>
    <w:rsid w:val="005651CB"/>
    <w:rsid w:val="00566371"/>
    <w:rsid w:val="00566A6B"/>
    <w:rsid w:val="00567060"/>
    <w:rsid w:val="0057034C"/>
    <w:rsid w:val="00571607"/>
    <w:rsid w:val="00572E87"/>
    <w:rsid w:val="00573B03"/>
    <w:rsid w:val="00573B0D"/>
    <w:rsid w:val="00573B14"/>
    <w:rsid w:val="005743ED"/>
    <w:rsid w:val="00574F58"/>
    <w:rsid w:val="0057537C"/>
    <w:rsid w:val="00575AAC"/>
    <w:rsid w:val="00580081"/>
    <w:rsid w:val="00580203"/>
    <w:rsid w:val="005811F8"/>
    <w:rsid w:val="00581975"/>
    <w:rsid w:val="00581DC2"/>
    <w:rsid w:val="005830F1"/>
    <w:rsid w:val="00583734"/>
    <w:rsid w:val="00583ACF"/>
    <w:rsid w:val="00585C5A"/>
    <w:rsid w:val="00585D65"/>
    <w:rsid w:val="005900AB"/>
    <w:rsid w:val="005908AE"/>
    <w:rsid w:val="00590CB2"/>
    <w:rsid w:val="005912C2"/>
    <w:rsid w:val="00591DEB"/>
    <w:rsid w:val="0059252D"/>
    <w:rsid w:val="00594178"/>
    <w:rsid w:val="005943B5"/>
    <w:rsid w:val="00594808"/>
    <w:rsid w:val="00594BC6"/>
    <w:rsid w:val="0059507D"/>
    <w:rsid w:val="00595CAB"/>
    <w:rsid w:val="00595DE2"/>
    <w:rsid w:val="00596290"/>
    <w:rsid w:val="00596A83"/>
    <w:rsid w:val="005A0978"/>
    <w:rsid w:val="005A0A24"/>
    <w:rsid w:val="005A1D75"/>
    <w:rsid w:val="005A2566"/>
    <w:rsid w:val="005A44B5"/>
    <w:rsid w:val="005A5699"/>
    <w:rsid w:val="005A5C19"/>
    <w:rsid w:val="005A5EE8"/>
    <w:rsid w:val="005B03F9"/>
    <w:rsid w:val="005B0580"/>
    <w:rsid w:val="005B1066"/>
    <w:rsid w:val="005B1272"/>
    <w:rsid w:val="005B1289"/>
    <w:rsid w:val="005B2E00"/>
    <w:rsid w:val="005B3027"/>
    <w:rsid w:val="005B479E"/>
    <w:rsid w:val="005B5679"/>
    <w:rsid w:val="005B5E57"/>
    <w:rsid w:val="005B6C3F"/>
    <w:rsid w:val="005B731B"/>
    <w:rsid w:val="005B7986"/>
    <w:rsid w:val="005C01F2"/>
    <w:rsid w:val="005C02C4"/>
    <w:rsid w:val="005C0640"/>
    <w:rsid w:val="005C2522"/>
    <w:rsid w:val="005C42A2"/>
    <w:rsid w:val="005C453A"/>
    <w:rsid w:val="005C463F"/>
    <w:rsid w:val="005C4758"/>
    <w:rsid w:val="005C5676"/>
    <w:rsid w:val="005C6EA0"/>
    <w:rsid w:val="005C732B"/>
    <w:rsid w:val="005C7FA8"/>
    <w:rsid w:val="005D1377"/>
    <w:rsid w:val="005D2A03"/>
    <w:rsid w:val="005D34AC"/>
    <w:rsid w:val="005D4A4A"/>
    <w:rsid w:val="005D531C"/>
    <w:rsid w:val="005D54BB"/>
    <w:rsid w:val="005D5B57"/>
    <w:rsid w:val="005D6608"/>
    <w:rsid w:val="005D70EF"/>
    <w:rsid w:val="005D76F9"/>
    <w:rsid w:val="005D773F"/>
    <w:rsid w:val="005D7EC3"/>
    <w:rsid w:val="005E1CBF"/>
    <w:rsid w:val="005E1DA5"/>
    <w:rsid w:val="005E28D1"/>
    <w:rsid w:val="005E3AE5"/>
    <w:rsid w:val="005E42AE"/>
    <w:rsid w:val="005E42F6"/>
    <w:rsid w:val="005E5452"/>
    <w:rsid w:val="005E5A98"/>
    <w:rsid w:val="005E5EDC"/>
    <w:rsid w:val="005E64DD"/>
    <w:rsid w:val="005E7390"/>
    <w:rsid w:val="005F027C"/>
    <w:rsid w:val="005F126B"/>
    <w:rsid w:val="005F1937"/>
    <w:rsid w:val="005F1ED6"/>
    <w:rsid w:val="005F27D2"/>
    <w:rsid w:val="005F393B"/>
    <w:rsid w:val="005F4CF7"/>
    <w:rsid w:val="005F515B"/>
    <w:rsid w:val="005F523E"/>
    <w:rsid w:val="005F52D2"/>
    <w:rsid w:val="005F52F8"/>
    <w:rsid w:val="005F5D04"/>
    <w:rsid w:val="00600AC1"/>
    <w:rsid w:val="00601A8E"/>
    <w:rsid w:val="00601FEE"/>
    <w:rsid w:val="00602516"/>
    <w:rsid w:val="00602972"/>
    <w:rsid w:val="00602A9E"/>
    <w:rsid w:val="00602B3D"/>
    <w:rsid w:val="00603150"/>
    <w:rsid w:val="0060376D"/>
    <w:rsid w:val="00603E3E"/>
    <w:rsid w:val="00603F0B"/>
    <w:rsid w:val="00604430"/>
    <w:rsid w:val="006048AD"/>
    <w:rsid w:val="00604C46"/>
    <w:rsid w:val="00605F25"/>
    <w:rsid w:val="006066F8"/>
    <w:rsid w:val="00607F79"/>
    <w:rsid w:val="0061068F"/>
    <w:rsid w:val="0061081A"/>
    <w:rsid w:val="00610A12"/>
    <w:rsid w:val="00610CC2"/>
    <w:rsid w:val="006112E4"/>
    <w:rsid w:val="0061147E"/>
    <w:rsid w:val="0061213A"/>
    <w:rsid w:val="006124B6"/>
    <w:rsid w:val="00612647"/>
    <w:rsid w:val="0061288F"/>
    <w:rsid w:val="0061411A"/>
    <w:rsid w:val="00614247"/>
    <w:rsid w:val="006142D9"/>
    <w:rsid w:val="006147D8"/>
    <w:rsid w:val="00614F5A"/>
    <w:rsid w:val="00615558"/>
    <w:rsid w:val="006155EB"/>
    <w:rsid w:val="00615843"/>
    <w:rsid w:val="00617C96"/>
    <w:rsid w:val="00617F79"/>
    <w:rsid w:val="00620839"/>
    <w:rsid w:val="00620965"/>
    <w:rsid w:val="006213F4"/>
    <w:rsid w:val="0062279B"/>
    <w:rsid w:val="006233AB"/>
    <w:rsid w:val="006233D5"/>
    <w:rsid w:val="00623DFA"/>
    <w:rsid w:val="00623FAF"/>
    <w:rsid w:val="006247D9"/>
    <w:rsid w:val="00624AF9"/>
    <w:rsid w:val="006252F4"/>
    <w:rsid w:val="00625511"/>
    <w:rsid w:val="0062583C"/>
    <w:rsid w:val="00626850"/>
    <w:rsid w:val="00626D14"/>
    <w:rsid w:val="00626FA9"/>
    <w:rsid w:val="00627314"/>
    <w:rsid w:val="00627C39"/>
    <w:rsid w:val="00627E3E"/>
    <w:rsid w:val="00630E67"/>
    <w:rsid w:val="0063100A"/>
    <w:rsid w:val="00631C2A"/>
    <w:rsid w:val="006321E0"/>
    <w:rsid w:val="0063308D"/>
    <w:rsid w:val="00633428"/>
    <w:rsid w:val="00633CD8"/>
    <w:rsid w:val="00633F06"/>
    <w:rsid w:val="0063485B"/>
    <w:rsid w:val="00634B74"/>
    <w:rsid w:val="00634D65"/>
    <w:rsid w:val="00635903"/>
    <w:rsid w:val="00635BFF"/>
    <w:rsid w:val="00636193"/>
    <w:rsid w:val="006367C0"/>
    <w:rsid w:val="006370AD"/>
    <w:rsid w:val="006372CA"/>
    <w:rsid w:val="0063734F"/>
    <w:rsid w:val="00640107"/>
    <w:rsid w:val="00640689"/>
    <w:rsid w:val="006410D6"/>
    <w:rsid w:val="006415E4"/>
    <w:rsid w:val="0064254F"/>
    <w:rsid w:val="0064256F"/>
    <w:rsid w:val="00642730"/>
    <w:rsid w:val="0064278D"/>
    <w:rsid w:val="006431F8"/>
    <w:rsid w:val="00643296"/>
    <w:rsid w:val="00643C50"/>
    <w:rsid w:val="006453D0"/>
    <w:rsid w:val="0064584D"/>
    <w:rsid w:val="00645B54"/>
    <w:rsid w:val="006462AB"/>
    <w:rsid w:val="00646399"/>
    <w:rsid w:val="00646BE4"/>
    <w:rsid w:val="00647967"/>
    <w:rsid w:val="00647E10"/>
    <w:rsid w:val="00650E43"/>
    <w:rsid w:val="00650F59"/>
    <w:rsid w:val="00650FBC"/>
    <w:rsid w:val="00651567"/>
    <w:rsid w:val="006516FA"/>
    <w:rsid w:val="006523FA"/>
    <w:rsid w:val="0065628E"/>
    <w:rsid w:val="006570E4"/>
    <w:rsid w:val="006575B0"/>
    <w:rsid w:val="0065792E"/>
    <w:rsid w:val="00657FB2"/>
    <w:rsid w:val="00660041"/>
    <w:rsid w:val="0066041C"/>
    <w:rsid w:val="0066066E"/>
    <w:rsid w:val="00660AB8"/>
    <w:rsid w:val="00660E23"/>
    <w:rsid w:val="006611DA"/>
    <w:rsid w:val="00661619"/>
    <w:rsid w:val="00661782"/>
    <w:rsid w:val="00661CD8"/>
    <w:rsid w:val="0066267E"/>
    <w:rsid w:val="006635FD"/>
    <w:rsid w:val="0066451F"/>
    <w:rsid w:val="00664DB5"/>
    <w:rsid w:val="00665AF9"/>
    <w:rsid w:val="00665D8B"/>
    <w:rsid w:val="00667080"/>
    <w:rsid w:val="006673B7"/>
    <w:rsid w:val="00667663"/>
    <w:rsid w:val="00671C14"/>
    <w:rsid w:val="00672061"/>
    <w:rsid w:val="00672E30"/>
    <w:rsid w:val="00673562"/>
    <w:rsid w:val="00676FFA"/>
    <w:rsid w:val="00677338"/>
    <w:rsid w:val="00677481"/>
    <w:rsid w:val="00677950"/>
    <w:rsid w:val="00677959"/>
    <w:rsid w:val="00681E54"/>
    <w:rsid w:val="00682E76"/>
    <w:rsid w:val="00683731"/>
    <w:rsid w:val="006847C7"/>
    <w:rsid w:val="00684B36"/>
    <w:rsid w:val="00684C01"/>
    <w:rsid w:val="00684E54"/>
    <w:rsid w:val="00685312"/>
    <w:rsid w:val="00685FB2"/>
    <w:rsid w:val="00687C01"/>
    <w:rsid w:val="0069005E"/>
    <w:rsid w:val="00691E11"/>
    <w:rsid w:val="00692378"/>
    <w:rsid w:val="00692727"/>
    <w:rsid w:val="00694675"/>
    <w:rsid w:val="00694853"/>
    <w:rsid w:val="0069538D"/>
    <w:rsid w:val="00695562"/>
    <w:rsid w:val="006956B4"/>
    <w:rsid w:val="00695863"/>
    <w:rsid w:val="00696530"/>
    <w:rsid w:val="006967C6"/>
    <w:rsid w:val="00696FFD"/>
    <w:rsid w:val="006970F0"/>
    <w:rsid w:val="00697542"/>
    <w:rsid w:val="006975CD"/>
    <w:rsid w:val="006A0287"/>
    <w:rsid w:val="006A0CD2"/>
    <w:rsid w:val="006A141F"/>
    <w:rsid w:val="006A15C2"/>
    <w:rsid w:val="006A1933"/>
    <w:rsid w:val="006A1948"/>
    <w:rsid w:val="006A37C0"/>
    <w:rsid w:val="006A3C8C"/>
    <w:rsid w:val="006A520D"/>
    <w:rsid w:val="006A57B8"/>
    <w:rsid w:val="006A5B41"/>
    <w:rsid w:val="006A6054"/>
    <w:rsid w:val="006A61F2"/>
    <w:rsid w:val="006A63BE"/>
    <w:rsid w:val="006A7037"/>
    <w:rsid w:val="006A7560"/>
    <w:rsid w:val="006A756F"/>
    <w:rsid w:val="006A7E23"/>
    <w:rsid w:val="006B0070"/>
    <w:rsid w:val="006B00FF"/>
    <w:rsid w:val="006B0184"/>
    <w:rsid w:val="006B0718"/>
    <w:rsid w:val="006B085A"/>
    <w:rsid w:val="006B0C3B"/>
    <w:rsid w:val="006B1633"/>
    <w:rsid w:val="006B2011"/>
    <w:rsid w:val="006B2782"/>
    <w:rsid w:val="006B2941"/>
    <w:rsid w:val="006B2A09"/>
    <w:rsid w:val="006B30E2"/>
    <w:rsid w:val="006B3B0B"/>
    <w:rsid w:val="006B3EAB"/>
    <w:rsid w:val="006B462B"/>
    <w:rsid w:val="006B4850"/>
    <w:rsid w:val="006B4B94"/>
    <w:rsid w:val="006B4D8C"/>
    <w:rsid w:val="006B4FEE"/>
    <w:rsid w:val="006B53BD"/>
    <w:rsid w:val="006B540C"/>
    <w:rsid w:val="006B5426"/>
    <w:rsid w:val="006B6284"/>
    <w:rsid w:val="006B7B42"/>
    <w:rsid w:val="006C0C86"/>
    <w:rsid w:val="006C11A0"/>
    <w:rsid w:val="006C14D4"/>
    <w:rsid w:val="006C1603"/>
    <w:rsid w:val="006C1AD2"/>
    <w:rsid w:val="006C1C8E"/>
    <w:rsid w:val="006C1FD5"/>
    <w:rsid w:val="006C21EB"/>
    <w:rsid w:val="006C23A7"/>
    <w:rsid w:val="006C3991"/>
    <w:rsid w:val="006C3CB0"/>
    <w:rsid w:val="006C4034"/>
    <w:rsid w:val="006C40FE"/>
    <w:rsid w:val="006C48B2"/>
    <w:rsid w:val="006C4C10"/>
    <w:rsid w:val="006C4E07"/>
    <w:rsid w:val="006C5304"/>
    <w:rsid w:val="006C5B7C"/>
    <w:rsid w:val="006C6876"/>
    <w:rsid w:val="006C6BEB"/>
    <w:rsid w:val="006C6E30"/>
    <w:rsid w:val="006C720B"/>
    <w:rsid w:val="006C75E2"/>
    <w:rsid w:val="006C7F70"/>
    <w:rsid w:val="006D076B"/>
    <w:rsid w:val="006D0796"/>
    <w:rsid w:val="006D0A31"/>
    <w:rsid w:val="006D115A"/>
    <w:rsid w:val="006D1608"/>
    <w:rsid w:val="006D235E"/>
    <w:rsid w:val="006D2CE2"/>
    <w:rsid w:val="006D308F"/>
    <w:rsid w:val="006D3E86"/>
    <w:rsid w:val="006D43E7"/>
    <w:rsid w:val="006D4B33"/>
    <w:rsid w:val="006D5623"/>
    <w:rsid w:val="006D5B41"/>
    <w:rsid w:val="006D6A15"/>
    <w:rsid w:val="006D6E6C"/>
    <w:rsid w:val="006D6FB6"/>
    <w:rsid w:val="006D7589"/>
    <w:rsid w:val="006E0AAC"/>
    <w:rsid w:val="006E0CF7"/>
    <w:rsid w:val="006E0D80"/>
    <w:rsid w:val="006E2F4A"/>
    <w:rsid w:val="006E3178"/>
    <w:rsid w:val="006E3264"/>
    <w:rsid w:val="006E41E6"/>
    <w:rsid w:val="006E450E"/>
    <w:rsid w:val="006E4C96"/>
    <w:rsid w:val="006E539B"/>
    <w:rsid w:val="006E55EB"/>
    <w:rsid w:val="006E5CBC"/>
    <w:rsid w:val="006E5D05"/>
    <w:rsid w:val="006E6234"/>
    <w:rsid w:val="006E64A6"/>
    <w:rsid w:val="006E6740"/>
    <w:rsid w:val="006E68F0"/>
    <w:rsid w:val="006E7607"/>
    <w:rsid w:val="006F184F"/>
    <w:rsid w:val="006F1C9C"/>
    <w:rsid w:val="006F2942"/>
    <w:rsid w:val="006F2F48"/>
    <w:rsid w:val="006F31CE"/>
    <w:rsid w:val="006F3939"/>
    <w:rsid w:val="006F3B12"/>
    <w:rsid w:val="006F3DE3"/>
    <w:rsid w:val="006F4F13"/>
    <w:rsid w:val="006F58EE"/>
    <w:rsid w:val="006F6E58"/>
    <w:rsid w:val="006F7366"/>
    <w:rsid w:val="00700772"/>
    <w:rsid w:val="0070086C"/>
    <w:rsid w:val="00700C13"/>
    <w:rsid w:val="0070196A"/>
    <w:rsid w:val="00701F74"/>
    <w:rsid w:val="007028D0"/>
    <w:rsid w:val="00702E0A"/>
    <w:rsid w:val="00703032"/>
    <w:rsid w:val="0070364A"/>
    <w:rsid w:val="00703E84"/>
    <w:rsid w:val="007041F2"/>
    <w:rsid w:val="0070600F"/>
    <w:rsid w:val="0070611F"/>
    <w:rsid w:val="0070625A"/>
    <w:rsid w:val="00706531"/>
    <w:rsid w:val="0070792E"/>
    <w:rsid w:val="00707EEA"/>
    <w:rsid w:val="00710988"/>
    <w:rsid w:val="0071157F"/>
    <w:rsid w:val="007126A0"/>
    <w:rsid w:val="00712FD0"/>
    <w:rsid w:val="007137E4"/>
    <w:rsid w:val="00713805"/>
    <w:rsid w:val="007141F2"/>
    <w:rsid w:val="0071427F"/>
    <w:rsid w:val="00714B95"/>
    <w:rsid w:val="00714E0C"/>
    <w:rsid w:val="00717851"/>
    <w:rsid w:val="00717976"/>
    <w:rsid w:val="00720561"/>
    <w:rsid w:val="007206A1"/>
    <w:rsid w:val="00720ABA"/>
    <w:rsid w:val="0072142F"/>
    <w:rsid w:val="00721C68"/>
    <w:rsid w:val="00722BC1"/>
    <w:rsid w:val="007231F2"/>
    <w:rsid w:val="007239C7"/>
    <w:rsid w:val="00723DEC"/>
    <w:rsid w:val="00724499"/>
    <w:rsid w:val="00724D3D"/>
    <w:rsid w:val="007258D8"/>
    <w:rsid w:val="00725CBE"/>
    <w:rsid w:val="0072661B"/>
    <w:rsid w:val="00726650"/>
    <w:rsid w:val="00726663"/>
    <w:rsid w:val="007267E0"/>
    <w:rsid w:val="007268E7"/>
    <w:rsid w:val="007272E5"/>
    <w:rsid w:val="00727CA9"/>
    <w:rsid w:val="007306DE"/>
    <w:rsid w:val="00730A8B"/>
    <w:rsid w:val="00730E6A"/>
    <w:rsid w:val="00731E4A"/>
    <w:rsid w:val="007327BC"/>
    <w:rsid w:val="00732B39"/>
    <w:rsid w:val="00733483"/>
    <w:rsid w:val="00733C7E"/>
    <w:rsid w:val="00734D3C"/>
    <w:rsid w:val="00734F6C"/>
    <w:rsid w:val="007356ED"/>
    <w:rsid w:val="00735BF1"/>
    <w:rsid w:val="00735F10"/>
    <w:rsid w:val="0073624D"/>
    <w:rsid w:val="00737D11"/>
    <w:rsid w:val="00737EBE"/>
    <w:rsid w:val="0074015B"/>
    <w:rsid w:val="00740F80"/>
    <w:rsid w:val="00741025"/>
    <w:rsid w:val="007412EF"/>
    <w:rsid w:val="00741726"/>
    <w:rsid w:val="00741AF0"/>
    <w:rsid w:val="00742AAA"/>
    <w:rsid w:val="00742B98"/>
    <w:rsid w:val="00743440"/>
    <w:rsid w:val="007437FB"/>
    <w:rsid w:val="007445A3"/>
    <w:rsid w:val="00744E67"/>
    <w:rsid w:val="007458E8"/>
    <w:rsid w:val="0074691C"/>
    <w:rsid w:val="00746B4F"/>
    <w:rsid w:val="00746D99"/>
    <w:rsid w:val="0074735D"/>
    <w:rsid w:val="0074748A"/>
    <w:rsid w:val="007474DA"/>
    <w:rsid w:val="0074794F"/>
    <w:rsid w:val="00750AE8"/>
    <w:rsid w:val="0075197A"/>
    <w:rsid w:val="00753549"/>
    <w:rsid w:val="00753DB2"/>
    <w:rsid w:val="0075523E"/>
    <w:rsid w:val="00755697"/>
    <w:rsid w:val="00755D35"/>
    <w:rsid w:val="007560C8"/>
    <w:rsid w:val="00756A6B"/>
    <w:rsid w:val="00756BC6"/>
    <w:rsid w:val="007571C8"/>
    <w:rsid w:val="007573F8"/>
    <w:rsid w:val="00757773"/>
    <w:rsid w:val="00757ABC"/>
    <w:rsid w:val="007606AD"/>
    <w:rsid w:val="007607E2"/>
    <w:rsid w:val="00760D3C"/>
    <w:rsid w:val="00761202"/>
    <w:rsid w:val="007614A5"/>
    <w:rsid w:val="0076199C"/>
    <w:rsid w:val="00762B04"/>
    <w:rsid w:val="00762BE5"/>
    <w:rsid w:val="00762DB3"/>
    <w:rsid w:val="007647D0"/>
    <w:rsid w:val="00764875"/>
    <w:rsid w:val="00765536"/>
    <w:rsid w:val="00765D70"/>
    <w:rsid w:val="00766118"/>
    <w:rsid w:val="00767307"/>
    <w:rsid w:val="00767E76"/>
    <w:rsid w:val="0077009E"/>
    <w:rsid w:val="007708F4"/>
    <w:rsid w:val="00770A19"/>
    <w:rsid w:val="00770C84"/>
    <w:rsid w:val="00770E72"/>
    <w:rsid w:val="00770F53"/>
    <w:rsid w:val="00771A01"/>
    <w:rsid w:val="00771CDE"/>
    <w:rsid w:val="00771F08"/>
    <w:rsid w:val="00772037"/>
    <w:rsid w:val="0077346D"/>
    <w:rsid w:val="00773658"/>
    <w:rsid w:val="00773D89"/>
    <w:rsid w:val="00774A37"/>
    <w:rsid w:val="00774A61"/>
    <w:rsid w:val="007755D5"/>
    <w:rsid w:val="00776CD5"/>
    <w:rsid w:val="0077738A"/>
    <w:rsid w:val="007773EC"/>
    <w:rsid w:val="007805C8"/>
    <w:rsid w:val="0078186F"/>
    <w:rsid w:val="0078206E"/>
    <w:rsid w:val="007824D3"/>
    <w:rsid w:val="00783916"/>
    <w:rsid w:val="00784E9C"/>
    <w:rsid w:val="007851F5"/>
    <w:rsid w:val="00785361"/>
    <w:rsid w:val="00785C69"/>
    <w:rsid w:val="00785F3E"/>
    <w:rsid w:val="007869AA"/>
    <w:rsid w:val="00787484"/>
    <w:rsid w:val="0079053A"/>
    <w:rsid w:val="00791C42"/>
    <w:rsid w:val="007921B2"/>
    <w:rsid w:val="00792248"/>
    <w:rsid w:val="007926B1"/>
    <w:rsid w:val="00793223"/>
    <w:rsid w:val="007936D5"/>
    <w:rsid w:val="00793FB8"/>
    <w:rsid w:val="00794360"/>
    <w:rsid w:val="007952D2"/>
    <w:rsid w:val="007958D1"/>
    <w:rsid w:val="00795C50"/>
    <w:rsid w:val="00796A2D"/>
    <w:rsid w:val="00797D6B"/>
    <w:rsid w:val="007A01FE"/>
    <w:rsid w:val="007A0EC9"/>
    <w:rsid w:val="007A18B7"/>
    <w:rsid w:val="007A2C01"/>
    <w:rsid w:val="007A2D78"/>
    <w:rsid w:val="007A35E9"/>
    <w:rsid w:val="007A391C"/>
    <w:rsid w:val="007A43F8"/>
    <w:rsid w:val="007A4D04"/>
    <w:rsid w:val="007A4F97"/>
    <w:rsid w:val="007A5057"/>
    <w:rsid w:val="007A656E"/>
    <w:rsid w:val="007A6D96"/>
    <w:rsid w:val="007B02E1"/>
    <w:rsid w:val="007B0311"/>
    <w:rsid w:val="007B0EBD"/>
    <w:rsid w:val="007B1A89"/>
    <w:rsid w:val="007B1B4D"/>
    <w:rsid w:val="007B1D48"/>
    <w:rsid w:val="007B1FD0"/>
    <w:rsid w:val="007B3276"/>
    <w:rsid w:val="007B3FDA"/>
    <w:rsid w:val="007B4902"/>
    <w:rsid w:val="007B5551"/>
    <w:rsid w:val="007B6035"/>
    <w:rsid w:val="007B6861"/>
    <w:rsid w:val="007B6A68"/>
    <w:rsid w:val="007B6D02"/>
    <w:rsid w:val="007B7D74"/>
    <w:rsid w:val="007B7E6C"/>
    <w:rsid w:val="007C01CD"/>
    <w:rsid w:val="007C0434"/>
    <w:rsid w:val="007C08CB"/>
    <w:rsid w:val="007C098A"/>
    <w:rsid w:val="007C265C"/>
    <w:rsid w:val="007C26C3"/>
    <w:rsid w:val="007C3185"/>
    <w:rsid w:val="007C34AD"/>
    <w:rsid w:val="007C3DF5"/>
    <w:rsid w:val="007C406F"/>
    <w:rsid w:val="007C4142"/>
    <w:rsid w:val="007C4A08"/>
    <w:rsid w:val="007C4B42"/>
    <w:rsid w:val="007C6DB9"/>
    <w:rsid w:val="007C6ED9"/>
    <w:rsid w:val="007C74C9"/>
    <w:rsid w:val="007C78DB"/>
    <w:rsid w:val="007C79D5"/>
    <w:rsid w:val="007C7DF9"/>
    <w:rsid w:val="007D150B"/>
    <w:rsid w:val="007D1530"/>
    <w:rsid w:val="007D1862"/>
    <w:rsid w:val="007D2657"/>
    <w:rsid w:val="007D283D"/>
    <w:rsid w:val="007D2A2D"/>
    <w:rsid w:val="007D320E"/>
    <w:rsid w:val="007D3866"/>
    <w:rsid w:val="007D3A37"/>
    <w:rsid w:val="007D43E7"/>
    <w:rsid w:val="007D4545"/>
    <w:rsid w:val="007D4AB7"/>
    <w:rsid w:val="007D5821"/>
    <w:rsid w:val="007D5F18"/>
    <w:rsid w:val="007D6060"/>
    <w:rsid w:val="007D6A03"/>
    <w:rsid w:val="007E0DA5"/>
    <w:rsid w:val="007E13DA"/>
    <w:rsid w:val="007E18BC"/>
    <w:rsid w:val="007E2D04"/>
    <w:rsid w:val="007E30B0"/>
    <w:rsid w:val="007E35F9"/>
    <w:rsid w:val="007E3E7A"/>
    <w:rsid w:val="007E464F"/>
    <w:rsid w:val="007E4A33"/>
    <w:rsid w:val="007E4B28"/>
    <w:rsid w:val="007E5FE1"/>
    <w:rsid w:val="007E61E5"/>
    <w:rsid w:val="007E688C"/>
    <w:rsid w:val="007E7E3A"/>
    <w:rsid w:val="007F0A93"/>
    <w:rsid w:val="007F0BC0"/>
    <w:rsid w:val="007F13D2"/>
    <w:rsid w:val="007F1B9A"/>
    <w:rsid w:val="007F1FF8"/>
    <w:rsid w:val="007F239B"/>
    <w:rsid w:val="007F26F3"/>
    <w:rsid w:val="007F2CCD"/>
    <w:rsid w:val="007F3279"/>
    <w:rsid w:val="007F340E"/>
    <w:rsid w:val="007F397C"/>
    <w:rsid w:val="007F4092"/>
    <w:rsid w:val="007F4E40"/>
    <w:rsid w:val="007F5B89"/>
    <w:rsid w:val="007F5C8E"/>
    <w:rsid w:val="007F689E"/>
    <w:rsid w:val="007F6DBA"/>
    <w:rsid w:val="007F7FDE"/>
    <w:rsid w:val="0080010D"/>
    <w:rsid w:val="008011AD"/>
    <w:rsid w:val="008017F1"/>
    <w:rsid w:val="00802F21"/>
    <w:rsid w:val="00803AB0"/>
    <w:rsid w:val="00803AEC"/>
    <w:rsid w:val="00803B3C"/>
    <w:rsid w:val="00805825"/>
    <w:rsid w:val="008058DE"/>
    <w:rsid w:val="00806000"/>
    <w:rsid w:val="00806223"/>
    <w:rsid w:val="0080636B"/>
    <w:rsid w:val="00806906"/>
    <w:rsid w:val="008072DE"/>
    <w:rsid w:val="0081090E"/>
    <w:rsid w:val="00811ACD"/>
    <w:rsid w:val="00812E7C"/>
    <w:rsid w:val="0081329F"/>
    <w:rsid w:val="00814E49"/>
    <w:rsid w:val="00815134"/>
    <w:rsid w:val="00815756"/>
    <w:rsid w:val="00815B34"/>
    <w:rsid w:val="00815D12"/>
    <w:rsid w:val="00815E0B"/>
    <w:rsid w:val="0081617D"/>
    <w:rsid w:val="00816446"/>
    <w:rsid w:val="00817AB9"/>
    <w:rsid w:val="00817CBA"/>
    <w:rsid w:val="008201A8"/>
    <w:rsid w:val="00820816"/>
    <w:rsid w:val="00820B81"/>
    <w:rsid w:val="00821DAA"/>
    <w:rsid w:val="0082242C"/>
    <w:rsid w:val="0082276B"/>
    <w:rsid w:val="00822AD7"/>
    <w:rsid w:val="00823256"/>
    <w:rsid w:val="008239DE"/>
    <w:rsid w:val="00823C09"/>
    <w:rsid w:val="00823D57"/>
    <w:rsid w:val="00823E43"/>
    <w:rsid w:val="00824326"/>
    <w:rsid w:val="00824707"/>
    <w:rsid w:val="00824AE6"/>
    <w:rsid w:val="00826191"/>
    <w:rsid w:val="00826F5E"/>
    <w:rsid w:val="0082748F"/>
    <w:rsid w:val="0082767C"/>
    <w:rsid w:val="00827763"/>
    <w:rsid w:val="0082798F"/>
    <w:rsid w:val="00827C60"/>
    <w:rsid w:val="008300E6"/>
    <w:rsid w:val="008302BB"/>
    <w:rsid w:val="008309C5"/>
    <w:rsid w:val="0083163A"/>
    <w:rsid w:val="0083215A"/>
    <w:rsid w:val="00832183"/>
    <w:rsid w:val="00832D85"/>
    <w:rsid w:val="00832FFB"/>
    <w:rsid w:val="0083343E"/>
    <w:rsid w:val="008339F6"/>
    <w:rsid w:val="00833ACF"/>
    <w:rsid w:val="00835A29"/>
    <w:rsid w:val="0083625E"/>
    <w:rsid w:val="00836A1C"/>
    <w:rsid w:val="00836B15"/>
    <w:rsid w:val="0083703E"/>
    <w:rsid w:val="008371E5"/>
    <w:rsid w:val="00840FBA"/>
    <w:rsid w:val="008413E9"/>
    <w:rsid w:val="0084191C"/>
    <w:rsid w:val="00841D5D"/>
    <w:rsid w:val="008429EC"/>
    <w:rsid w:val="00842A1C"/>
    <w:rsid w:val="0084303B"/>
    <w:rsid w:val="00843BBB"/>
    <w:rsid w:val="00843EBD"/>
    <w:rsid w:val="00845052"/>
    <w:rsid w:val="00845912"/>
    <w:rsid w:val="00845933"/>
    <w:rsid w:val="008460C9"/>
    <w:rsid w:val="00846280"/>
    <w:rsid w:val="00846A5A"/>
    <w:rsid w:val="00846BE5"/>
    <w:rsid w:val="00846D5C"/>
    <w:rsid w:val="00846EF2"/>
    <w:rsid w:val="008475F8"/>
    <w:rsid w:val="0084769B"/>
    <w:rsid w:val="00847939"/>
    <w:rsid w:val="0085055B"/>
    <w:rsid w:val="008518C6"/>
    <w:rsid w:val="008519E8"/>
    <w:rsid w:val="00852244"/>
    <w:rsid w:val="00852470"/>
    <w:rsid w:val="0085396D"/>
    <w:rsid w:val="008539E2"/>
    <w:rsid w:val="00854031"/>
    <w:rsid w:val="00854DC2"/>
    <w:rsid w:val="00854DD7"/>
    <w:rsid w:val="008557EA"/>
    <w:rsid w:val="00855FC4"/>
    <w:rsid w:val="008562A2"/>
    <w:rsid w:val="00856509"/>
    <w:rsid w:val="008576FC"/>
    <w:rsid w:val="00860389"/>
    <w:rsid w:val="00861A75"/>
    <w:rsid w:val="00862C45"/>
    <w:rsid w:val="00862E62"/>
    <w:rsid w:val="00863074"/>
    <w:rsid w:val="0086358B"/>
    <w:rsid w:val="008638F7"/>
    <w:rsid w:val="00864EC2"/>
    <w:rsid w:val="008654ED"/>
    <w:rsid w:val="00865AE5"/>
    <w:rsid w:val="00865C58"/>
    <w:rsid w:val="008662D1"/>
    <w:rsid w:val="008664FE"/>
    <w:rsid w:val="00867CCD"/>
    <w:rsid w:val="00870348"/>
    <w:rsid w:val="00870456"/>
    <w:rsid w:val="00871BA7"/>
    <w:rsid w:val="008720D7"/>
    <w:rsid w:val="00872B70"/>
    <w:rsid w:val="00872C69"/>
    <w:rsid w:val="008731F4"/>
    <w:rsid w:val="008732C5"/>
    <w:rsid w:val="008734E1"/>
    <w:rsid w:val="0087357B"/>
    <w:rsid w:val="008738FB"/>
    <w:rsid w:val="00873CB5"/>
    <w:rsid w:val="00873FF2"/>
    <w:rsid w:val="0087402E"/>
    <w:rsid w:val="00874C8B"/>
    <w:rsid w:val="00875154"/>
    <w:rsid w:val="008753AF"/>
    <w:rsid w:val="00875F77"/>
    <w:rsid w:val="0087663E"/>
    <w:rsid w:val="00877596"/>
    <w:rsid w:val="008775BE"/>
    <w:rsid w:val="00877CCE"/>
    <w:rsid w:val="00880152"/>
    <w:rsid w:val="0088017C"/>
    <w:rsid w:val="008802CB"/>
    <w:rsid w:val="0088136E"/>
    <w:rsid w:val="00881D25"/>
    <w:rsid w:val="00882ABD"/>
    <w:rsid w:val="008830F5"/>
    <w:rsid w:val="00883594"/>
    <w:rsid w:val="008839D0"/>
    <w:rsid w:val="0088459C"/>
    <w:rsid w:val="00884813"/>
    <w:rsid w:val="00884AFD"/>
    <w:rsid w:val="00884FF9"/>
    <w:rsid w:val="008855AA"/>
    <w:rsid w:val="00885D7B"/>
    <w:rsid w:val="008864CD"/>
    <w:rsid w:val="008872A9"/>
    <w:rsid w:val="00887997"/>
    <w:rsid w:val="008879AF"/>
    <w:rsid w:val="0089039B"/>
    <w:rsid w:val="00890753"/>
    <w:rsid w:val="00891733"/>
    <w:rsid w:val="0089215A"/>
    <w:rsid w:val="00892825"/>
    <w:rsid w:val="00892B6B"/>
    <w:rsid w:val="00892C9E"/>
    <w:rsid w:val="0089333A"/>
    <w:rsid w:val="0089392F"/>
    <w:rsid w:val="008948A9"/>
    <w:rsid w:val="00894B27"/>
    <w:rsid w:val="008955AB"/>
    <w:rsid w:val="00895A68"/>
    <w:rsid w:val="00895D1E"/>
    <w:rsid w:val="00896CD2"/>
    <w:rsid w:val="00896E3F"/>
    <w:rsid w:val="00896F70"/>
    <w:rsid w:val="008971CC"/>
    <w:rsid w:val="00897626"/>
    <w:rsid w:val="00897AA2"/>
    <w:rsid w:val="008A1F58"/>
    <w:rsid w:val="008A262F"/>
    <w:rsid w:val="008A27DD"/>
    <w:rsid w:val="008A2BFA"/>
    <w:rsid w:val="008A2E8D"/>
    <w:rsid w:val="008A2F14"/>
    <w:rsid w:val="008A33C4"/>
    <w:rsid w:val="008A3ADD"/>
    <w:rsid w:val="008A3D1B"/>
    <w:rsid w:val="008A3D6E"/>
    <w:rsid w:val="008A3F84"/>
    <w:rsid w:val="008A44FF"/>
    <w:rsid w:val="008A4633"/>
    <w:rsid w:val="008A48E7"/>
    <w:rsid w:val="008A4932"/>
    <w:rsid w:val="008A4AC3"/>
    <w:rsid w:val="008A4FD2"/>
    <w:rsid w:val="008A5452"/>
    <w:rsid w:val="008A57A7"/>
    <w:rsid w:val="008B04D1"/>
    <w:rsid w:val="008B14D5"/>
    <w:rsid w:val="008B1720"/>
    <w:rsid w:val="008B17BC"/>
    <w:rsid w:val="008B2F16"/>
    <w:rsid w:val="008B3239"/>
    <w:rsid w:val="008B3992"/>
    <w:rsid w:val="008B3A7B"/>
    <w:rsid w:val="008B3B7B"/>
    <w:rsid w:val="008B568D"/>
    <w:rsid w:val="008B60F2"/>
    <w:rsid w:val="008B6303"/>
    <w:rsid w:val="008B6436"/>
    <w:rsid w:val="008B7397"/>
    <w:rsid w:val="008B75F8"/>
    <w:rsid w:val="008B7868"/>
    <w:rsid w:val="008B7A16"/>
    <w:rsid w:val="008B7F15"/>
    <w:rsid w:val="008C0455"/>
    <w:rsid w:val="008C0491"/>
    <w:rsid w:val="008C08F3"/>
    <w:rsid w:val="008C15A2"/>
    <w:rsid w:val="008C1737"/>
    <w:rsid w:val="008C1C66"/>
    <w:rsid w:val="008C211E"/>
    <w:rsid w:val="008C22B0"/>
    <w:rsid w:val="008C26A2"/>
    <w:rsid w:val="008C26CD"/>
    <w:rsid w:val="008C2C80"/>
    <w:rsid w:val="008C41CD"/>
    <w:rsid w:val="008C4D64"/>
    <w:rsid w:val="008C4E81"/>
    <w:rsid w:val="008C56C8"/>
    <w:rsid w:val="008C57F2"/>
    <w:rsid w:val="008C6312"/>
    <w:rsid w:val="008C67D6"/>
    <w:rsid w:val="008C724D"/>
    <w:rsid w:val="008C72C3"/>
    <w:rsid w:val="008C7573"/>
    <w:rsid w:val="008D07E9"/>
    <w:rsid w:val="008D1752"/>
    <w:rsid w:val="008D2169"/>
    <w:rsid w:val="008D2843"/>
    <w:rsid w:val="008D3C7A"/>
    <w:rsid w:val="008D4701"/>
    <w:rsid w:val="008D4C20"/>
    <w:rsid w:val="008D4F07"/>
    <w:rsid w:val="008D5216"/>
    <w:rsid w:val="008D5A72"/>
    <w:rsid w:val="008D6924"/>
    <w:rsid w:val="008D7400"/>
    <w:rsid w:val="008D7E72"/>
    <w:rsid w:val="008E02EC"/>
    <w:rsid w:val="008E05AD"/>
    <w:rsid w:val="008E07D6"/>
    <w:rsid w:val="008E0988"/>
    <w:rsid w:val="008E0D1F"/>
    <w:rsid w:val="008E2F44"/>
    <w:rsid w:val="008E37AF"/>
    <w:rsid w:val="008E385A"/>
    <w:rsid w:val="008E391C"/>
    <w:rsid w:val="008E3F78"/>
    <w:rsid w:val="008E42FF"/>
    <w:rsid w:val="008E485A"/>
    <w:rsid w:val="008E4A48"/>
    <w:rsid w:val="008E4EC1"/>
    <w:rsid w:val="008E58C3"/>
    <w:rsid w:val="008E593F"/>
    <w:rsid w:val="008E6973"/>
    <w:rsid w:val="008E69D6"/>
    <w:rsid w:val="008F12AB"/>
    <w:rsid w:val="008F204B"/>
    <w:rsid w:val="008F2176"/>
    <w:rsid w:val="008F2456"/>
    <w:rsid w:val="008F2B70"/>
    <w:rsid w:val="008F3EF6"/>
    <w:rsid w:val="008F4B2D"/>
    <w:rsid w:val="008F4DEA"/>
    <w:rsid w:val="008F54B2"/>
    <w:rsid w:val="008F55DC"/>
    <w:rsid w:val="008F5628"/>
    <w:rsid w:val="008F5853"/>
    <w:rsid w:val="008F5F1E"/>
    <w:rsid w:val="008F7FDC"/>
    <w:rsid w:val="00900D36"/>
    <w:rsid w:val="0090165F"/>
    <w:rsid w:val="00901D8E"/>
    <w:rsid w:val="0090270C"/>
    <w:rsid w:val="00902E1B"/>
    <w:rsid w:val="00902F85"/>
    <w:rsid w:val="0090324B"/>
    <w:rsid w:val="009043B4"/>
    <w:rsid w:val="00904C61"/>
    <w:rsid w:val="009060D4"/>
    <w:rsid w:val="0090619E"/>
    <w:rsid w:val="00906D38"/>
    <w:rsid w:val="00907521"/>
    <w:rsid w:val="00907829"/>
    <w:rsid w:val="009107A3"/>
    <w:rsid w:val="00910B46"/>
    <w:rsid w:val="009113C8"/>
    <w:rsid w:val="00911728"/>
    <w:rsid w:val="00911A3C"/>
    <w:rsid w:val="00911D9F"/>
    <w:rsid w:val="009125D2"/>
    <w:rsid w:val="00912EA9"/>
    <w:rsid w:val="00912FE5"/>
    <w:rsid w:val="009133C4"/>
    <w:rsid w:val="00913935"/>
    <w:rsid w:val="00913C01"/>
    <w:rsid w:val="00914413"/>
    <w:rsid w:val="00914A20"/>
    <w:rsid w:val="00914B3B"/>
    <w:rsid w:val="00914DCA"/>
    <w:rsid w:val="00915D56"/>
    <w:rsid w:val="009163AD"/>
    <w:rsid w:val="009164B0"/>
    <w:rsid w:val="00917366"/>
    <w:rsid w:val="00920270"/>
    <w:rsid w:val="0092078F"/>
    <w:rsid w:val="00920A2D"/>
    <w:rsid w:val="0092134A"/>
    <w:rsid w:val="00921522"/>
    <w:rsid w:val="0092204C"/>
    <w:rsid w:val="009229CB"/>
    <w:rsid w:val="00922FE4"/>
    <w:rsid w:val="009232DC"/>
    <w:rsid w:val="00923448"/>
    <w:rsid w:val="0092483F"/>
    <w:rsid w:val="0092515E"/>
    <w:rsid w:val="00925338"/>
    <w:rsid w:val="0092542B"/>
    <w:rsid w:val="009258BB"/>
    <w:rsid w:val="00931033"/>
    <w:rsid w:val="009319B3"/>
    <w:rsid w:val="00931B2F"/>
    <w:rsid w:val="00931ECE"/>
    <w:rsid w:val="00932304"/>
    <w:rsid w:val="0093406F"/>
    <w:rsid w:val="009349E5"/>
    <w:rsid w:val="00934D83"/>
    <w:rsid w:val="00934F5D"/>
    <w:rsid w:val="00935331"/>
    <w:rsid w:val="009357CF"/>
    <w:rsid w:val="00935AA2"/>
    <w:rsid w:val="00935BB8"/>
    <w:rsid w:val="0093607C"/>
    <w:rsid w:val="00936C74"/>
    <w:rsid w:val="00936F11"/>
    <w:rsid w:val="009373DF"/>
    <w:rsid w:val="00937917"/>
    <w:rsid w:val="00937A1D"/>
    <w:rsid w:val="00940C97"/>
    <w:rsid w:val="00940C98"/>
    <w:rsid w:val="00941601"/>
    <w:rsid w:val="00941B24"/>
    <w:rsid w:val="0094229E"/>
    <w:rsid w:val="009425BF"/>
    <w:rsid w:val="0094332B"/>
    <w:rsid w:val="009436AC"/>
    <w:rsid w:val="009437FA"/>
    <w:rsid w:val="00943DAA"/>
    <w:rsid w:val="00944F8E"/>
    <w:rsid w:val="009456F2"/>
    <w:rsid w:val="00945DFF"/>
    <w:rsid w:val="0094630D"/>
    <w:rsid w:val="0094667E"/>
    <w:rsid w:val="00946903"/>
    <w:rsid w:val="00946D75"/>
    <w:rsid w:val="00946F42"/>
    <w:rsid w:val="00947253"/>
    <w:rsid w:val="00947900"/>
    <w:rsid w:val="0094799D"/>
    <w:rsid w:val="00947B1C"/>
    <w:rsid w:val="0095050E"/>
    <w:rsid w:val="00950529"/>
    <w:rsid w:val="00950635"/>
    <w:rsid w:val="009518AF"/>
    <w:rsid w:val="00951E1A"/>
    <w:rsid w:val="0095358D"/>
    <w:rsid w:val="00953BE6"/>
    <w:rsid w:val="00954AEB"/>
    <w:rsid w:val="009553AF"/>
    <w:rsid w:val="00956A58"/>
    <w:rsid w:val="00956C2D"/>
    <w:rsid w:val="009573FB"/>
    <w:rsid w:val="009603D9"/>
    <w:rsid w:val="0096043F"/>
    <w:rsid w:val="00960785"/>
    <w:rsid w:val="00960B2D"/>
    <w:rsid w:val="00961AC5"/>
    <w:rsid w:val="009625E6"/>
    <w:rsid w:val="00962BD5"/>
    <w:rsid w:val="00962C5E"/>
    <w:rsid w:val="009641C0"/>
    <w:rsid w:val="00964865"/>
    <w:rsid w:val="00965D49"/>
    <w:rsid w:val="0096607D"/>
    <w:rsid w:val="00967539"/>
    <w:rsid w:val="0096774A"/>
    <w:rsid w:val="009715D2"/>
    <w:rsid w:val="00971EF0"/>
    <w:rsid w:val="00972138"/>
    <w:rsid w:val="00972B21"/>
    <w:rsid w:val="009748DC"/>
    <w:rsid w:val="009751B5"/>
    <w:rsid w:val="00975243"/>
    <w:rsid w:val="00975530"/>
    <w:rsid w:val="00976885"/>
    <w:rsid w:val="00977D5F"/>
    <w:rsid w:val="00980C31"/>
    <w:rsid w:val="00980D72"/>
    <w:rsid w:val="0098107A"/>
    <w:rsid w:val="009811E8"/>
    <w:rsid w:val="009813E5"/>
    <w:rsid w:val="0098147B"/>
    <w:rsid w:val="0098207F"/>
    <w:rsid w:val="009822E1"/>
    <w:rsid w:val="009830E0"/>
    <w:rsid w:val="00983931"/>
    <w:rsid w:val="00984B89"/>
    <w:rsid w:val="00985229"/>
    <w:rsid w:val="009858C9"/>
    <w:rsid w:val="00985B8A"/>
    <w:rsid w:val="0098714B"/>
    <w:rsid w:val="00987229"/>
    <w:rsid w:val="00990AC9"/>
    <w:rsid w:val="00991B6D"/>
    <w:rsid w:val="00991D81"/>
    <w:rsid w:val="009924C3"/>
    <w:rsid w:val="00992DFC"/>
    <w:rsid w:val="00993487"/>
    <w:rsid w:val="00993B23"/>
    <w:rsid w:val="00993DB1"/>
    <w:rsid w:val="009940A3"/>
    <w:rsid w:val="009947DC"/>
    <w:rsid w:val="00994B4B"/>
    <w:rsid w:val="00994B8B"/>
    <w:rsid w:val="00994D86"/>
    <w:rsid w:val="0099515F"/>
    <w:rsid w:val="00995209"/>
    <w:rsid w:val="0099679F"/>
    <w:rsid w:val="009971D1"/>
    <w:rsid w:val="0099766B"/>
    <w:rsid w:val="00997FBE"/>
    <w:rsid w:val="009A088E"/>
    <w:rsid w:val="009A0BB5"/>
    <w:rsid w:val="009A10F7"/>
    <w:rsid w:val="009A123D"/>
    <w:rsid w:val="009A1BC4"/>
    <w:rsid w:val="009A24B8"/>
    <w:rsid w:val="009A2628"/>
    <w:rsid w:val="009A27A2"/>
    <w:rsid w:val="009A3064"/>
    <w:rsid w:val="009A3322"/>
    <w:rsid w:val="009A3527"/>
    <w:rsid w:val="009A35D9"/>
    <w:rsid w:val="009A4952"/>
    <w:rsid w:val="009A5811"/>
    <w:rsid w:val="009A5CC5"/>
    <w:rsid w:val="009A5F16"/>
    <w:rsid w:val="009A61BA"/>
    <w:rsid w:val="009A640D"/>
    <w:rsid w:val="009A6AD0"/>
    <w:rsid w:val="009A73CE"/>
    <w:rsid w:val="009A7F18"/>
    <w:rsid w:val="009B0404"/>
    <w:rsid w:val="009B071D"/>
    <w:rsid w:val="009B15F3"/>
    <w:rsid w:val="009B23F9"/>
    <w:rsid w:val="009B32B1"/>
    <w:rsid w:val="009B3FF2"/>
    <w:rsid w:val="009B5709"/>
    <w:rsid w:val="009B6563"/>
    <w:rsid w:val="009B682D"/>
    <w:rsid w:val="009B696E"/>
    <w:rsid w:val="009B7449"/>
    <w:rsid w:val="009C002B"/>
    <w:rsid w:val="009C07BC"/>
    <w:rsid w:val="009C0D0B"/>
    <w:rsid w:val="009C1058"/>
    <w:rsid w:val="009C19B9"/>
    <w:rsid w:val="009C1DBB"/>
    <w:rsid w:val="009C2EA8"/>
    <w:rsid w:val="009C3A5D"/>
    <w:rsid w:val="009C4FE1"/>
    <w:rsid w:val="009C5635"/>
    <w:rsid w:val="009C56CB"/>
    <w:rsid w:val="009C57FD"/>
    <w:rsid w:val="009C64B5"/>
    <w:rsid w:val="009C6BAC"/>
    <w:rsid w:val="009C6BF4"/>
    <w:rsid w:val="009D025C"/>
    <w:rsid w:val="009D1153"/>
    <w:rsid w:val="009D1920"/>
    <w:rsid w:val="009D25FD"/>
    <w:rsid w:val="009D29FB"/>
    <w:rsid w:val="009D329B"/>
    <w:rsid w:val="009D3BED"/>
    <w:rsid w:val="009D4136"/>
    <w:rsid w:val="009D4AA8"/>
    <w:rsid w:val="009D5144"/>
    <w:rsid w:val="009D60D0"/>
    <w:rsid w:val="009D60E7"/>
    <w:rsid w:val="009D6173"/>
    <w:rsid w:val="009D657B"/>
    <w:rsid w:val="009D6725"/>
    <w:rsid w:val="009D6B0D"/>
    <w:rsid w:val="009D6B16"/>
    <w:rsid w:val="009D6F85"/>
    <w:rsid w:val="009D6FFA"/>
    <w:rsid w:val="009D7FE8"/>
    <w:rsid w:val="009E0009"/>
    <w:rsid w:val="009E0AA2"/>
    <w:rsid w:val="009E0D76"/>
    <w:rsid w:val="009E1170"/>
    <w:rsid w:val="009E1CAF"/>
    <w:rsid w:val="009E1E32"/>
    <w:rsid w:val="009E3175"/>
    <w:rsid w:val="009E3922"/>
    <w:rsid w:val="009E3CFB"/>
    <w:rsid w:val="009E430F"/>
    <w:rsid w:val="009E6503"/>
    <w:rsid w:val="009E653F"/>
    <w:rsid w:val="009E6B57"/>
    <w:rsid w:val="009E71D5"/>
    <w:rsid w:val="009F11BF"/>
    <w:rsid w:val="009F1638"/>
    <w:rsid w:val="009F2B6C"/>
    <w:rsid w:val="009F33C9"/>
    <w:rsid w:val="009F3992"/>
    <w:rsid w:val="009F3B1E"/>
    <w:rsid w:val="009F3D31"/>
    <w:rsid w:val="009F3DB1"/>
    <w:rsid w:val="009F42C5"/>
    <w:rsid w:val="009F47C8"/>
    <w:rsid w:val="009F4C9B"/>
    <w:rsid w:val="009F524E"/>
    <w:rsid w:val="009F6B8B"/>
    <w:rsid w:val="009F7AE7"/>
    <w:rsid w:val="00A00779"/>
    <w:rsid w:val="00A00F65"/>
    <w:rsid w:val="00A0123F"/>
    <w:rsid w:val="00A02BD8"/>
    <w:rsid w:val="00A031D7"/>
    <w:rsid w:val="00A034F0"/>
    <w:rsid w:val="00A035CE"/>
    <w:rsid w:val="00A039CF"/>
    <w:rsid w:val="00A04380"/>
    <w:rsid w:val="00A04434"/>
    <w:rsid w:val="00A05378"/>
    <w:rsid w:val="00A05639"/>
    <w:rsid w:val="00A0564B"/>
    <w:rsid w:val="00A059FA"/>
    <w:rsid w:val="00A05DC7"/>
    <w:rsid w:val="00A06626"/>
    <w:rsid w:val="00A079E3"/>
    <w:rsid w:val="00A07BE0"/>
    <w:rsid w:val="00A109C1"/>
    <w:rsid w:val="00A10B6E"/>
    <w:rsid w:val="00A10C79"/>
    <w:rsid w:val="00A10D37"/>
    <w:rsid w:val="00A10F7B"/>
    <w:rsid w:val="00A11BE9"/>
    <w:rsid w:val="00A1208D"/>
    <w:rsid w:val="00A1279A"/>
    <w:rsid w:val="00A13210"/>
    <w:rsid w:val="00A13655"/>
    <w:rsid w:val="00A14043"/>
    <w:rsid w:val="00A1428B"/>
    <w:rsid w:val="00A15E20"/>
    <w:rsid w:val="00A17AEA"/>
    <w:rsid w:val="00A2099E"/>
    <w:rsid w:val="00A20A6A"/>
    <w:rsid w:val="00A21DAD"/>
    <w:rsid w:val="00A2222B"/>
    <w:rsid w:val="00A22AE6"/>
    <w:rsid w:val="00A22DF5"/>
    <w:rsid w:val="00A23892"/>
    <w:rsid w:val="00A23D9F"/>
    <w:rsid w:val="00A2448A"/>
    <w:rsid w:val="00A26748"/>
    <w:rsid w:val="00A272CE"/>
    <w:rsid w:val="00A27571"/>
    <w:rsid w:val="00A276F5"/>
    <w:rsid w:val="00A27903"/>
    <w:rsid w:val="00A3093A"/>
    <w:rsid w:val="00A31A6A"/>
    <w:rsid w:val="00A32153"/>
    <w:rsid w:val="00A32910"/>
    <w:rsid w:val="00A3294E"/>
    <w:rsid w:val="00A332B2"/>
    <w:rsid w:val="00A336A8"/>
    <w:rsid w:val="00A337CD"/>
    <w:rsid w:val="00A338DE"/>
    <w:rsid w:val="00A34693"/>
    <w:rsid w:val="00A34729"/>
    <w:rsid w:val="00A347B1"/>
    <w:rsid w:val="00A353B9"/>
    <w:rsid w:val="00A361A2"/>
    <w:rsid w:val="00A36381"/>
    <w:rsid w:val="00A37948"/>
    <w:rsid w:val="00A37BD0"/>
    <w:rsid w:val="00A4034C"/>
    <w:rsid w:val="00A409E7"/>
    <w:rsid w:val="00A41584"/>
    <w:rsid w:val="00A419BD"/>
    <w:rsid w:val="00A426CB"/>
    <w:rsid w:val="00A42C7F"/>
    <w:rsid w:val="00A42C82"/>
    <w:rsid w:val="00A436A1"/>
    <w:rsid w:val="00A439DF"/>
    <w:rsid w:val="00A43BB4"/>
    <w:rsid w:val="00A44229"/>
    <w:rsid w:val="00A44862"/>
    <w:rsid w:val="00A44F37"/>
    <w:rsid w:val="00A45229"/>
    <w:rsid w:val="00A45A93"/>
    <w:rsid w:val="00A45C0A"/>
    <w:rsid w:val="00A463F4"/>
    <w:rsid w:val="00A473C8"/>
    <w:rsid w:val="00A4745C"/>
    <w:rsid w:val="00A5082E"/>
    <w:rsid w:val="00A508FA"/>
    <w:rsid w:val="00A50E03"/>
    <w:rsid w:val="00A51190"/>
    <w:rsid w:val="00A5274A"/>
    <w:rsid w:val="00A529E2"/>
    <w:rsid w:val="00A52A96"/>
    <w:rsid w:val="00A53A42"/>
    <w:rsid w:val="00A546DC"/>
    <w:rsid w:val="00A554BE"/>
    <w:rsid w:val="00A55ACD"/>
    <w:rsid w:val="00A561FA"/>
    <w:rsid w:val="00A570FA"/>
    <w:rsid w:val="00A57720"/>
    <w:rsid w:val="00A60B7C"/>
    <w:rsid w:val="00A60CA8"/>
    <w:rsid w:val="00A6120C"/>
    <w:rsid w:val="00A61564"/>
    <w:rsid w:val="00A62486"/>
    <w:rsid w:val="00A63D08"/>
    <w:rsid w:val="00A64448"/>
    <w:rsid w:val="00A646E0"/>
    <w:rsid w:val="00A653F6"/>
    <w:rsid w:val="00A66635"/>
    <w:rsid w:val="00A67291"/>
    <w:rsid w:val="00A70677"/>
    <w:rsid w:val="00A719FC"/>
    <w:rsid w:val="00A71AE4"/>
    <w:rsid w:val="00A71F46"/>
    <w:rsid w:val="00A72075"/>
    <w:rsid w:val="00A72856"/>
    <w:rsid w:val="00A72C2E"/>
    <w:rsid w:val="00A736B3"/>
    <w:rsid w:val="00A73990"/>
    <w:rsid w:val="00A73AB5"/>
    <w:rsid w:val="00A7434C"/>
    <w:rsid w:val="00A744E7"/>
    <w:rsid w:val="00A74A23"/>
    <w:rsid w:val="00A74F1F"/>
    <w:rsid w:val="00A75390"/>
    <w:rsid w:val="00A7570C"/>
    <w:rsid w:val="00A761AB"/>
    <w:rsid w:val="00A76E3D"/>
    <w:rsid w:val="00A772E3"/>
    <w:rsid w:val="00A80587"/>
    <w:rsid w:val="00A80961"/>
    <w:rsid w:val="00A80B86"/>
    <w:rsid w:val="00A81D20"/>
    <w:rsid w:val="00A81ED5"/>
    <w:rsid w:val="00A8238E"/>
    <w:rsid w:val="00A825CB"/>
    <w:rsid w:val="00A82E07"/>
    <w:rsid w:val="00A842CC"/>
    <w:rsid w:val="00A843CD"/>
    <w:rsid w:val="00A845B9"/>
    <w:rsid w:val="00A84A7E"/>
    <w:rsid w:val="00A85825"/>
    <w:rsid w:val="00A85F7A"/>
    <w:rsid w:val="00A860FA"/>
    <w:rsid w:val="00A863BF"/>
    <w:rsid w:val="00A869DF"/>
    <w:rsid w:val="00A86E96"/>
    <w:rsid w:val="00A876BB"/>
    <w:rsid w:val="00A878D1"/>
    <w:rsid w:val="00A903AD"/>
    <w:rsid w:val="00A916BD"/>
    <w:rsid w:val="00A919E1"/>
    <w:rsid w:val="00A91D7B"/>
    <w:rsid w:val="00A9282C"/>
    <w:rsid w:val="00A93A6A"/>
    <w:rsid w:val="00A93FB2"/>
    <w:rsid w:val="00A9405B"/>
    <w:rsid w:val="00A94BA1"/>
    <w:rsid w:val="00A94D71"/>
    <w:rsid w:val="00A94EE0"/>
    <w:rsid w:val="00A94FA5"/>
    <w:rsid w:val="00A9546F"/>
    <w:rsid w:val="00A957C8"/>
    <w:rsid w:val="00A96353"/>
    <w:rsid w:val="00A97299"/>
    <w:rsid w:val="00A97C61"/>
    <w:rsid w:val="00AA04DA"/>
    <w:rsid w:val="00AA0A2D"/>
    <w:rsid w:val="00AA0DDC"/>
    <w:rsid w:val="00AA1A01"/>
    <w:rsid w:val="00AA24FD"/>
    <w:rsid w:val="00AA25A9"/>
    <w:rsid w:val="00AA3772"/>
    <w:rsid w:val="00AA3C8F"/>
    <w:rsid w:val="00AA41AB"/>
    <w:rsid w:val="00AA4446"/>
    <w:rsid w:val="00AA4C1D"/>
    <w:rsid w:val="00AA4D8F"/>
    <w:rsid w:val="00AA4F9D"/>
    <w:rsid w:val="00AA5EAD"/>
    <w:rsid w:val="00AA5EBA"/>
    <w:rsid w:val="00AA66DD"/>
    <w:rsid w:val="00AA6945"/>
    <w:rsid w:val="00AA6ACB"/>
    <w:rsid w:val="00AA6D0D"/>
    <w:rsid w:val="00AA7260"/>
    <w:rsid w:val="00AA72FC"/>
    <w:rsid w:val="00AB03EF"/>
    <w:rsid w:val="00AB047F"/>
    <w:rsid w:val="00AB0AF5"/>
    <w:rsid w:val="00AB2766"/>
    <w:rsid w:val="00AB3026"/>
    <w:rsid w:val="00AB4084"/>
    <w:rsid w:val="00AB4EF8"/>
    <w:rsid w:val="00AB52DA"/>
    <w:rsid w:val="00AB56BA"/>
    <w:rsid w:val="00AB5BB2"/>
    <w:rsid w:val="00AB62BD"/>
    <w:rsid w:val="00AB674A"/>
    <w:rsid w:val="00AB6B92"/>
    <w:rsid w:val="00AB7042"/>
    <w:rsid w:val="00AB71A2"/>
    <w:rsid w:val="00AC16BC"/>
    <w:rsid w:val="00AC171E"/>
    <w:rsid w:val="00AC254D"/>
    <w:rsid w:val="00AC53C9"/>
    <w:rsid w:val="00AC54D1"/>
    <w:rsid w:val="00AC5C70"/>
    <w:rsid w:val="00AC648D"/>
    <w:rsid w:val="00AC70A2"/>
    <w:rsid w:val="00AD044D"/>
    <w:rsid w:val="00AD047A"/>
    <w:rsid w:val="00AD0F7F"/>
    <w:rsid w:val="00AD126F"/>
    <w:rsid w:val="00AD135E"/>
    <w:rsid w:val="00AD1780"/>
    <w:rsid w:val="00AD185C"/>
    <w:rsid w:val="00AD1F83"/>
    <w:rsid w:val="00AD22DB"/>
    <w:rsid w:val="00AD296E"/>
    <w:rsid w:val="00AD39EF"/>
    <w:rsid w:val="00AD4469"/>
    <w:rsid w:val="00AD48A4"/>
    <w:rsid w:val="00AD4D17"/>
    <w:rsid w:val="00AD4F4B"/>
    <w:rsid w:val="00AD5159"/>
    <w:rsid w:val="00AD56F0"/>
    <w:rsid w:val="00AD59AF"/>
    <w:rsid w:val="00AD70BF"/>
    <w:rsid w:val="00AD72FB"/>
    <w:rsid w:val="00AE089F"/>
    <w:rsid w:val="00AE0C12"/>
    <w:rsid w:val="00AE171B"/>
    <w:rsid w:val="00AE28DA"/>
    <w:rsid w:val="00AE2CA3"/>
    <w:rsid w:val="00AE2E19"/>
    <w:rsid w:val="00AE4263"/>
    <w:rsid w:val="00AE4E5F"/>
    <w:rsid w:val="00AE5213"/>
    <w:rsid w:val="00AE6389"/>
    <w:rsid w:val="00AE651E"/>
    <w:rsid w:val="00AE6645"/>
    <w:rsid w:val="00AE7772"/>
    <w:rsid w:val="00AF037B"/>
    <w:rsid w:val="00AF1293"/>
    <w:rsid w:val="00AF18D1"/>
    <w:rsid w:val="00AF206B"/>
    <w:rsid w:val="00AF29EF"/>
    <w:rsid w:val="00AF2B71"/>
    <w:rsid w:val="00AF2E3E"/>
    <w:rsid w:val="00AF2ED7"/>
    <w:rsid w:val="00AF2F4C"/>
    <w:rsid w:val="00AF3932"/>
    <w:rsid w:val="00AF3D64"/>
    <w:rsid w:val="00AF4254"/>
    <w:rsid w:val="00AF4974"/>
    <w:rsid w:val="00AF4B4F"/>
    <w:rsid w:val="00AF4F4C"/>
    <w:rsid w:val="00AF5881"/>
    <w:rsid w:val="00AF6552"/>
    <w:rsid w:val="00AF7B8B"/>
    <w:rsid w:val="00B01324"/>
    <w:rsid w:val="00B0191D"/>
    <w:rsid w:val="00B02548"/>
    <w:rsid w:val="00B02F5A"/>
    <w:rsid w:val="00B0309F"/>
    <w:rsid w:val="00B03295"/>
    <w:rsid w:val="00B03824"/>
    <w:rsid w:val="00B04317"/>
    <w:rsid w:val="00B0461C"/>
    <w:rsid w:val="00B04984"/>
    <w:rsid w:val="00B0569C"/>
    <w:rsid w:val="00B0607A"/>
    <w:rsid w:val="00B06BDB"/>
    <w:rsid w:val="00B06CF5"/>
    <w:rsid w:val="00B07312"/>
    <w:rsid w:val="00B07D6D"/>
    <w:rsid w:val="00B103D8"/>
    <w:rsid w:val="00B11019"/>
    <w:rsid w:val="00B1278A"/>
    <w:rsid w:val="00B129DE"/>
    <w:rsid w:val="00B13605"/>
    <w:rsid w:val="00B13988"/>
    <w:rsid w:val="00B13BC4"/>
    <w:rsid w:val="00B13BF4"/>
    <w:rsid w:val="00B13F6F"/>
    <w:rsid w:val="00B147A4"/>
    <w:rsid w:val="00B148F1"/>
    <w:rsid w:val="00B14A90"/>
    <w:rsid w:val="00B15092"/>
    <w:rsid w:val="00B155A8"/>
    <w:rsid w:val="00B1658F"/>
    <w:rsid w:val="00B16EE7"/>
    <w:rsid w:val="00B1729E"/>
    <w:rsid w:val="00B173E2"/>
    <w:rsid w:val="00B179BB"/>
    <w:rsid w:val="00B2045F"/>
    <w:rsid w:val="00B2097B"/>
    <w:rsid w:val="00B20C23"/>
    <w:rsid w:val="00B215E8"/>
    <w:rsid w:val="00B21DCB"/>
    <w:rsid w:val="00B22276"/>
    <w:rsid w:val="00B22D0C"/>
    <w:rsid w:val="00B22E36"/>
    <w:rsid w:val="00B23733"/>
    <w:rsid w:val="00B23F4B"/>
    <w:rsid w:val="00B2470E"/>
    <w:rsid w:val="00B247BC"/>
    <w:rsid w:val="00B24960"/>
    <w:rsid w:val="00B24A34"/>
    <w:rsid w:val="00B24D5A"/>
    <w:rsid w:val="00B2532F"/>
    <w:rsid w:val="00B26581"/>
    <w:rsid w:val="00B27E05"/>
    <w:rsid w:val="00B27F16"/>
    <w:rsid w:val="00B308EB"/>
    <w:rsid w:val="00B31D1B"/>
    <w:rsid w:val="00B32403"/>
    <w:rsid w:val="00B32C7F"/>
    <w:rsid w:val="00B3352E"/>
    <w:rsid w:val="00B33C59"/>
    <w:rsid w:val="00B3404A"/>
    <w:rsid w:val="00B3439A"/>
    <w:rsid w:val="00B346EC"/>
    <w:rsid w:val="00B347B4"/>
    <w:rsid w:val="00B35096"/>
    <w:rsid w:val="00B3518F"/>
    <w:rsid w:val="00B35278"/>
    <w:rsid w:val="00B36453"/>
    <w:rsid w:val="00B37AE6"/>
    <w:rsid w:val="00B37FD2"/>
    <w:rsid w:val="00B40AD7"/>
    <w:rsid w:val="00B40F64"/>
    <w:rsid w:val="00B41909"/>
    <w:rsid w:val="00B41AA1"/>
    <w:rsid w:val="00B4219B"/>
    <w:rsid w:val="00B44115"/>
    <w:rsid w:val="00B445EC"/>
    <w:rsid w:val="00B45938"/>
    <w:rsid w:val="00B467BC"/>
    <w:rsid w:val="00B478E7"/>
    <w:rsid w:val="00B47D4A"/>
    <w:rsid w:val="00B47E73"/>
    <w:rsid w:val="00B50C3A"/>
    <w:rsid w:val="00B5183C"/>
    <w:rsid w:val="00B51E76"/>
    <w:rsid w:val="00B51ECF"/>
    <w:rsid w:val="00B5217C"/>
    <w:rsid w:val="00B52445"/>
    <w:rsid w:val="00B52C77"/>
    <w:rsid w:val="00B53931"/>
    <w:rsid w:val="00B53D36"/>
    <w:rsid w:val="00B54370"/>
    <w:rsid w:val="00B544BC"/>
    <w:rsid w:val="00B54E61"/>
    <w:rsid w:val="00B55350"/>
    <w:rsid w:val="00B5541A"/>
    <w:rsid w:val="00B55A19"/>
    <w:rsid w:val="00B55CBA"/>
    <w:rsid w:val="00B55D19"/>
    <w:rsid w:val="00B573DA"/>
    <w:rsid w:val="00B615F4"/>
    <w:rsid w:val="00B6163B"/>
    <w:rsid w:val="00B617E5"/>
    <w:rsid w:val="00B6182A"/>
    <w:rsid w:val="00B6301C"/>
    <w:rsid w:val="00B63575"/>
    <w:rsid w:val="00B64104"/>
    <w:rsid w:val="00B64109"/>
    <w:rsid w:val="00B6427A"/>
    <w:rsid w:val="00B65248"/>
    <w:rsid w:val="00B6540B"/>
    <w:rsid w:val="00B65955"/>
    <w:rsid w:val="00B6596B"/>
    <w:rsid w:val="00B66836"/>
    <w:rsid w:val="00B66CC0"/>
    <w:rsid w:val="00B66EE2"/>
    <w:rsid w:val="00B671BB"/>
    <w:rsid w:val="00B70957"/>
    <w:rsid w:val="00B7099D"/>
    <w:rsid w:val="00B71F42"/>
    <w:rsid w:val="00B72251"/>
    <w:rsid w:val="00B7230E"/>
    <w:rsid w:val="00B7234E"/>
    <w:rsid w:val="00B72721"/>
    <w:rsid w:val="00B745D5"/>
    <w:rsid w:val="00B74700"/>
    <w:rsid w:val="00B74DFF"/>
    <w:rsid w:val="00B75BE3"/>
    <w:rsid w:val="00B7600F"/>
    <w:rsid w:val="00B7610F"/>
    <w:rsid w:val="00B76DAE"/>
    <w:rsid w:val="00B80022"/>
    <w:rsid w:val="00B805F5"/>
    <w:rsid w:val="00B809B7"/>
    <w:rsid w:val="00B809CB"/>
    <w:rsid w:val="00B80C7A"/>
    <w:rsid w:val="00B80E9A"/>
    <w:rsid w:val="00B81201"/>
    <w:rsid w:val="00B8124A"/>
    <w:rsid w:val="00B8168E"/>
    <w:rsid w:val="00B81DE1"/>
    <w:rsid w:val="00B8229D"/>
    <w:rsid w:val="00B831C0"/>
    <w:rsid w:val="00B83647"/>
    <w:rsid w:val="00B83964"/>
    <w:rsid w:val="00B83F4A"/>
    <w:rsid w:val="00B84EE5"/>
    <w:rsid w:val="00B85758"/>
    <w:rsid w:val="00B86089"/>
    <w:rsid w:val="00B87063"/>
    <w:rsid w:val="00B901CF"/>
    <w:rsid w:val="00B91713"/>
    <w:rsid w:val="00B9197E"/>
    <w:rsid w:val="00B91D07"/>
    <w:rsid w:val="00B92118"/>
    <w:rsid w:val="00B93B86"/>
    <w:rsid w:val="00B93D7E"/>
    <w:rsid w:val="00B94E5E"/>
    <w:rsid w:val="00B9508D"/>
    <w:rsid w:val="00B9511F"/>
    <w:rsid w:val="00B95242"/>
    <w:rsid w:val="00B9543B"/>
    <w:rsid w:val="00B95C8E"/>
    <w:rsid w:val="00B961FA"/>
    <w:rsid w:val="00B96232"/>
    <w:rsid w:val="00B963C5"/>
    <w:rsid w:val="00B97DB4"/>
    <w:rsid w:val="00BA04E5"/>
    <w:rsid w:val="00BA058E"/>
    <w:rsid w:val="00BA083F"/>
    <w:rsid w:val="00BA1881"/>
    <w:rsid w:val="00BA199E"/>
    <w:rsid w:val="00BA208C"/>
    <w:rsid w:val="00BA3CDC"/>
    <w:rsid w:val="00BA4DAC"/>
    <w:rsid w:val="00BA4E56"/>
    <w:rsid w:val="00BA566B"/>
    <w:rsid w:val="00BA56A5"/>
    <w:rsid w:val="00BA5AFB"/>
    <w:rsid w:val="00BA5F4B"/>
    <w:rsid w:val="00BA608C"/>
    <w:rsid w:val="00BA6485"/>
    <w:rsid w:val="00BA6AFE"/>
    <w:rsid w:val="00BA6D65"/>
    <w:rsid w:val="00BA6E62"/>
    <w:rsid w:val="00BA70F2"/>
    <w:rsid w:val="00BA7738"/>
    <w:rsid w:val="00BA7DB4"/>
    <w:rsid w:val="00BB0106"/>
    <w:rsid w:val="00BB0859"/>
    <w:rsid w:val="00BB0B0B"/>
    <w:rsid w:val="00BB0B6A"/>
    <w:rsid w:val="00BB13CE"/>
    <w:rsid w:val="00BB2ECE"/>
    <w:rsid w:val="00BB3762"/>
    <w:rsid w:val="00BB38C1"/>
    <w:rsid w:val="00BB3B24"/>
    <w:rsid w:val="00BB4A40"/>
    <w:rsid w:val="00BB51C4"/>
    <w:rsid w:val="00BB667B"/>
    <w:rsid w:val="00BB66F7"/>
    <w:rsid w:val="00BB69B6"/>
    <w:rsid w:val="00BB6BA5"/>
    <w:rsid w:val="00BB7970"/>
    <w:rsid w:val="00BB7BB3"/>
    <w:rsid w:val="00BB7CC5"/>
    <w:rsid w:val="00BC01E5"/>
    <w:rsid w:val="00BC078B"/>
    <w:rsid w:val="00BC0A20"/>
    <w:rsid w:val="00BC2162"/>
    <w:rsid w:val="00BC2391"/>
    <w:rsid w:val="00BC3157"/>
    <w:rsid w:val="00BC345A"/>
    <w:rsid w:val="00BC4462"/>
    <w:rsid w:val="00BC611A"/>
    <w:rsid w:val="00BC62D4"/>
    <w:rsid w:val="00BC6B27"/>
    <w:rsid w:val="00BC6D8F"/>
    <w:rsid w:val="00BC74B7"/>
    <w:rsid w:val="00BC75D0"/>
    <w:rsid w:val="00BD0B8B"/>
    <w:rsid w:val="00BD13ED"/>
    <w:rsid w:val="00BD239F"/>
    <w:rsid w:val="00BD2C0A"/>
    <w:rsid w:val="00BD400D"/>
    <w:rsid w:val="00BD42B7"/>
    <w:rsid w:val="00BD5758"/>
    <w:rsid w:val="00BD5A0D"/>
    <w:rsid w:val="00BD731D"/>
    <w:rsid w:val="00BD73ED"/>
    <w:rsid w:val="00BE031F"/>
    <w:rsid w:val="00BE0CDC"/>
    <w:rsid w:val="00BE165A"/>
    <w:rsid w:val="00BE2070"/>
    <w:rsid w:val="00BE265E"/>
    <w:rsid w:val="00BE39EC"/>
    <w:rsid w:val="00BE3B27"/>
    <w:rsid w:val="00BE55F0"/>
    <w:rsid w:val="00BE5758"/>
    <w:rsid w:val="00BE5D2C"/>
    <w:rsid w:val="00BE632E"/>
    <w:rsid w:val="00BE675A"/>
    <w:rsid w:val="00BE67E8"/>
    <w:rsid w:val="00BE69E8"/>
    <w:rsid w:val="00BE6D01"/>
    <w:rsid w:val="00BF0077"/>
    <w:rsid w:val="00BF01D9"/>
    <w:rsid w:val="00BF05B2"/>
    <w:rsid w:val="00BF080D"/>
    <w:rsid w:val="00BF111B"/>
    <w:rsid w:val="00BF11B3"/>
    <w:rsid w:val="00BF14FB"/>
    <w:rsid w:val="00BF1AAB"/>
    <w:rsid w:val="00BF1ABB"/>
    <w:rsid w:val="00BF206C"/>
    <w:rsid w:val="00BF2DBA"/>
    <w:rsid w:val="00BF41E7"/>
    <w:rsid w:val="00BF4F0E"/>
    <w:rsid w:val="00BF597C"/>
    <w:rsid w:val="00BF5C79"/>
    <w:rsid w:val="00BF6A46"/>
    <w:rsid w:val="00BF6EFC"/>
    <w:rsid w:val="00BF79C6"/>
    <w:rsid w:val="00BF7FA5"/>
    <w:rsid w:val="00C00573"/>
    <w:rsid w:val="00C00F3B"/>
    <w:rsid w:val="00C016FA"/>
    <w:rsid w:val="00C01766"/>
    <w:rsid w:val="00C0239F"/>
    <w:rsid w:val="00C0267A"/>
    <w:rsid w:val="00C03E9D"/>
    <w:rsid w:val="00C04955"/>
    <w:rsid w:val="00C04979"/>
    <w:rsid w:val="00C0506A"/>
    <w:rsid w:val="00C0565F"/>
    <w:rsid w:val="00C05CAD"/>
    <w:rsid w:val="00C061A7"/>
    <w:rsid w:val="00C06948"/>
    <w:rsid w:val="00C06B62"/>
    <w:rsid w:val="00C06B71"/>
    <w:rsid w:val="00C07818"/>
    <w:rsid w:val="00C1055F"/>
    <w:rsid w:val="00C11617"/>
    <w:rsid w:val="00C116E3"/>
    <w:rsid w:val="00C11967"/>
    <w:rsid w:val="00C11D72"/>
    <w:rsid w:val="00C13E84"/>
    <w:rsid w:val="00C1438C"/>
    <w:rsid w:val="00C14408"/>
    <w:rsid w:val="00C144C1"/>
    <w:rsid w:val="00C145F5"/>
    <w:rsid w:val="00C1494A"/>
    <w:rsid w:val="00C14978"/>
    <w:rsid w:val="00C14983"/>
    <w:rsid w:val="00C150F8"/>
    <w:rsid w:val="00C152E5"/>
    <w:rsid w:val="00C154FD"/>
    <w:rsid w:val="00C16FDE"/>
    <w:rsid w:val="00C171A2"/>
    <w:rsid w:val="00C17272"/>
    <w:rsid w:val="00C17407"/>
    <w:rsid w:val="00C17905"/>
    <w:rsid w:val="00C20770"/>
    <w:rsid w:val="00C20A51"/>
    <w:rsid w:val="00C20C04"/>
    <w:rsid w:val="00C20D2B"/>
    <w:rsid w:val="00C22FB8"/>
    <w:rsid w:val="00C231AD"/>
    <w:rsid w:val="00C235F9"/>
    <w:rsid w:val="00C2368F"/>
    <w:rsid w:val="00C236DA"/>
    <w:rsid w:val="00C23983"/>
    <w:rsid w:val="00C2438D"/>
    <w:rsid w:val="00C243F5"/>
    <w:rsid w:val="00C24588"/>
    <w:rsid w:val="00C25221"/>
    <w:rsid w:val="00C25E76"/>
    <w:rsid w:val="00C26467"/>
    <w:rsid w:val="00C26C10"/>
    <w:rsid w:val="00C26C11"/>
    <w:rsid w:val="00C302C8"/>
    <w:rsid w:val="00C30739"/>
    <w:rsid w:val="00C30E1F"/>
    <w:rsid w:val="00C30EED"/>
    <w:rsid w:val="00C3103D"/>
    <w:rsid w:val="00C31BFF"/>
    <w:rsid w:val="00C32332"/>
    <w:rsid w:val="00C32728"/>
    <w:rsid w:val="00C32976"/>
    <w:rsid w:val="00C32B2C"/>
    <w:rsid w:val="00C33003"/>
    <w:rsid w:val="00C33AEB"/>
    <w:rsid w:val="00C33D49"/>
    <w:rsid w:val="00C3458C"/>
    <w:rsid w:val="00C34D51"/>
    <w:rsid w:val="00C34DE3"/>
    <w:rsid w:val="00C35FD8"/>
    <w:rsid w:val="00C36ED3"/>
    <w:rsid w:val="00C40BA7"/>
    <w:rsid w:val="00C40C98"/>
    <w:rsid w:val="00C40D2F"/>
    <w:rsid w:val="00C411F2"/>
    <w:rsid w:val="00C42719"/>
    <w:rsid w:val="00C4279B"/>
    <w:rsid w:val="00C4285B"/>
    <w:rsid w:val="00C429F8"/>
    <w:rsid w:val="00C42A5D"/>
    <w:rsid w:val="00C42D2B"/>
    <w:rsid w:val="00C42FDD"/>
    <w:rsid w:val="00C4421D"/>
    <w:rsid w:val="00C44557"/>
    <w:rsid w:val="00C452CE"/>
    <w:rsid w:val="00C45BB3"/>
    <w:rsid w:val="00C468F7"/>
    <w:rsid w:val="00C519EA"/>
    <w:rsid w:val="00C51EA4"/>
    <w:rsid w:val="00C51FF7"/>
    <w:rsid w:val="00C52838"/>
    <w:rsid w:val="00C52876"/>
    <w:rsid w:val="00C538ED"/>
    <w:rsid w:val="00C5476C"/>
    <w:rsid w:val="00C55F33"/>
    <w:rsid w:val="00C56192"/>
    <w:rsid w:val="00C5633F"/>
    <w:rsid w:val="00C56B36"/>
    <w:rsid w:val="00C56C54"/>
    <w:rsid w:val="00C56F91"/>
    <w:rsid w:val="00C56F9A"/>
    <w:rsid w:val="00C575BB"/>
    <w:rsid w:val="00C57950"/>
    <w:rsid w:val="00C60122"/>
    <w:rsid w:val="00C6262B"/>
    <w:rsid w:val="00C62FA7"/>
    <w:rsid w:val="00C63520"/>
    <w:rsid w:val="00C6359D"/>
    <w:rsid w:val="00C63E62"/>
    <w:rsid w:val="00C644C1"/>
    <w:rsid w:val="00C65605"/>
    <w:rsid w:val="00C662AC"/>
    <w:rsid w:val="00C66B91"/>
    <w:rsid w:val="00C6759E"/>
    <w:rsid w:val="00C703C0"/>
    <w:rsid w:val="00C708F3"/>
    <w:rsid w:val="00C709ED"/>
    <w:rsid w:val="00C70F9C"/>
    <w:rsid w:val="00C713DC"/>
    <w:rsid w:val="00C71A89"/>
    <w:rsid w:val="00C72374"/>
    <w:rsid w:val="00C73025"/>
    <w:rsid w:val="00C74049"/>
    <w:rsid w:val="00C7448F"/>
    <w:rsid w:val="00C754FE"/>
    <w:rsid w:val="00C7618B"/>
    <w:rsid w:val="00C761F3"/>
    <w:rsid w:val="00C76537"/>
    <w:rsid w:val="00C76D4D"/>
    <w:rsid w:val="00C8022E"/>
    <w:rsid w:val="00C80251"/>
    <w:rsid w:val="00C80E68"/>
    <w:rsid w:val="00C8117E"/>
    <w:rsid w:val="00C8163F"/>
    <w:rsid w:val="00C81990"/>
    <w:rsid w:val="00C81EF2"/>
    <w:rsid w:val="00C82398"/>
    <w:rsid w:val="00C82654"/>
    <w:rsid w:val="00C82BE9"/>
    <w:rsid w:val="00C84540"/>
    <w:rsid w:val="00C8456A"/>
    <w:rsid w:val="00C847E0"/>
    <w:rsid w:val="00C85226"/>
    <w:rsid w:val="00C8596A"/>
    <w:rsid w:val="00C85BD1"/>
    <w:rsid w:val="00C865C5"/>
    <w:rsid w:val="00C8689D"/>
    <w:rsid w:val="00C8787C"/>
    <w:rsid w:val="00C9058D"/>
    <w:rsid w:val="00C91007"/>
    <w:rsid w:val="00C91AF3"/>
    <w:rsid w:val="00C920BF"/>
    <w:rsid w:val="00C92B94"/>
    <w:rsid w:val="00C934D8"/>
    <w:rsid w:val="00C93764"/>
    <w:rsid w:val="00C9378F"/>
    <w:rsid w:val="00C94DD6"/>
    <w:rsid w:val="00C9622A"/>
    <w:rsid w:val="00CA1570"/>
    <w:rsid w:val="00CA15D4"/>
    <w:rsid w:val="00CA1744"/>
    <w:rsid w:val="00CA19A5"/>
    <w:rsid w:val="00CA2521"/>
    <w:rsid w:val="00CA2873"/>
    <w:rsid w:val="00CA28CE"/>
    <w:rsid w:val="00CA2B8B"/>
    <w:rsid w:val="00CA2BB1"/>
    <w:rsid w:val="00CA3A69"/>
    <w:rsid w:val="00CA456C"/>
    <w:rsid w:val="00CA5005"/>
    <w:rsid w:val="00CA55D7"/>
    <w:rsid w:val="00CA5772"/>
    <w:rsid w:val="00CA61B3"/>
    <w:rsid w:val="00CA7AAD"/>
    <w:rsid w:val="00CA7C33"/>
    <w:rsid w:val="00CA7D01"/>
    <w:rsid w:val="00CB0C2B"/>
    <w:rsid w:val="00CB13A5"/>
    <w:rsid w:val="00CB19B1"/>
    <w:rsid w:val="00CB1B21"/>
    <w:rsid w:val="00CB1F95"/>
    <w:rsid w:val="00CB22B3"/>
    <w:rsid w:val="00CB2438"/>
    <w:rsid w:val="00CB264D"/>
    <w:rsid w:val="00CB350D"/>
    <w:rsid w:val="00CB3693"/>
    <w:rsid w:val="00CB3A2A"/>
    <w:rsid w:val="00CB3D10"/>
    <w:rsid w:val="00CB4A9A"/>
    <w:rsid w:val="00CB6269"/>
    <w:rsid w:val="00CB6412"/>
    <w:rsid w:val="00CB6F89"/>
    <w:rsid w:val="00CB72AD"/>
    <w:rsid w:val="00CB7BBD"/>
    <w:rsid w:val="00CB7C05"/>
    <w:rsid w:val="00CC0EBD"/>
    <w:rsid w:val="00CC0F75"/>
    <w:rsid w:val="00CC111E"/>
    <w:rsid w:val="00CC12B4"/>
    <w:rsid w:val="00CC1354"/>
    <w:rsid w:val="00CC1A90"/>
    <w:rsid w:val="00CC45BB"/>
    <w:rsid w:val="00CC4872"/>
    <w:rsid w:val="00CC4EE3"/>
    <w:rsid w:val="00CC5AD6"/>
    <w:rsid w:val="00CC5BF6"/>
    <w:rsid w:val="00CC5EBA"/>
    <w:rsid w:val="00CC6179"/>
    <w:rsid w:val="00CC64CF"/>
    <w:rsid w:val="00CC683E"/>
    <w:rsid w:val="00CC6989"/>
    <w:rsid w:val="00CC6A02"/>
    <w:rsid w:val="00CD042C"/>
    <w:rsid w:val="00CD0650"/>
    <w:rsid w:val="00CD0AA3"/>
    <w:rsid w:val="00CD0DAE"/>
    <w:rsid w:val="00CD0F76"/>
    <w:rsid w:val="00CD175F"/>
    <w:rsid w:val="00CD1865"/>
    <w:rsid w:val="00CD24A6"/>
    <w:rsid w:val="00CD26B5"/>
    <w:rsid w:val="00CD3C3E"/>
    <w:rsid w:val="00CD3EE9"/>
    <w:rsid w:val="00CD4136"/>
    <w:rsid w:val="00CD4A8A"/>
    <w:rsid w:val="00CD54DA"/>
    <w:rsid w:val="00CD55ED"/>
    <w:rsid w:val="00CD6D66"/>
    <w:rsid w:val="00CD7023"/>
    <w:rsid w:val="00CD71C7"/>
    <w:rsid w:val="00CD74BD"/>
    <w:rsid w:val="00CE09E1"/>
    <w:rsid w:val="00CE0C25"/>
    <w:rsid w:val="00CE2497"/>
    <w:rsid w:val="00CE2841"/>
    <w:rsid w:val="00CE2BEB"/>
    <w:rsid w:val="00CE2D90"/>
    <w:rsid w:val="00CE3BB8"/>
    <w:rsid w:val="00CE4079"/>
    <w:rsid w:val="00CE5686"/>
    <w:rsid w:val="00CE5872"/>
    <w:rsid w:val="00CE5C67"/>
    <w:rsid w:val="00CE6B77"/>
    <w:rsid w:val="00CE6D81"/>
    <w:rsid w:val="00CE71A5"/>
    <w:rsid w:val="00CE782B"/>
    <w:rsid w:val="00CE7973"/>
    <w:rsid w:val="00CF111D"/>
    <w:rsid w:val="00CF16E6"/>
    <w:rsid w:val="00CF2819"/>
    <w:rsid w:val="00CF33D3"/>
    <w:rsid w:val="00CF40A9"/>
    <w:rsid w:val="00CF5214"/>
    <w:rsid w:val="00CF5CA8"/>
    <w:rsid w:val="00CF610F"/>
    <w:rsid w:val="00CF61B7"/>
    <w:rsid w:val="00CF6233"/>
    <w:rsid w:val="00CF6258"/>
    <w:rsid w:val="00CF67A2"/>
    <w:rsid w:val="00CF6913"/>
    <w:rsid w:val="00CF75CF"/>
    <w:rsid w:val="00D0010A"/>
    <w:rsid w:val="00D00157"/>
    <w:rsid w:val="00D0128B"/>
    <w:rsid w:val="00D0195E"/>
    <w:rsid w:val="00D01D99"/>
    <w:rsid w:val="00D01EE6"/>
    <w:rsid w:val="00D02ED6"/>
    <w:rsid w:val="00D0315E"/>
    <w:rsid w:val="00D03D4C"/>
    <w:rsid w:val="00D03EF8"/>
    <w:rsid w:val="00D04300"/>
    <w:rsid w:val="00D048A8"/>
    <w:rsid w:val="00D049F4"/>
    <w:rsid w:val="00D04A06"/>
    <w:rsid w:val="00D0576F"/>
    <w:rsid w:val="00D059EF"/>
    <w:rsid w:val="00D060D1"/>
    <w:rsid w:val="00D062A0"/>
    <w:rsid w:val="00D062C9"/>
    <w:rsid w:val="00D068C3"/>
    <w:rsid w:val="00D06C34"/>
    <w:rsid w:val="00D06CD9"/>
    <w:rsid w:val="00D07BE9"/>
    <w:rsid w:val="00D10776"/>
    <w:rsid w:val="00D10FF4"/>
    <w:rsid w:val="00D11C8E"/>
    <w:rsid w:val="00D120AA"/>
    <w:rsid w:val="00D12F8B"/>
    <w:rsid w:val="00D1366A"/>
    <w:rsid w:val="00D13C49"/>
    <w:rsid w:val="00D13FCD"/>
    <w:rsid w:val="00D14233"/>
    <w:rsid w:val="00D142C0"/>
    <w:rsid w:val="00D142F4"/>
    <w:rsid w:val="00D14534"/>
    <w:rsid w:val="00D1487E"/>
    <w:rsid w:val="00D14C94"/>
    <w:rsid w:val="00D14F8C"/>
    <w:rsid w:val="00D151F3"/>
    <w:rsid w:val="00D15683"/>
    <w:rsid w:val="00D1579A"/>
    <w:rsid w:val="00D16BE9"/>
    <w:rsid w:val="00D176CF"/>
    <w:rsid w:val="00D17D64"/>
    <w:rsid w:val="00D201A7"/>
    <w:rsid w:val="00D20287"/>
    <w:rsid w:val="00D202E2"/>
    <w:rsid w:val="00D214D2"/>
    <w:rsid w:val="00D216DC"/>
    <w:rsid w:val="00D219DD"/>
    <w:rsid w:val="00D22CB3"/>
    <w:rsid w:val="00D22D57"/>
    <w:rsid w:val="00D24FB6"/>
    <w:rsid w:val="00D2623D"/>
    <w:rsid w:val="00D262B8"/>
    <w:rsid w:val="00D2663C"/>
    <w:rsid w:val="00D26C43"/>
    <w:rsid w:val="00D278B7"/>
    <w:rsid w:val="00D304FA"/>
    <w:rsid w:val="00D30624"/>
    <w:rsid w:val="00D30682"/>
    <w:rsid w:val="00D30846"/>
    <w:rsid w:val="00D30C53"/>
    <w:rsid w:val="00D30D00"/>
    <w:rsid w:val="00D31500"/>
    <w:rsid w:val="00D31943"/>
    <w:rsid w:val="00D31B49"/>
    <w:rsid w:val="00D31E24"/>
    <w:rsid w:val="00D323D8"/>
    <w:rsid w:val="00D32DD3"/>
    <w:rsid w:val="00D333B8"/>
    <w:rsid w:val="00D33B9E"/>
    <w:rsid w:val="00D341B6"/>
    <w:rsid w:val="00D348A1"/>
    <w:rsid w:val="00D34AC8"/>
    <w:rsid w:val="00D34C90"/>
    <w:rsid w:val="00D34D0D"/>
    <w:rsid w:val="00D35432"/>
    <w:rsid w:val="00D35437"/>
    <w:rsid w:val="00D355B0"/>
    <w:rsid w:val="00D35679"/>
    <w:rsid w:val="00D35698"/>
    <w:rsid w:val="00D361E6"/>
    <w:rsid w:val="00D363EC"/>
    <w:rsid w:val="00D36CEB"/>
    <w:rsid w:val="00D37A5C"/>
    <w:rsid w:val="00D37D12"/>
    <w:rsid w:val="00D37D52"/>
    <w:rsid w:val="00D40365"/>
    <w:rsid w:val="00D4048B"/>
    <w:rsid w:val="00D40CAD"/>
    <w:rsid w:val="00D416F8"/>
    <w:rsid w:val="00D41C9F"/>
    <w:rsid w:val="00D42B1D"/>
    <w:rsid w:val="00D42D76"/>
    <w:rsid w:val="00D43911"/>
    <w:rsid w:val="00D44B9E"/>
    <w:rsid w:val="00D450FE"/>
    <w:rsid w:val="00D45E9A"/>
    <w:rsid w:val="00D46375"/>
    <w:rsid w:val="00D46EF9"/>
    <w:rsid w:val="00D51241"/>
    <w:rsid w:val="00D51445"/>
    <w:rsid w:val="00D519BA"/>
    <w:rsid w:val="00D51D4D"/>
    <w:rsid w:val="00D521D2"/>
    <w:rsid w:val="00D52E66"/>
    <w:rsid w:val="00D53856"/>
    <w:rsid w:val="00D54A4D"/>
    <w:rsid w:val="00D54BA6"/>
    <w:rsid w:val="00D557CB"/>
    <w:rsid w:val="00D55DC6"/>
    <w:rsid w:val="00D55FCF"/>
    <w:rsid w:val="00D564CE"/>
    <w:rsid w:val="00D6038E"/>
    <w:rsid w:val="00D60B99"/>
    <w:rsid w:val="00D60D1E"/>
    <w:rsid w:val="00D6186D"/>
    <w:rsid w:val="00D6274F"/>
    <w:rsid w:val="00D644C8"/>
    <w:rsid w:val="00D6546B"/>
    <w:rsid w:val="00D6627B"/>
    <w:rsid w:val="00D662FB"/>
    <w:rsid w:val="00D6694E"/>
    <w:rsid w:val="00D67ADD"/>
    <w:rsid w:val="00D67CB2"/>
    <w:rsid w:val="00D70292"/>
    <w:rsid w:val="00D70454"/>
    <w:rsid w:val="00D707FD"/>
    <w:rsid w:val="00D70AC6"/>
    <w:rsid w:val="00D71156"/>
    <w:rsid w:val="00D71B6C"/>
    <w:rsid w:val="00D7215B"/>
    <w:rsid w:val="00D722A6"/>
    <w:rsid w:val="00D74047"/>
    <w:rsid w:val="00D745E5"/>
    <w:rsid w:val="00D74742"/>
    <w:rsid w:val="00D749E8"/>
    <w:rsid w:val="00D762AF"/>
    <w:rsid w:val="00D76870"/>
    <w:rsid w:val="00D76AB2"/>
    <w:rsid w:val="00D76C98"/>
    <w:rsid w:val="00D773A1"/>
    <w:rsid w:val="00D77E58"/>
    <w:rsid w:val="00D80285"/>
    <w:rsid w:val="00D80427"/>
    <w:rsid w:val="00D807AA"/>
    <w:rsid w:val="00D80CED"/>
    <w:rsid w:val="00D80DBC"/>
    <w:rsid w:val="00D81C55"/>
    <w:rsid w:val="00D82FBA"/>
    <w:rsid w:val="00D83497"/>
    <w:rsid w:val="00D8390E"/>
    <w:rsid w:val="00D84098"/>
    <w:rsid w:val="00D84561"/>
    <w:rsid w:val="00D8460C"/>
    <w:rsid w:val="00D84B8C"/>
    <w:rsid w:val="00D84C9B"/>
    <w:rsid w:val="00D8508B"/>
    <w:rsid w:val="00D86425"/>
    <w:rsid w:val="00D86507"/>
    <w:rsid w:val="00D87889"/>
    <w:rsid w:val="00D878D6"/>
    <w:rsid w:val="00D878F4"/>
    <w:rsid w:val="00D9006A"/>
    <w:rsid w:val="00D904E8"/>
    <w:rsid w:val="00D90990"/>
    <w:rsid w:val="00D90DED"/>
    <w:rsid w:val="00D91347"/>
    <w:rsid w:val="00D91A7B"/>
    <w:rsid w:val="00D91B78"/>
    <w:rsid w:val="00D92181"/>
    <w:rsid w:val="00D92283"/>
    <w:rsid w:val="00D93054"/>
    <w:rsid w:val="00D930BC"/>
    <w:rsid w:val="00D93BD1"/>
    <w:rsid w:val="00D940AB"/>
    <w:rsid w:val="00D9530F"/>
    <w:rsid w:val="00D95596"/>
    <w:rsid w:val="00D95D45"/>
    <w:rsid w:val="00D95EFB"/>
    <w:rsid w:val="00D96C89"/>
    <w:rsid w:val="00D97096"/>
    <w:rsid w:val="00D97304"/>
    <w:rsid w:val="00D97771"/>
    <w:rsid w:val="00D97AA2"/>
    <w:rsid w:val="00D97E97"/>
    <w:rsid w:val="00DA0156"/>
    <w:rsid w:val="00DA1738"/>
    <w:rsid w:val="00DA2013"/>
    <w:rsid w:val="00DA2466"/>
    <w:rsid w:val="00DA259F"/>
    <w:rsid w:val="00DA27E6"/>
    <w:rsid w:val="00DA2C77"/>
    <w:rsid w:val="00DA2D8B"/>
    <w:rsid w:val="00DA3401"/>
    <w:rsid w:val="00DA359B"/>
    <w:rsid w:val="00DA3991"/>
    <w:rsid w:val="00DA3C37"/>
    <w:rsid w:val="00DA3C4B"/>
    <w:rsid w:val="00DA42EF"/>
    <w:rsid w:val="00DA4438"/>
    <w:rsid w:val="00DA52F1"/>
    <w:rsid w:val="00DA68F4"/>
    <w:rsid w:val="00DB0542"/>
    <w:rsid w:val="00DB0F6A"/>
    <w:rsid w:val="00DB1383"/>
    <w:rsid w:val="00DB17F8"/>
    <w:rsid w:val="00DB1F0B"/>
    <w:rsid w:val="00DB22B8"/>
    <w:rsid w:val="00DB2C04"/>
    <w:rsid w:val="00DB2C41"/>
    <w:rsid w:val="00DB2C5F"/>
    <w:rsid w:val="00DB2D24"/>
    <w:rsid w:val="00DB4425"/>
    <w:rsid w:val="00DB4BA0"/>
    <w:rsid w:val="00DB52D2"/>
    <w:rsid w:val="00DB53ED"/>
    <w:rsid w:val="00DB6766"/>
    <w:rsid w:val="00DB76D2"/>
    <w:rsid w:val="00DB7A17"/>
    <w:rsid w:val="00DB7CBC"/>
    <w:rsid w:val="00DC0E3E"/>
    <w:rsid w:val="00DC1948"/>
    <w:rsid w:val="00DC2141"/>
    <w:rsid w:val="00DC2D84"/>
    <w:rsid w:val="00DC2F0F"/>
    <w:rsid w:val="00DC36DC"/>
    <w:rsid w:val="00DC385C"/>
    <w:rsid w:val="00DC3BF5"/>
    <w:rsid w:val="00DC436F"/>
    <w:rsid w:val="00DC519E"/>
    <w:rsid w:val="00DC54BF"/>
    <w:rsid w:val="00DC5947"/>
    <w:rsid w:val="00DC6986"/>
    <w:rsid w:val="00DD0AE3"/>
    <w:rsid w:val="00DD1009"/>
    <w:rsid w:val="00DD138A"/>
    <w:rsid w:val="00DD1A3A"/>
    <w:rsid w:val="00DD1C3C"/>
    <w:rsid w:val="00DD2560"/>
    <w:rsid w:val="00DD3C82"/>
    <w:rsid w:val="00DD3D8F"/>
    <w:rsid w:val="00DD3E21"/>
    <w:rsid w:val="00DD4B94"/>
    <w:rsid w:val="00DD50C7"/>
    <w:rsid w:val="00DD536E"/>
    <w:rsid w:val="00DD56ED"/>
    <w:rsid w:val="00DD5A34"/>
    <w:rsid w:val="00DD62CD"/>
    <w:rsid w:val="00DD7577"/>
    <w:rsid w:val="00DD7EE3"/>
    <w:rsid w:val="00DE0479"/>
    <w:rsid w:val="00DE14DB"/>
    <w:rsid w:val="00DE1984"/>
    <w:rsid w:val="00DE19C1"/>
    <w:rsid w:val="00DE20C2"/>
    <w:rsid w:val="00DE3C4A"/>
    <w:rsid w:val="00DE40CC"/>
    <w:rsid w:val="00DE4468"/>
    <w:rsid w:val="00DE53FF"/>
    <w:rsid w:val="00DE56A4"/>
    <w:rsid w:val="00DE5D72"/>
    <w:rsid w:val="00DE617C"/>
    <w:rsid w:val="00DE645C"/>
    <w:rsid w:val="00DE72DB"/>
    <w:rsid w:val="00DE72FF"/>
    <w:rsid w:val="00DE7359"/>
    <w:rsid w:val="00DE741D"/>
    <w:rsid w:val="00DE752D"/>
    <w:rsid w:val="00DE7765"/>
    <w:rsid w:val="00DE796A"/>
    <w:rsid w:val="00DE7A40"/>
    <w:rsid w:val="00DE7E2F"/>
    <w:rsid w:val="00DF03CE"/>
    <w:rsid w:val="00DF06BD"/>
    <w:rsid w:val="00DF0F72"/>
    <w:rsid w:val="00DF1BDD"/>
    <w:rsid w:val="00DF2054"/>
    <w:rsid w:val="00DF242C"/>
    <w:rsid w:val="00DF3063"/>
    <w:rsid w:val="00DF37B8"/>
    <w:rsid w:val="00DF4469"/>
    <w:rsid w:val="00DF48C7"/>
    <w:rsid w:val="00DF4CE1"/>
    <w:rsid w:val="00DF525E"/>
    <w:rsid w:val="00DF5629"/>
    <w:rsid w:val="00DF5E90"/>
    <w:rsid w:val="00DF60EE"/>
    <w:rsid w:val="00DF6173"/>
    <w:rsid w:val="00DF674B"/>
    <w:rsid w:val="00DF6A10"/>
    <w:rsid w:val="00DF6EE7"/>
    <w:rsid w:val="00DF76F5"/>
    <w:rsid w:val="00DF798A"/>
    <w:rsid w:val="00DF7B6F"/>
    <w:rsid w:val="00DF7C0A"/>
    <w:rsid w:val="00E00396"/>
    <w:rsid w:val="00E01C06"/>
    <w:rsid w:val="00E02287"/>
    <w:rsid w:val="00E02778"/>
    <w:rsid w:val="00E02B1D"/>
    <w:rsid w:val="00E033C9"/>
    <w:rsid w:val="00E03A02"/>
    <w:rsid w:val="00E03A5C"/>
    <w:rsid w:val="00E03D30"/>
    <w:rsid w:val="00E03FBB"/>
    <w:rsid w:val="00E05519"/>
    <w:rsid w:val="00E05966"/>
    <w:rsid w:val="00E05D53"/>
    <w:rsid w:val="00E05E1C"/>
    <w:rsid w:val="00E05FB0"/>
    <w:rsid w:val="00E063CC"/>
    <w:rsid w:val="00E06451"/>
    <w:rsid w:val="00E06571"/>
    <w:rsid w:val="00E07DBA"/>
    <w:rsid w:val="00E1028A"/>
    <w:rsid w:val="00E103CB"/>
    <w:rsid w:val="00E106CB"/>
    <w:rsid w:val="00E10AF5"/>
    <w:rsid w:val="00E10D38"/>
    <w:rsid w:val="00E11825"/>
    <w:rsid w:val="00E11977"/>
    <w:rsid w:val="00E12324"/>
    <w:rsid w:val="00E1242C"/>
    <w:rsid w:val="00E129E8"/>
    <w:rsid w:val="00E130D7"/>
    <w:rsid w:val="00E13189"/>
    <w:rsid w:val="00E13955"/>
    <w:rsid w:val="00E13AA6"/>
    <w:rsid w:val="00E14031"/>
    <w:rsid w:val="00E14568"/>
    <w:rsid w:val="00E145AA"/>
    <w:rsid w:val="00E152F0"/>
    <w:rsid w:val="00E16326"/>
    <w:rsid w:val="00E165A0"/>
    <w:rsid w:val="00E16605"/>
    <w:rsid w:val="00E16815"/>
    <w:rsid w:val="00E17914"/>
    <w:rsid w:val="00E20158"/>
    <w:rsid w:val="00E2030F"/>
    <w:rsid w:val="00E203DA"/>
    <w:rsid w:val="00E2043F"/>
    <w:rsid w:val="00E204AE"/>
    <w:rsid w:val="00E20AF2"/>
    <w:rsid w:val="00E20B3B"/>
    <w:rsid w:val="00E22CFA"/>
    <w:rsid w:val="00E2388B"/>
    <w:rsid w:val="00E23DD3"/>
    <w:rsid w:val="00E2429C"/>
    <w:rsid w:val="00E249E4"/>
    <w:rsid w:val="00E2584D"/>
    <w:rsid w:val="00E2599C"/>
    <w:rsid w:val="00E259E4"/>
    <w:rsid w:val="00E261A4"/>
    <w:rsid w:val="00E268CA"/>
    <w:rsid w:val="00E26E9A"/>
    <w:rsid w:val="00E27514"/>
    <w:rsid w:val="00E2761F"/>
    <w:rsid w:val="00E306A1"/>
    <w:rsid w:val="00E30D00"/>
    <w:rsid w:val="00E30F8E"/>
    <w:rsid w:val="00E30FED"/>
    <w:rsid w:val="00E311F9"/>
    <w:rsid w:val="00E317BC"/>
    <w:rsid w:val="00E326D0"/>
    <w:rsid w:val="00E33A8F"/>
    <w:rsid w:val="00E33B2F"/>
    <w:rsid w:val="00E3481D"/>
    <w:rsid w:val="00E34CE5"/>
    <w:rsid w:val="00E35244"/>
    <w:rsid w:val="00E36AF1"/>
    <w:rsid w:val="00E37CF8"/>
    <w:rsid w:val="00E37E46"/>
    <w:rsid w:val="00E40873"/>
    <w:rsid w:val="00E411D7"/>
    <w:rsid w:val="00E4192E"/>
    <w:rsid w:val="00E42BA8"/>
    <w:rsid w:val="00E4345F"/>
    <w:rsid w:val="00E44A76"/>
    <w:rsid w:val="00E44B34"/>
    <w:rsid w:val="00E45819"/>
    <w:rsid w:val="00E45C9E"/>
    <w:rsid w:val="00E46180"/>
    <w:rsid w:val="00E46E7D"/>
    <w:rsid w:val="00E502E2"/>
    <w:rsid w:val="00E5056C"/>
    <w:rsid w:val="00E50917"/>
    <w:rsid w:val="00E51127"/>
    <w:rsid w:val="00E52507"/>
    <w:rsid w:val="00E52E94"/>
    <w:rsid w:val="00E53D64"/>
    <w:rsid w:val="00E54B2F"/>
    <w:rsid w:val="00E54C11"/>
    <w:rsid w:val="00E54D8F"/>
    <w:rsid w:val="00E55220"/>
    <w:rsid w:val="00E555D7"/>
    <w:rsid w:val="00E55AF8"/>
    <w:rsid w:val="00E55E06"/>
    <w:rsid w:val="00E567ED"/>
    <w:rsid w:val="00E56F9B"/>
    <w:rsid w:val="00E57484"/>
    <w:rsid w:val="00E6059A"/>
    <w:rsid w:val="00E60741"/>
    <w:rsid w:val="00E608D4"/>
    <w:rsid w:val="00E60A7E"/>
    <w:rsid w:val="00E6107B"/>
    <w:rsid w:val="00E622E1"/>
    <w:rsid w:val="00E62AE3"/>
    <w:rsid w:val="00E62EF1"/>
    <w:rsid w:val="00E647D0"/>
    <w:rsid w:val="00E64943"/>
    <w:rsid w:val="00E64ABF"/>
    <w:rsid w:val="00E65E0E"/>
    <w:rsid w:val="00E660E4"/>
    <w:rsid w:val="00E6690E"/>
    <w:rsid w:val="00E66BD8"/>
    <w:rsid w:val="00E67540"/>
    <w:rsid w:val="00E67FF8"/>
    <w:rsid w:val="00E70841"/>
    <w:rsid w:val="00E70D5B"/>
    <w:rsid w:val="00E70FCA"/>
    <w:rsid w:val="00E71E96"/>
    <w:rsid w:val="00E72462"/>
    <w:rsid w:val="00E72A9D"/>
    <w:rsid w:val="00E72E3D"/>
    <w:rsid w:val="00E7306F"/>
    <w:rsid w:val="00E735B1"/>
    <w:rsid w:val="00E737B8"/>
    <w:rsid w:val="00E73B13"/>
    <w:rsid w:val="00E7408C"/>
    <w:rsid w:val="00E742D5"/>
    <w:rsid w:val="00E74B50"/>
    <w:rsid w:val="00E759E2"/>
    <w:rsid w:val="00E761FE"/>
    <w:rsid w:val="00E809FD"/>
    <w:rsid w:val="00E8208E"/>
    <w:rsid w:val="00E822C8"/>
    <w:rsid w:val="00E82DFF"/>
    <w:rsid w:val="00E830B6"/>
    <w:rsid w:val="00E83752"/>
    <w:rsid w:val="00E8389D"/>
    <w:rsid w:val="00E84115"/>
    <w:rsid w:val="00E841D8"/>
    <w:rsid w:val="00E8430B"/>
    <w:rsid w:val="00E84342"/>
    <w:rsid w:val="00E849D2"/>
    <w:rsid w:val="00E84ED6"/>
    <w:rsid w:val="00E8501B"/>
    <w:rsid w:val="00E85E0A"/>
    <w:rsid w:val="00E8620D"/>
    <w:rsid w:val="00E865AE"/>
    <w:rsid w:val="00E86C3A"/>
    <w:rsid w:val="00E87613"/>
    <w:rsid w:val="00E90C8E"/>
    <w:rsid w:val="00E910C4"/>
    <w:rsid w:val="00E916C0"/>
    <w:rsid w:val="00E91CC4"/>
    <w:rsid w:val="00E92099"/>
    <w:rsid w:val="00E92236"/>
    <w:rsid w:val="00E9280E"/>
    <w:rsid w:val="00E9337C"/>
    <w:rsid w:val="00E938B6"/>
    <w:rsid w:val="00E9582E"/>
    <w:rsid w:val="00E95C7B"/>
    <w:rsid w:val="00E96AED"/>
    <w:rsid w:val="00E96D64"/>
    <w:rsid w:val="00E979C4"/>
    <w:rsid w:val="00E97BB4"/>
    <w:rsid w:val="00E97C6B"/>
    <w:rsid w:val="00EA0985"/>
    <w:rsid w:val="00EA0F6B"/>
    <w:rsid w:val="00EA12FC"/>
    <w:rsid w:val="00EA2580"/>
    <w:rsid w:val="00EA2890"/>
    <w:rsid w:val="00EA2B12"/>
    <w:rsid w:val="00EA46F8"/>
    <w:rsid w:val="00EA5264"/>
    <w:rsid w:val="00EA5346"/>
    <w:rsid w:val="00EA59A7"/>
    <w:rsid w:val="00EA6268"/>
    <w:rsid w:val="00EA64E8"/>
    <w:rsid w:val="00EA6F8A"/>
    <w:rsid w:val="00EA72F7"/>
    <w:rsid w:val="00EA74B7"/>
    <w:rsid w:val="00EA753F"/>
    <w:rsid w:val="00EB035E"/>
    <w:rsid w:val="00EB0500"/>
    <w:rsid w:val="00EB0830"/>
    <w:rsid w:val="00EB0921"/>
    <w:rsid w:val="00EB0B4B"/>
    <w:rsid w:val="00EB0C63"/>
    <w:rsid w:val="00EB17CA"/>
    <w:rsid w:val="00EB1FA4"/>
    <w:rsid w:val="00EB2AFE"/>
    <w:rsid w:val="00EB2FAB"/>
    <w:rsid w:val="00EB2FF4"/>
    <w:rsid w:val="00EB306B"/>
    <w:rsid w:val="00EB30F3"/>
    <w:rsid w:val="00EB3188"/>
    <w:rsid w:val="00EB363D"/>
    <w:rsid w:val="00EB4683"/>
    <w:rsid w:val="00EB55BD"/>
    <w:rsid w:val="00EB61F2"/>
    <w:rsid w:val="00EB6589"/>
    <w:rsid w:val="00EB6680"/>
    <w:rsid w:val="00EB6F44"/>
    <w:rsid w:val="00EB71A4"/>
    <w:rsid w:val="00EB7972"/>
    <w:rsid w:val="00EB7BBF"/>
    <w:rsid w:val="00EC03B5"/>
    <w:rsid w:val="00EC08F4"/>
    <w:rsid w:val="00EC14BA"/>
    <w:rsid w:val="00EC153A"/>
    <w:rsid w:val="00EC19E4"/>
    <w:rsid w:val="00EC1FC1"/>
    <w:rsid w:val="00EC23E0"/>
    <w:rsid w:val="00EC2684"/>
    <w:rsid w:val="00EC2BCE"/>
    <w:rsid w:val="00EC2CB3"/>
    <w:rsid w:val="00EC334E"/>
    <w:rsid w:val="00EC353F"/>
    <w:rsid w:val="00EC3F20"/>
    <w:rsid w:val="00EC3F78"/>
    <w:rsid w:val="00EC4B80"/>
    <w:rsid w:val="00EC4C4E"/>
    <w:rsid w:val="00EC4EDD"/>
    <w:rsid w:val="00EC5805"/>
    <w:rsid w:val="00EC5B43"/>
    <w:rsid w:val="00EC5DD5"/>
    <w:rsid w:val="00EC61B0"/>
    <w:rsid w:val="00EC7019"/>
    <w:rsid w:val="00EC785B"/>
    <w:rsid w:val="00EC7EA4"/>
    <w:rsid w:val="00ED0444"/>
    <w:rsid w:val="00ED0A07"/>
    <w:rsid w:val="00ED0AE9"/>
    <w:rsid w:val="00ED0FE0"/>
    <w:rsid w:val="00ED1961"/>
    <w:rsid w:val="00ED1ADB"/>
    <w:rsid w:val="00ED2FA1"/>
    <w:rsid w:val="00ED40AA"/>
    <w:rsid w:val="00ED5BBB"/>
    <w:rsid w:val="00ED65BD"/>
    <w:rsid w:val="00ED7B57"/>
    <w:rsid w:val="00EE03ED"/>
    <w:rsid w:val="00EE04D2"/>
    <w:rsid w:val="00EE20F5"/>
    <w:rsid w:val="00EE21E2"/>
    <w:rsid w:val="00EE24B4"/>
    <w:rsid w:val="00EE2CCA"/>
    <w:rsid w:val="00EE2E58"/>
    <w:rsid w:val="00EE33F8"/>
    <w:rsid w:val="00EE39D7"/>
    <w:rsid w:val="00EE3F77"/>
    <w:rsid w:val="00EE45F9"/>
    <w:rsid w:val="00EE5102"/>
    <w:rsid w:val="00EE5D01"/>
    <w:rsid w:val="00EE5D53"/>
    <w:rsid w:val="00EE62F0"/>
    <w:rsid w:val="00EE6736"/>
    <w:rsid w:val="00EE6856"/>
    <w:rsid w:val="00EE6B8C"/>
    <w:rsid w:val="00EE6F73"/>
    <w:rsid w:val="00EE7515"/>
    <w:rsid w:val="00EF044E"/>
    <w:rsid w:val="00EF0492"/>
    <w:rsid w:val="00EF092A"/>
    <w:rsid w:val="00EF2454"/>
    <w:rsid w:val="00EF2DF6"/>
    <w:rsid w:val="00EF3228"/>
    <w:rsid w:val="00EF3B93"/>
    <w:rsid w:val="00EF4584"/>
    <w:rsid w:val="00EF5048"/>
    <w:rsid w:val="00EF56A4"/>
    <w:rsid w:val="00EF5736"/>
    <w:rsid w:val="00EF5767"/>
    <w:rsid w:val="00EF5E7D"/>
    <w:rsid w:val="00EF66D0"/>
    <w:rsid w:val="00EF6D80"/>
    <w:rsid w:val="00EF6F68"/>
    <w:rsid w:val="00EF7A91"/>
    <w:rsid w:val="00F00369"/>
    <w:rsid w:val="00F00EA4"/>
    <w:rsid w:val="00F0221E"/>
    <w:rsid w:val="00F0232A"/>
    <w:rsid w:val="00F02E83"/>
    <w:rsid w:val="00F03A00"/>
    <w:rsid w:val="00F056DC"/>
    <w:rsid w:val="00F05BDC"/>
    <w:rsid w:val="00F05FF3"/>
    <w:rsid w:val="00F07D51"/>
    <w:rsid w:val="00F07D6D"/>
    <w:rsid w:val="00F11275"/>
    <w:rsid w:val="00F11AAA"/>
    <w:rsid w:val="00F12224"/>
    <w:rsid w:val="00F12555"/>
    <w:rsid w:val="00F131BA"/>
    <w:rsid w:val="00F13C50"/>
    <w:rsid w:val="00F15F76"/>
    <w:rsid w:val="00F16468"/>
    <w:rsid w:val="00F16627"/>
    <w:rsid w:val="00F17226"/>
    <w:rsid w:val="00F176ED"/>
    <w:rsid w:val="00F17B4D"/>
    <w:rsid w:val="00F17EA7"/>
    <w:rsid w:val="00F20632"/>
    <w:rsid w:val="00F2308D"/>
    <w:rsid w:val="00F24460"/>
    <w:rsid w:val="00F245FE"/>
    <w:rsid w:val="00F24CAB"/>
    <w:rsid w:val="00F257DA"/>
    <w:rsid w:val="00F26391"/>
    <w:rsid w:val="00F269FF"/>
    <w:rsid w:val="00F27288"/>
    <w:rsid w:val="00F27384"/>
    <w:rsid w:val="00F27633"/>
    <w:rsid w:val="00F30A50"/>
    <w:rsid w:val="00F30B67"/>
    <w:rsid w:val="00F30BDF"/>
    <w:rsid w:val="00F30D24"/>
    <w:rsid w:val="00F30FE7"/>
    <w:rsid w:val="00F31CB9"/>
    <w:rsid w:val="00F31E5E"/>
    <w:rsid w:val="00F3263C"/>
    <w:rsid w:val="00F32838"/>
    <w:rsid w:val="00F335E8"/>
    <w:rsid w:val="00F34942"/>
    <w:rsid w:val="00F34D03"/>
    <w:rsid w:val="00F34FEC"/>
    <w:rsid w:val="00F35A5D"/>
    <w:rsid w:val="00F35FE3"/>
    <w:rsid w:val="00F36D97"/>
    <w:rsid w:val="00F375BF"/>
    <w:rsid w:val="00F40065"/>
    <w:rsid w:val="00F407F2"/>
    <w:rsid w:val="00F40A9D"/>
    <w:rsid w:val="00F40DA4"/>
    <w:rsid w:val="00F4118A"/>
    <w:rsid w:val="00F42197"/>
    <w:rsid w:val="00F42386"/>
    <w:rsid w:val="00F42642"/>
    <w:rsid w:val="00F4348F"/>
    <w:rsid w:val="00F43E67"/>
    <w:rsid w:val="00F441AF"/>
    <w:rsid w:val="00F443AB"/>
    <w:rsid w:val="00F445B1"/>
    <w:rsid w:val="00F44A0C"/>
    <w:rsid w:val="00F4564F"/>
    <w:rsid w:val="00F45AB3"/>
    <w:rsid w:val="00F45F93"/>
    <w:rsid w:val="00F46960"/>
    <w:rsid w:val="00F46A00"/>
    <w:rsid w:val="00F47599"/>
    <w:rsid w:val="00F47608"/>
    <w:rsid w:val="00F47A30"/>
    <w:rsid w:val="00F47C2F"/>
    <w:rsid w:val="00F47DAA"/>
    <w:rsid w:val="00F47F8C"/>
    <w:rsid w:val="00F504DB"/>
    <w:rsid w:val="00F50E80"/>
    <w:rsid w:val="00F51D90"/>
    <w:rsid w:val="00F521DA"/>
    <w:rsid w:val="00F523A4"/>
    <w:rsid w:val="00F52D34"/>
    <w:rsid w:val="00F53525"/>
    <w:rsid w:val="00F53F09"/>
    <w:rsid w:val="00F54922"/>
    <w:rsid w:val="00F562CB"/>
    <w:rsid w:val="00F5638F"/>
    <w:rsid w:val="00F568CF"/>
    <w:rsid w:val="00F568E0"/>
    <w:rsid w:val="00F572A5"/>
    <w:rsid w:val="00F57D68"/>
    <w:rsid w:val="00F57EBD"/>
    <w:rsid w:val="00F6006C"/>
    <w:rsid w:val="00F6023A"/>
    <w:rsid w:val="00F60479"/>
    <w:rsid w:val="00F60833"/>
    <w:rsid w:val="00F6155E"/>
    <w:rsid w:val="00F6195B"/>
    <w:rsid w:val="00F61AF1"/>
    <w:rsid w:val="00F622B2"/>
    <w:rsid w:val="00F62B47"/>
    <w:rsid w:val="00F62B9A"/>
    <w:rsid w:val="00F6365B"/>
    <w:rsid w:val="00F645AA"/>
    <w:rsid w:val="00F64601"/>
    <w:rsid w:val="00F64D42"/>
    <w:rsid w:val="00F66303"/>
    <w:rsid w:val="00F66B86"/>
    <w:rsid w:val="00F66C53"/>
    <w:rsid w:val="00F66C85"/>
    <w:rsid w:val="00F67AB6"/>
    <w:rsid w:val="00F67DAF"/>
    <w:rsid w:val="00F70025"/>
    <w:rsid w:val="00F70226"/>
    <w:rsid w:val="00F70AB1"/>
    <w:rsid w:val="00F70B56"/>
    <w:rsid w:val="00F71E17"/>
    <w:rsid w:val="00F72826"/>
    <w:rsid w:val="00F728CE"/>
    <w:rsid w:val="00F72FF7"/>
    <w:rsid w:val="00F73A8D"/>
    <w:rsid w:val="00F74716"/>
    <w:rsid w:val="00F74AF3"/>
    <w:rsid w:val="00F758E5"/>
    <w:rsid w:val="00F75AD1"/>
    <w:rsid w:val="00F7627B"/>
    <w:rsid w:val="00F769C9"/>
    <w:rsid w:val="00F76C71"/>
    <w:rsid w:val="00F77035"/>
    <w:rsid w:val="00F772E0"/>
    <w:rsid w:val="00F774CA"/>
    <w:rsid w:val="00F77B82"/>
    <w:rsid w:val="00F80653"/>
    <w:rsid w:val="00F8074B"/>
    <w:rsid w:val="00F8136D"/>
    <w:rsid w:val="00F816E4"/>
    <w:rsid w:val="00F81D99"/>
    <w:rsid w:val="00F820F6"/>
    <w:rsid w:val="00F82B85"/>
    <w:rsid w:val="00F82C28"/>
    <w:rsid w:val="00F8339D"/>
    <w:rsid w:val="00F833A9"/>
    <w:rsid w:val="00F835AB"/>
    <w:rsid w:val="00F83E5F"/>
    <w:rsid w:val="00F841F5"/>
    <w:rsid w:val="00F8464C"/>
    <w:rsid w:val="00F84FE3"/>
    <w:rsid w:val="00F8520D"/>
    <w:rsid w:val="00F854AC"/>
    <w:rsid w:val="00F85772"/>
    <w:rsid w:val="00F8630F"/>
    <w:rsid w:val="00F86DA3"/>
    <w:rsid w:val="00F86FF9"/>
    <w:rsid w:val="00F8700B"/>
    <w:rsid w:val="00F8766D"/>
    <w:rsid w:val="00F87AA6"/>
    <w:rsid w:val="00F90BF3"/>
    <w:rsid w:val="00F9127D"/>
    <w:rsid w:val="00F91C92"/>
    <w:rsid w:val="00F921DD"/>
    <w:rsid w:val="00F92267"/>
    <w:rsid w:val="00F92644"/>
    <w:rsid w:val="00F927E5"/>
    <w:rsid w:val="00F930DF"/>
    <w:rsid w:val="00F93597"/>
    <w:rsid w:val="00F942C2"/>
    <w:rsid w:val="00F94B0A"/>
    <w:rsid w:val="00F97D2C"/>
    <w:rsid w:val="00FA00EA"/>
    <w:rsid w:val="00FA0C5B"/>
    <w:rsid w:val="00FA10C2"/>
    <w:rsid w:val="00FA11DE"/>
    <w:rsid w:val="00FA2572"/>
    <w:rsid w:val="00FA2788"/>
    <w:rsid w:val="00FA3C73"/>
    <w:rsid w:val="00FA457D"/>
    <w:rsid w:val="00FA4D4D"/>
    <w:rsid w:val="00FA618D"/>
    <w:rsid w:val="00FA6374"/>
    <w:rsid w:val="00FA69FC"/>
    <w:rsid w:val="00FA6A0C"/>
    <w:rsid w:val="00FA6D92"/>
    <w:rsid w:val="00FA71E5"/>
    <w:rsid w:val="00FA7572"/>
    <w:rsid w:val="00FA7BE9"/>
    <w:rsid w:val="00FA7D25"/>
    <w:rsid w:val="00FA7EA4"/>
    <w:rsid w:val="00FB0235"/>
    <w:rsid w:val="00FB026C"/>
    <w:rsid w:val="00FB0315"/>
    <w:rsid w:val="00FB1103"/>
    <w:rsid w:val="00FB3329"/>
    <w:rsid w:val="00FB3530"/>
    <w:rsid w:val="00FB3547"/>
    <w:rsid w:val="00FB3CEF"/>
    <w:rsid w:val="00FB460B"/>
    <w:rsid w:val="00FB4A5D"/>
    <w:rsid w:val="00FB4E2C"/>
    <w:rsid w:val="00FB51CC"/>
    <w:rsid w:val="00FB55AD"/>
    <w:rsid w:val="00FB70E0"/>
    <w:rsid w:val="00FB7DF1"/>
    <w:rsid w:val="00FC02EC"/>
    <w:rsid w:val="00FC0DC1"/>
    <w:rsid w:val="00FC1396"/>
    <w:rsid w:val="00FC168A"/>
    <w:rsid w:val="00FC1751"/>
    <w:rsid w:val="00FC1846"/>
    <w:rsid w:val="00FC1A14"/>
    <w:rsid w:val="00FC1B8A"/>
    <w:rsid w:val="00FC1BEC"/>
    <w:rsid w:val="00FC24AF"/>
    <w:rsid w:val="00FC2FE1"/>
    <w:rsid w:val="00FC3656"/>
    <w:rsid w:val="00FC3B97"/>
    <w:rsid w:val="00FC41D8"/>
    <w:rsid w:val="00FC47DC"/>
    <w:rsid w:val="00FC565B"/>
    <w:rsid w:val="00FC5D4A"/>
    <w:rsid w:val="00FC6569"/>
    <w:rsid w:val="00FD08BE"/>
    <w:rsid w:val="00FD156A"/>
    <w:rsid w:val="00FD1D28"/>
    <w:rsid w:val="00FD1DD6"/>
    <w:rsid w:val="00FD1E56"/>
    <w:rsid w:val="00FD1FBA"/>
    <w:rsid w:val="00FD2C4D"/>
    <w:rsid w:val="00FD3A80"/>
    <w:rsid w:val="00FD504C"/>
    <w:rsid w:val="00FD509C"/>
    <w:rsid w:val="00FD59AB"/>
    <w:rsid w:val="00FD608C"/>
    <w:rsid w:val="00FD6107"/>
    <w:rsid w:val="00FD6337"/>
    <w:rsid w:val="00FD6C63"/>
    <w:rsid w:val="00FD6D4D"/>
    <w:rsid w:val="00FE03D6"/>
    <w:rsid w:val="00FE03DA"/>
    <w:rsid w:val="00FE0687"/>
    <w:rsid w:val="00FE0A22"/>
    <w:rsid w:val="00FE0AAE"/>
    <w:rsid w:val="00FE17D8"/>
    <w:rsid w:val="00FE1E92"/>
    <w:rsid w:val="00FE20B0"/>
    <w:rsid w:val="00FE22D8"/>
    <w:rsid w:val="00FE2F47"/>
    <w:rsid w:val="00FE3AA9"/>
    <w:rsid w:val="00FE3E9F"/>
    <w:rsid w:val="00FE4658"/>
    <w:rsid w:val="00FE5C0E"/>
    <w:rsid w:val="00FE5D83"/>
    <w:rsid w:val="00FE60CD"/>
    <w:rsid w:val="00FE6165"/>
    <w:rsid w:val="00FE7D1B"/>
    <w:rsid w:val="00FF02C6"/>
    <w:rsid w:val="00FF05F2"/>
    <w:rsid w:val="00FF0D83"/>
    <w:rsid w:val="00FF2B56"/>
    <w:rsid w:val="00FF3F59"/>
    <w:rsid w:val="00FF40E1"/>
    <w:rsid w:val="00FF4D90"/>
    <w:rsid w:val="00FF4E4C"/>
    <w:rsid w:val="00FF4FD8"/>
    <w:rsid w:val="00FF5287"/>
    <w:rsid w:val="00FF6AD9"/>
    <w:rsid w:val="00FF7257"/>
    <w:rsid w:val="00FF729B"/>
    <w:rsid w:val="00FF79AB"/>
    <w:rsid w:val="00FF7B98"/>
    <w:rsid w:val="0119677B"/>
    <w:rsid w:val="01453A14"/>
    <w:rsid w:val="018B5B00"/>
    <w:rsid w:val="01EF1329"/>
    <w:rsid w:val="020E3E06"/>
    <w:rsid w:val="02587777"/>
    <w:rsid w:val="02714395"/>
    <w:rsid w:val="02737AA0"/>
    <w:rsid w:val="027661DE"/>
    <w:rsid w:val="02B76E14"/>
    <w:rsid w:val="02D01BDB"/>
    <w:rsid w:val="031050E6"/>
    <w:rsid w:val="032A4C70"/>
    <w:rsid w:val="03C41A0A"/>
    <w:rsid w:val="03CE15EC"/>
    <w:rsid w:val="03E16DC3"/>
    <w:rsid w:val="046E34DE"/>
    <w:rsid w:val="04787C5D"/>
    <w:rsid w:val="04F112CA"/>
    <w:rsid w:val="052713FA"/>
    <w:rsid w:val="053E0EA6"/>
    <w:rsid w:val="05446E7B"/>
    <w:rsid w:val="05781AEB"/>
    <w:rsid w:val="05917805"/>
    <w:rsid w:val="06712BB6"/>
    <w:rsid w:val="06AE65FA"/>
    <w:rsid w:val="06BB3F60"/>
    <w:rsid w:val="06C558B1"/>
    <w:rsid w:val="072A7934"/>
    <w:rsid w:val="07413B34"/>
    <w:rsid w:val="07585B24"/>
    <w:rsid w:val="075E49A9"/>
    <w:rsid w:val="079E79DA"/>
    <w:rsid w:val="07A1396F"/>
    <w:rsid w:val="07D14BD6"/>
    <w:rsid w:val="07D4164E"/>
    <w:rsid w:val="08114650"/>
    <w:rsid w:val="083245C7"/>
    <w:rsid w:val="08514A4D"/>
    <w:rsid w:val="08FF094D"/>
    <w:rsid w:val="090A296D"/>
    <w:rsid w:val="09281229"/>
    <w:rsid w:val="093F26B9"/>
    <w:rsid w:val="095970FB"/>
    <w:rsid w:val="09C53944"/>
    <w:rsid w:val="09F14739"/>
    <w:rsid w:val="0A244012"/>
    <w:rsid w:val="0A4750B0"/>
    <w:rsid w:val="0A8768C1"/>
    <w:rsid w:val="0B071D3B"/>
    <w:rsid w:val="0B21560C"/>
    <w:rsid w:val="0B6D6042"/>
    <w:rsid w:val="0B8852D0"/>
    <w:rsid w:val="0C032876"/>
    <w:rsid w:val="0C264442"/>
    <w:rsid w:val="0C2A7A8F"/>
    <w:rsid w:val="0C4072B2"/>
    <w:rsid w:val="0C4D1800"/>
    <w:rsid w:val="0C546D2E"/>
    <w:rsid w:val="0C880C59"/>
    <w:rsid w:val="0C963376"/>
    <w:rsid w:val="0CA61EB0"/>
    <w:rsid w:val="0CE94122"/>
    <w:rsid w:val="0CFA1A3F"/>
    <w:rsid w:val="0D620BF6"/>
    <w:rsid w:val="0D732188"/>
    <w:rsid w:val="0D812CBE"/>
    <w:rsid w:val="0DA77509"/>
    <w:rsid w:val="0DEA431C"/>
    <w:rsid w:val="0DEC6AA8"/>
    <w:rsid w:val="0EB75826"/>
    <w:rsid w:val="0EDB3BFB"/>
    <w:rsid w:val="0EF12AE6"/>
    <w:rsid w:val="0EFD76DC"/>
    <w:rsid w:val="0F1F3AF7"/>
    <w:rsid w:val="0F2C2DD3"/>
    <w:rsid w:val="0F3756E0"/>
    <w:rsid w:val="0F3D21CF"/>
    <w:rsid w:val="0F3D7069"/>
    <w:rsid w:val="0F4F5303"/>
    <w:rsid w:val="0F52108C"/>
    <w:rsid w:val="0F973884"/>
    <w:rsid w:val="0F9A13CF"/>
    <w:rsid w:val="0FBD6E14"/>
    <w:rsid w:val="0FF408D0"/>
    <w:rsid w:val="10DB545F"/>
    <w:rsid w:val="10E20139"/>
    <w:rsid w:val="10EE19D3"/>
    <w:rsid w:val="114333A1"/>
    <w:rsid w:val="11486DAE"/>
    <w:rsid w:val="11E07B40"/>
    <w:rsid w:val="11EA05A4"/>
    <w:rsid w:val="11F8531E"/>
    <w:rsid w:val="12602CEB"/>
    <w:rsid w:val="1299596E"/>
    <w:rsid w:val="12B72298"/>
    <w:rsid w:val="12E9581F"/>
    <w:rsid w:val="13201BEB"/>
    <w:rsid w:val="13342406"/>
    <w:rsid w:val="133E02C4"/>
    <w:rsid w:val="138F7287"/>
    <w:rsid w:val="139807E1"/>
    <w:rsid w:val="13BC68F7"/>
    <w:rsid w:val="13D03611"/>
    <w:rsid w:val="13EE5E6D"/>
    <w:rsid w:val="13FF227C"/>
    <w:rsid w:val="14045733"/>
    <w:rsid w:val="14264FE0"/>
    <w:rsid w:val="143C2A55"/>
    <w:rsid w:val="14421E06"/>
    <w:rsid w:val="145B0AB2"/>
    <w:rsid w:val="149C7998"/>
    <w:rsid w:val="149F13F6"/>
    <w:rsid w:val="151B08BC"/>
    <w:rsid w:val="15226523"/>
    <w:rsid w:val="154B447A"/>
    <w:rsid w:val="15592AFA"/>
    <w:rsid w:val="159C34CA"/>
    <w:rsid w:val="15B036FB"/>
    <w:rsid w:val="15C472A7"/>
    <w:rsid w:val="15CE07B4"/>
    <w:rsid w:val="16331C36"/>
    <w:rsid w:val="16945AE1"/>
    <w:rsid w:val="16D43419"/>
    <w:rsid w:val="16E44443"/>
    <w:rsid w:val="170B670F"/>
    <w:rsid w:val="171E4693"/>
    <w:rsid w:val="17761FD6"/>
    <w:rsid w:val="17B1375A"/>
    <w:rsid w:val="17C62543"/>
    <w:rsid w:val="17EA6114"/>
    <w:rsid w:val="1801394C"/>
    <w:rsid w:val="1803642D"/>
    <w:rsid w:val="181470E8"/>
    <w:rsid w:val="18495740"/>
    <w:rsid w:val="18674E76"/>
    <w:rsid w:val="18B2778A"/>
    <w:rsid w:val="18D77590"/>
    <w:rsid w:val="19351C0F"/>
    <w:rsid w:val="195E521C"/>
    <w:rsid w:val="197763A3"/>
    <w:rsid w:val="19AE20A4"/>
    <w:rsid w:val="19CE05F3"/>
    <w:rsid w:val="19F908EC"/>
    <w:rsid w:val="1A0B120B"/>
    <w:rsid w:val="1A477E38"/>
    <w:rsid w:val="1A673EA4"/>
    <w:rsid w:val="1A8962C8"/>
    <w:rsid w:val="1AE50800"/>
    <w:rsid w:val="1AED6CFA"/>
    <w:rsid w:val="1B096B66"/>
    <w:rsid w:val="1B634D6B"/>
    <w:rsid w:val="1B6F54BE"/>
    <w:rsid w:val="1B724FAE"/>
    <w:rsid w:val="1BC17CE4"/>
    <w:rsid w:val="1C6B3C6E"/>
    <w:rsid w:val="1C8A1B6B"/>
    <w:rsid w:val="1C8C20A0"/>
    <w:rsid w:val="1CC42AA3"/>
    <w:rsid w:val="1CDD6249"/>
    <w:rsid w:val="1CDE6598"/>
    <w:rsid w:val="1D3544E5"/>
    <w:rsid w:val="1D672B20"/>
    <w:rsid w:val="1DE83362"/>
    <w:rsid w:val="1DF5681A"/>
    <w:rsid w:val="1E65704C"/>
    <w:rsid w:val="1EB15A4A"/>
    <w:rsid w:val="1EC37223"/>
    <w:rsid w:val="1F187E58"/>
    <w:rsid w:val="1F6D61B8"/>
    <w:rsid w:val="1FDF6804"/>
    <w:rsid w:val="1FE50F99"/>
    <w:rsid w:val="210245BC"/>
    <w:rsid w:val="210556E9"/>
    <w:rsid w:val="215E798D"/>
    <w:rsid w:val="218E2416"/>
    <w:rsid w:val="220C4FF4"/>
    <w:rsid w:val="22576CAC"/>
    <w:rsid w:val="2279613D"/>
    <w:rsid w:val="22AC349C"/>
    <w:rsid w:val="22B1460E"/>
    <w:rsid w:val="22DD56EF"/>
    <w:rsid w:val="22FB7F7F"/>
    <w:rsid w:val="234B6F64"/>
    <w:rsid w:val="237A14D9"/>
    <w:rsid w:val="238202B4"/>
    <w:rsid w:val="24194B61"/>
    <w:rsid w:val="244A6AC8"/>
    <w:rsid w:val="246208D0"/>
    <w:rsid w:val="24855D52"/>
    <w:rsid w:val="251F7F55"/>
    <w:rsid w:val="253A7941"/>
    <w:rsid w:val="254C2D6B"/>
    <w:rsid w:val="257057DB"/>
    <w:rsid w:val="25A813ED"/>
    <w:rsid w:val="26320B1E"/>
    <w:rsid w:val="264C7EB3"/>
    <w:rsid w:val="26663961"/>
    <w:rsid w:val="266752F7"/>
    <w:rsid w:val="26BB7131"/>
    <w:rsid w:val="2751016E"/>
    <w:rsid w:val="27B11B79"/>
    <w:rsid w:val="27B3047E"/>
    <w:rsid w:val="27D35027"/>
    <w:rsid w:val="27F60D15"/>
    <w:rsid w:val="28910F15"/>
    <w:rsid w:val="28C606E7"/>
    <w:rsid w:val="28DC615D"/>
    <w:rsid w:val="28F2772E"/>
    <w:rsid w:val="28F62A31"/>
    <w:rsid w:val="28FB2A87"/>
    <w:rsid w:val="29046240"/>
    <w:rsid w:val="29086F52"/>
    <w:rsid w:val="29123459"/>
    <w:rsid w:val="296B0B1B"/>
    <w:rsid w:val="29912711"/>
    <w:rsid w:val="29AB09BE"/>
    <w:rsid w:val="29B560F4"/>
    <w:rsid w:val="29D84B76"/>
    <w:rsid w:val="29E03A2B"/>
    <w:rsid w:val="2A447B8C"/>
    <w:rsid w:val="2A9D36CA"/>
    <w:rsid w:val="2B783AE7"/>
    <w:rsid w:val="2C027C88"/>
    <w:rsid w:val="2C2E0A7D"/>
    <w:rsid w:val="2C31056E"/>
    <w:rsid w:val="2C332538"/>
    <w:rsid w:val="2D2E2CC0"/>
    <w:rsid w:val="2D533D70"/>
    <w:rsid w:val="2DDD6BFF"/>
    <w:rsid w:val="2DE52846"/>
    <w:rsid w:val="2E3A43D9"/>
    <w:rsid w:val="2E5630F8"/>
    <w:rsid w:val="2EBB6CEE"/>
    <w:rsid w:val="2ED26038"/>
    <w:rsid w:val="2F3445FD"/>
    <w:rsid w:val="2F8E14F4"/>
    <w:rsid w:val="2F96555D"/>
    <w:rsid w:val="2FBA5CED"/>
    <w:rsid w:val="2FCF2577"/>
    <w:rsid w:val="2FE36023"/>
    <w:rsid w:val="30606DF6"/>
    <w:rsid w:val="30B163E1"/>
    <w:rsid w:val="30C145B6"/>
    <w:rsid w:val="30CB0F91"/>
    <w:rsid w:val="310F28E7"/>
    <w:rsid w:val="3131376D"/>
    <w:rsid w:val="31D35354"/>
    <w:rsid w:val="31DB5204"/>
    <w:rsid w:val="32553784"/>
    <w:rsid w:val="32803FFD"/>
    <w:rsid w:val="328F7419"/>
    <w:rsid w:val="329F0927"/>
    <w:rsid w:val="32C57C62"/>
    <w:rsid w:val="334F1E73"/>
    <w:rsid w:val="335C02D0"/>
    <w:rsid w:val="338719E6"/>
    <w:rsid w:val="3392421C"/>
    <w:rsid w:val="33C148CD"/>
    <w:rsid w:val="33F95E15"/>
    <w:rsid w:val="341E642D"/>
    <w:rsid w:val="34230BB9"/>
    <w:rsid w:val="344F1ED9"/>
    <w:rsid w:val="346E6803"/>
    <w:rsid w:val="34757B91"/>
    <w:rsid w:val="34AE1F52"/>
    <w:rsid w:val="34C85348"/>
    <w:rsid w:val="350D31D1"/>
    <w:rsid w:val="35111608"/>
    <w:rsid w:val="35454CD0"/>
    <w:rsid w:val="35600B3D"/>
    <w:rsid w:val="359758E5"/>
    <w:rsid w:val="35E12182"/>
    <w:rsid w:val="35F40F8A"/>
    <w:rsid w:val="3633728A"/>
    <w:rsid w:val="365437D6"/>
    <w:rsid w:val="368A369C"/>
    <w:rsid w:val="36C245C9"/>
    <w:rsid w:val="36E83F1F"/>
    <w:rsid w:val="36FB1EA4"/>
    <w:rsid w:val="376938D6"/>
    <w:rsid w:val="376E08C8"/>
    <w:rsid w:val="37B207B5"/>
    <w:rsid w:val="37D60C3C"/>
    <w:rsid w:val="37ED7A3F"/>
    <w:rsid w:val="37F4701F"/>
    <w:rsid w:val="382E5A0E"/>
    <w:rsid w:val="386D6659"/>
    <w:rsid w:val="38AC78FA"/>
    <w:rsid w:val="38AF06DE"/>
    <w:rsid w:val="38E36ACF"/>
    <w:rsid w:val="390F0F9B"/>
    <w:rsid w:val="39761CB6"/>
    <w:rsid w:val="39E54227"/>
    <w:rsid w:val="39E906DA"/>
    <w:rsid w:val="3A1931B5"/>
    <w:rsid w:val="3A512D5B"/>
    <w:rsid w:val="3A8214E8"/>
    <w:rsid w:val="3B9C30DC"/>
    <w:rsid w:val="3BD15712"/>
    <w:rsid w:val="3BED5C1E"/>
    <w:rsid w:val="3C4C175A"/>
    <w:rsid w:val="3CAD335E"/>
    <w:rsid w:val="3CB268F5"/>
    <w:rsid w:val="3CC00846"/>
    <w:rsid w:val="3D3E1B8A"/>
    <w:rsid w:val="3D54678C"/>
    <w:rsid w:val="3D7959A4"/>
    <w:rsid w:val="3DE2791A"/>
    <w:rsid w:val="3E187262"/>
    <w:rsid w:val="3E5D780B"/>
    <w:rsid w:val="3E69030B"/>
    <w:rsid w:val="3EC05384"/>
    <w:rsid w:val="3ED54C8A"/>
    <w:rsid w:val="3EDB6F76"/>
    <w:rsid w:val="3F52287D"/>
    <w:rsid w:val="3FC5548A"/>
    <w:rsid w:val="3FE07E89"/>
    <w:rsid w:val="40022AF0"/>
    <w:rsid w:val="40384169"/>
    <w:rsid w:val="40836734"/>
    <w:rsid w:val="40EF3CF2"/>
    <w:rsid w:val="40F60FDA"/>
    <w:rsid w:val="410331DD"/>
    <w:rsid w:val="410F7001"/>
    <w:rsid w:val="4182744A"/>
    <w:rsid w:val="418A0239"/>
    <w:rsid w:val="419B675D"/>
    <w:rsid w:val="41A9618C"/>
    <w:rsid w:val="421B2250"/>
    <w:rsid w:val="42223679"/>
    <w:rsid w:val="423821FE"/>
    <w:rsid w:val="42902BF5"/>
    <w:rsid w:val="43240C13"/>
    <w:rsid w:val="4326474D"/>
    <w:rsid w:val="433D6C2E"/>
    <w:rsid w:val="43AC644B"/>
    <w:rsid w:val="43B125F1"/>
    <w:rsid w:val="43B21B3C"/>
    <w:rsid w:val="43FE5297"/>
    <w:rsid w:val="440E5F07"/>
    <w:rsid w:val="449A358B"/>
    <w:rsid w:val="44B84003"/>
    <w:rsid w:val="44DF2E05"/>
    <w:rsid w:val="4515798A"/>
    <w:rsid w:val="45370E34"/>
    <w:rsid w:val="453C2005"/>
    <w:rsid w:val="4588524B"/>
    <w:rsid w:val="45BB5620"/>
    <w:rsid w:val="45F14BBF"/>
    <w:rsid w:val="46566C23"/>
    <w:rsid w:val="465A6BE7"/>
    <w:rsid w:val="466B0880"/>
    <w:rsid w:val="46960E37"/>
    <w:rsid w:val="46C01A18"/>
    <w:rsid w:val="47152B0E"/>
    <w:rsid w:val="4720279C"/>
    <w:rsid w:val="47282841"/>
    <w:rsid w:val="47CB7671"/>
    <w:rsid w:val="47E137D2"/>
    <w:rsid w:val="47F210A1"/>
    <w:rsid w:val="482B44CE"/>
    <w:rsid w:val="48967511"/>
    <w:rsid w:val="489C1804"/>
    <w:rsid w:val="48A26623"/>
    <w:rsid w:val="490D166E"/>
    <w:rsid w:val="495F4514"/>
    <w:rsid w:val="49CF2D7C"/>
    <w:rsid w:val="4A26658A"/>
    <w:rsid w:val="4A486FF0"/>
    <w:rsid w:val="4A5C478F"/>
    <w:rsid w:val="4AB67A78"/>
    <w:rsid w:val="4ABD15C7"/>
    <w:rsid w:val="4AE4077C"/>
    <w:rsid w:val="4B1038ED"/>
    <w:rsid w:val="4B1650A7"/>
    <w:rsid w:val="4B3F63AB"/>
    <w:rsid w:val="4B681B5C"/>
    <w:rsid w:val="4B9F6A86"/>
    <w:rsid w:val="4BAF1783"/>
    <w:rsid w:val="4BC6087B"/>
    <w:rsid w:val="4BD77F4E"/>
    <w:rsid w:val="4BD8790F"/>
    <w:rsid w:val="4BF930BB"/>
    <w:rsid w:val="4C251683"/>
    <w:rsid w:val="4C454FFD"/>
    <w:rsid w:val="4C455C43"/>
    <w:rsid w:val="4C502C79"/>
    <w:rsid w:val="4D180001"/>
    <w:rsid w:val="4D850884"/>
    <w:rsid w:val="4E2F6C3C"/>
    <w:rsid w:val="4EDB1D86"/>
    <w:rsid w:val="4F195165"/>
    <w:rsid w:val="4F1D6A04"/>
    <w:rsid w:val="4F2C343F"/>
    <w:rsid w:val="4F6E1B70"/>
    <w:rsid w:val="4F823958"/>
    <w:rsid w:val="5062520D"/>
    <w:rsid w:val="50666188"/>
    <w:rsid w:val="50AA2519"/>
    <w:rsid w:val="50AE65DF"/>
    <w:rsid w:val="513B13C3"/>
    <w:rsid w:val="51825244"/>
    <w:rsid w:val="521945B5"/>
    <w:rsid w:val="528A50D4"/>
    <w:rsid w:val="52B1277B"/>
    <w:rsid w:val="530670F8"/>
    <w:rsid w:val="531632E2"/>
    <w:rsid w:val="531C0D27"/>
    <w:rsid w:val="532D4459"/>
    <w:rsid w:val="53424C8B"/>
    <w:rsid w:val="53D0673A"/>
    <w:rsid w:val="53D22C9D"/>
    <w:rsid w:val="53EC7A91"/>
    <w:rsid w:val="53ED432E"/>
    <w:rsid w:val="54683E07"/>
    <w:rsid w:val="546F5EAC"/>
    <w:rsid w:val="548E13E0"/>
    <w:rsid w:val="54966540"/>
    <w:rsid w:val="549A6402"/>
    <w:rsid w:val="54CC5154"/>
    <w:rsid w:val="54DC2EBD"/>
    <w:rsid w:val="54E0537E"/>
    <w:rsid w:val="55344881"/>
    <w:rsid w:val="555667CB"/>
    <w:rsid w:val="557C53B8"/>
    <w:rsid w:val="55926906"/>
    <w:rsid w:val="55B55BE8"/>
    <w:rsid w:val="55CE6CAA"/>
    <w:rsid w:val="561B1F20"/>
    <w:rsid w:val="5652634F"/>
    <w:rsid w:val="56EB523E"/>
    <w:rsid w:val="571A1A7B"/>
    <w:rsid w:val="573F2DAE"/>
    <w:rsid w:val="575651A9"/>
    <w:rsid w:val="579932E7"/>
    <w:rsid w:val="579E26AC"/>
    <w:rsid w:val="57D067F5"/>
    <w:rsid w:val="57E9601D"/>
    <w:rsid w:val="58254B7B"/>
    <w:rsid w:val="58296419"/>
    <w:rsid w:val="58463AF5"/>
    <w:rsid w:val="58484328"/>
    <w:rsid w:val="587B772C"/>
    <w:rsid w:val="58823D7B"/>
    <w:rsid w:val="58910B6D"/>
    <w:rsid w:val="58D2274B"/>
    <w:rsid w:val="5A027E85"/>
    <w:rsid w:val="5A0507C0"/>
    <w:rsid w:val="5A3612C1"/>
    <w:rsid w:val="5A6C1D39"/>
    <w:rsid w:val="5ABA2714"/>
    <w:rsid w:val="5B0F4685"/>
    <w:rsid w:val="5B4C16AB"/>
    <w:rsid w:val="5BEC5072"/>
    <w:rsid w:val="5BFE3CAA"/>
    <w:rsid w:val="5C076A71"/>
    <w:rsid w:val="5C083578"/>
    <w:rsid w:val="5C28672B"/>
    <w:rsid w:val="5C5D0D87"/>
    <w:rsid w:val="5C86505B"/>
    <w:rsid w:val="5CB12E81"/>
    <w:rsid w:val="5D045A0D"/>
    <w:rsid w:val="5D2C3FDA"/>
    <w:rsid w:val="5DC0337C"/>
    <w:rsid w:val="5DCA7286"/>
    <w:rsid w:val="5E0341A0"/>
    <w:rsid w:val="5E08470F"/>
    <w:rsid w:val="5E3B6EA6"/>
    <w:rsid w:val="5E4D2F85"/>
    <w:rsid w:val="5E624433"/>
    <w:rsid w:val="5E6C22FF"/>
    <w:rsid w:val="5EA0080C"/>
    <w:rsid w:val="5EA04F5B"/>
    <w:rsid w:val="5EA36E98"/>
    <w:rsid w:val="5EAE0379"/>
    <w:rsid w:val="5EC42F0A"/>
    <w:rsid w:val="5EFB33AB"/>
    <w:rsid w:val="5F7B30C5"/>
    <w:rsid w:val="5F922FF3"/>
    <w:rsid w:val="5F930E29"/>
    <w:rsid w:val="5FBB7F8E"/>
    <w:rsid w:val="5FD24E48"/>
    <w:rsid w:val="60535DA2"/>
    <w:rsid w:val="606647BC"/>
    <w:rsid w:val="60883EF9"/>
    <w:rsid w:val="608A1A1F"/>
    <w:rsid w:val="608E4DD3"/>
    <w:rsid w:val="609C4A28"/>
    <w:rsid w:val="60AF1486"/>
    <w:rsid w:val="60E21CAF"/>
    <w:rsid w:val="60E317F8"/>
    <w:rsid w:val="60E337D7"/>
    <w:rsid w:val="616218C1"/>
    <w:rsid w:val="616E7593"/>
    <w:rsid w:val="61E70206"/>
    <w:rsid w:val="6223037D"/>
    <w:rsid w:val="624327CD"/>
    <w:rsid w:val="62500A46"/>
    <w:rsid w:val="6267026A"/>
    <w:rsid w:val="62730367"/>
    <w:rsid w:val="627921AF"/>
    <w:rsid w:val="62F3706B"/>
    <w:rsid w:val="62FF66F4"/>
    <w:rsid w:val="632B5DF3"/>
    <w:rsid w:val="633A15F8"/>
    <w:rsid w:val="63402869"/>
    <w:rsid w:val="634703D9"/>
    <w:rsid w:val="639A641D"/>
    <w:rsid w:val="63E1229E"/>
    <w:rsid w:val="642D103F"/>
    <w:rsid w:val="643E2B2A"/>
    <w:rsid w:val="64625557"/>
    <w:rsid w:val="64AC465A"/>
    <w:rsid w:val="652E1513"/>
    <w:rsid w:val="652F13D7"/>
    <w:rsid w:val="655E50B2"/>
    <w:rsid w:val="6560705A"/>
    <w:rsid w:val="65C46CD4"/>
    <w:rsid w:val="65CC6636"/>
    <w:rsid w:val="65D379C4"/>
    <w:rsid w:val="660758C0"/>
    <w:rsid w:val="66432D9C"/>
    <w:rsid w:val="667440E1"/>
    <w:rsid w:val="66811B16"/>
    <w:rsid w:val="66CE6F6C"/>
    <w:rsid w:val="66F97A20"/>
    <w:rsid w:val="673E3563"/>
    <w:rsid w:val="67564D51"/>
    <w:rsid w:val="675B331F"/>
    <w:rsid w:val="67696832"/>
    <w:rsid w:val="67801DCE"/>
    <w:rsid w:val="67B4544C"/>
    <w:rsid w:val="67F24A7A"/>
    <w:rsid w:val="68024591"/>
    <w:rsid w:val="68111941"/>
    <w:rsid w:val="68130BFB"/>
    <w:rsid w:val="68153AD4"/>
    <w:rsid w:val="686D44C4"/>
    <w:rsid w:val="68C77CB4"/>
    <w:rsid w:val="6918360E"/>
    <w:rsid w:val="69280027"/>
    <w:rsid w:val="69412A5F"/>
    <w:rsid w:val="695C6851"/>
    <w:rsid w:val="697D0373"/>
    <w:rsid w:val="69997176"/>
    <w:rsid w:val="69C67F6C"/>
    <w:rsid w:val="6A462E5B"/>
    <w:rsid w:val="6A723C50"/>
    <w:rsid w:val="6A8419D3"/>
    <w:rsid w:val="6AE52674"/>
    <w:rsid w:val="6B030553"/>
    <w:rsid w:val="6B243E46"/>
    <w:rsid w:val="6B3E603E"/>
    <w:rsid w:val="6B401DAB"/>
    <w:rsid w:val="6B5C220A"/>
    <w:rsid w:val="6B9E2823"/>
    <w:rsid w:val="6BAA48FE"/>
    <w:rsid w:val="6C07486C"/>
    <w:rsid w:val="6C0F078D"/>
    <w:rsid w:val="6C1C7AD4"/>
    <w:rsid w:val="6C6E10F7"/>
    <w:rsid w:val="6C6E606C"/>
    <w:rsid w:val="6C8B062F"/>
    <w:rsid w:val="6D0843F7"/>
    <w:rsid w:val="6D3C22F3"/>
    <w:rsid w:val="6DE252C6"/>
    <w:rsid w:val="6DF4709F"/>
    <w:rsid w:val="6E153270"/>
    <w:rsid w:val="6E7C61EC"/>
    <w:rsid w:val="6ED76777"/>
    <w:rsid w:val="6EFB7812"/>
    <w:rsid w:val="6EFC1D3A"/>
    <w:rsid w:val="6F3A4D84"/>
    <w:rsid w:val="6F616041"/>
    <w:rsid w:val="6F6B3108"/>
    <w:rsid w:val="6F8A5233"/>
    <w:rsid w:val="6FE374F9"/>
    <w:rsid w:val="705D2CAC"/>
    <w:rsid w:val="705F61CB"/>
    <w:rsid w:val="70730722"/>
    <w:rsid w:val="70FE448F"/>
    <w:rsid w:val="71144DD0"/>
    <w:rsid w:val="711C4915"/>
    <w:rsid w:val="71423286"/>
    <w:rsid w:val="71663288"/>
    <w:rsid w:val="71AF50EB"/>
    <w:rsid w:val="71C24728"/>
    <w:rsid w:val="71DC5E53"/>
    <w:rsid w:val="71DC69CC"/>
    <w:rsid w:val="723D4415"/>
    <w:rsid w:val="72520D6C"/>
    <w:rsid w:val="72646574"/>
    <w:rsid w:val="726C5429"/>
    <w:rsid w:val="727F3F07"/>
    <w:rsid w:val="729F6B7B"/>
    <w:rsid w:val="72BF19FC"/>
    <w:rsid w:val="72D24974"/>
    <w:rsid w:val="72E17BC5"/>
    <w:rsid w:val="72E8505D"/>
    <w:rsid w:val="73532145"/>
    <w:rsid w:val="73682359"/>
    <w:rsid w:val="73A40BF2"/>
    <w:rsid w:val="73A66718"/>
    <w:rsid w:val="73AA595A"/>
    <w:rsid w:val="73E37359"/>
    <w:rsid w:val="73E536E4"/>
    <w:rsid w:val="73E65A38"/>
    <w:rsid w:val="741B7106"/>
    <w:rsid w:val="75041948"/>
    <w:rsid w:val="750B0F29"/>
    <w:rsid w:val="758E5BD6"/>
    <w:rsid w:val="75984ABB"/>
    <w:rsid w:val="75A849CA"/>
    <w:rsid w:val="75EF25F8"/>
    <w:rsid w:val="762A3631"/>
    <w:rsid w:val="762C55FB"/>
    <w:rsid w:val="76751429"/>
    <w:rsid w:val="769F1889"/>
    <w:rsid w:val="76A77DA7"/>
    <w:rsid w:val="770F2826"/>
    <w:rsid w:val="77237FC1"/>
    <w:rsid w:val="775D0539"/>
    <w:rsid w:val="778E7BEF"/>
    <w:rsid w:val="77DA4BE2"/>
    <w:rsid w:val="77E008D0"/>
    <w:rsid w:val="77E67240"/>
    <w:rsid w:val="785E5813"/>
    <w:rsid w:val="78886D34"/>
    <w:rsid w:val="78A31478"/>
    <w:rsid w:val="78A430F2"/>
    <w:rsid w:val="78D578AA"/>
    <w:rsid w:val="78E977D3"/>
    <w:rsid w:val="79404F19"/>
    <w:rsid w:val="79525D3E"/>
    <w:rsid w:val="79905EA0"/>
    <w:rsid w:val="79B14FDF"/>
    <w:rsid w:val="7A1268B5"/>
    <w:rsid w:val="7A1F0FD2"/>
    <w:rsid w:val="7A98380D"/>
    <w:rsid w:val="7AE81BDA"/>
    <w:rsid w:val="7B645C8E"/>
    <w:rsid w:val="7B7F4658"/>
    <w:rsid w:val="7B8A35A6"/>
    <w:rsid w:val="7B917CAE"/>
    <w:rsid w:val="7B9D2CB3"/>
    <w:rsid w:val="7BB004C2"/>
    <w:rsid w:val="7BC260B9"/>
    <w:rsid w:val="7BC57958"/>
    <w:rsid w:val="7BC73F39"/>
    <w:rsid w:val="7C243549"/>
    <w:rsid w:val="7C411E21"/>
    <w:rsid w:val="7C72025F"/>
    <w:rsid w:val="7CD56094"/>
    <w:rsid w:val="7CF87F76"/>
    <w:rsid w:val="7D052701"/>
    <w:rsid w:val="7D717D97"/>
    <w:rsid w:val="7DD4547A"/>
    <w:rsid w:val="7DD67DA5"/>
    <w:rsid w:val="7DE47E14"/>
    <w:rsid w:val="7DE67D76"/>
    <w:rsid w:val="7DFA4230"/>
    <w:rsid w:val="7E300895"/>
    <w:rsid w:val="7E374B3D"/>
    <w:rsid w:val="7E611BB9"/>
    <w:rsid w:val="7E871A71"/>
    <w:rsid w:val="7EC51B0B"/>
    <w:rsid w:val="7EFF324E"/>
    <w:rsid w:val="7F030EC3"/>
    <w:rsid w:val="7F62208D"/>
    <w:rsid w:val="7FC470C4"/>
    <w:rsid w:val="7FE24F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99"/>
    <w:pPr>
      <w:keepNext/>
      <w:keepLines/>
      <w:spacing w:before="260" w:after="260" w:line="415" w:lineRule="auto"/>
      <w:outlineLvl w:val="1"/>
    </w:pPr>
    <w:rPr>
      <w:rFonts w:ascii="Cambria" w:hAnsi="Cambria" w:cs="Cambria"/>
      <w:b/>
      <w:bCs/>
      <w:sz w:val="32"/>
      <w:szCs w:val="32"/>
    </w:rPr>
  </w:style>
  <w:style w:type="paragraph" w:styleId="5">
    <w:name w:val="heading 3"/>
    <w:basedOn w:val="1"/>
    <w:next w:val="1"/>
    <w:link w:val="36"/>
    <w:qFormat/>
    <w:uiPriority w:val="99"/>
    <w:pPr>
      <w:widowControl/>
      <w:spacing w:before="100" w:beforeAutospacing="1" w:after="100" w:afterAutospacing="1"/>
      <w:jc w:val="left"/>
      <w:outlineLvl w:val="2"/>
    </w:pPr>
    <w:rPr>
      <w:rFonts w:ascii="宋体" w:cs="宋体"/>
      <w:b/>
      <w:bCs/>
      <w:kern w:val="0"/>
      <w:sz w:val="27"/>
      <w:szCs w:val="27"/>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unhideWhenUsed/>
    <w:qFormat/>
    <w:uiPriority w:val="99"/>
    <w:pPr>
      <w:spacing w:after="120"/>
    </w:pPr>
  </w:style>
  <w:style w:type="paragraph" w:styleId="6">
    <w:name w:val="Normal Indent"/>
    <w:basedOn w:val="1"/>
    <w:qFormat/>
    <w:uiPriority w:val="99"/>
    <w:pPr>
      <w:adjustRightInd w:val="0"/>
      <w:spacing w:line="360" w:lineRule="atLeast"/>
      <w:ind w:firstLine="482"/>
      <w:textAlignment w:val="baseline"/>
    </w:pPr>
    <w:rPr>
      <w:kern w:val="0"/>
      <w:sz w:val="24"/>
      <w:szCs w:val="24"/>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annotation text"/>
    <w:basedOn w:val="1"/>
    <w:link w:val="37"/>
    <w:semiHidden/>
    <w:qFormat/>
    <w:uiPriority w:val="99"/>
    <w:pPr>
      <w:jc w:val="left"/>
    </w:pPr>
  </w:style>
  <w:style w:type="paragraph" w:styleId="9">
    <w:name w:val="Body Text Indent"/>
    <w:basedOn w:val="1"/>
    <w:link w:val="39"/>
    <w:qFormat/>
    <w:uiPriority w:val="99"/>
    <w:pPr>
      <w:spacing w:after="120"/>
      <w:ind w:left="200" w:leftChars="200"/>
    </w:pPr>
  </w:style>
  <w:style w:type="paragraph" w:styleId="10">
    <w:name w:val="Plain Text"/>
    <w:basedOn w:val="1"/>
    <w:link w:val="40"/>
    <w:qFormat/>
    <w:uiPriority w:val="0"/>
    <w:pPr>
      <w:widowControl/>
      <w:jc w:val="left"/>
    </w:pPr>
    <w:rPr>
      <w:rFonts w:ascii="宋体" w:cs="宋体"/>
      <w:kern w:val="0"/>
    </w:rPr>
  </w:style>
  <w:style w:type="paragraph" w:styleId="11">
    <w:name w:val="Date"/>
    <w:basedOn w:val="1"/>
    <w:next w:val="1"/>
    <w:link w:val="41"/>
    <w:qFormat/>
    <w:uiPriority w:val="99"/>
    <w:rPr>
      <w:rFonts w:ascii="宋体" w:cs="宋体"/>
      <w:sz w:val="24"/>
      <w:szCs w:val="24"/>
    </w:rPr>
  </w:style>
  <w:style w:type="paragraph" w:styleId="12">
    <w:name w:val="Balloon Text"/>
    <w:basedOn w:val="1"/>
    <w:link w:val="42"/>
    <w:semiHidden/>
    <w:qFormat/>
    <w:uiPriority w:val="99"/>
    <w:rPr>
      <w:sz w:val="18"/>
      <w:szCs w:val="18"/>
    </w:rPr>
  </w:style>
  <w:style w:type="paragraph" w:styleId="13">
    <w:name w:val="footer"/>
    <w:basedOn w:val="1"/>
    <w:link w:val="43"/>
    <w:qFormat/>
    <w:uiPriority w:val="99"/>
    <w:pPr>
      <w:tabs>
        <w:tab w:val="center" w:pos="4153"/>
        <w:tab w:val="right" w:pos="8306"/>
      </w:tabs>
      <w:snapToGrid w:val="0"/>
      <w:jc w:val="left"/>
    </w:pPr>
    <w:rPr>
      <w:sz w:val="18"/>
      <w:szCs w:val="18"/>
    </w:rPr>
  </w:style>
  <w:style w:type="paragraph" w:styleId="14">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62"/>
    <w:qFormat/>
    <w:locked/>
    <w:uiPriority w:val="0"/>
    <w:pPr>
      <w:adjustRightInd w:val="0"/>
      <w:snapToGrid w:val="0"/>
      <w:spacing w:line="360" w:lineRule="auto"/>
      <w:jc w:val="center"/>
      <w:outlineLvl w:val="0"/>
    </w:pPr>
    <w:rPr>
      <w:rFonts w:ascii="Cambria" w:hAnsi="Cambria"/>
      <w:b/>
      <w:bCs/>
      <w:kern w:val="28"/>
      <w:sz w:val="32"/>
      <w:szCs w:val="32"/>
    </w:rPr>
  </w:style>
  <w:style w:type="paragraph" w:styleId="16">
    <w:name w:val="footnote text"/>
    <w:basedOn w:val="1"/>
    <w:qFormat/>
    <w:uiPriority w:val="99"/>
    <w:pPr>
      <w:autoSpaceDE w:val="0"/>
      <w:autoSpaceDN w:val="0"/>
      <w:adjustRightInd w:val="0"/>
      <w:spacing w:line="240" w:lineRule="atLeast"/>
      <w:jc w:val="left"/>
    </w:pPr>
    <w:rPr>
      <w:kern w:val="0"/>
      <w:sz w:val="18"/>
      <w:szCs w:val="18"/>
    </w:rPr>
  </w:style>
  <w:style w:type="paragraph" w:styleId="17">
    <w:name w:val="Body Text Indent 3"/>
    <w:basedOn w:val="1"/>
    <w:link w:val="45"/>
    <w:qFormat/>
    <w:uiPriority w:val="99"/>
    <w:pPr>
      <w:spacing w:line="400" w:lineRule="exact"/>
      <w:ind w:firstLine="200" w:firstLineChars="200"/>
    </w:pPr>
    <w:rPr>
      <w:sz w:val="24"/>
      <w:szCs w:val="24"/>
    </w:rPr>
  </w:style>
  <w:style w:type="paragraph" w:styleId="18">
    <w:name w:val="Body Text 2"/>
    <w:basedOn w:val="1"/>
    <w:link w:val="46"/>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0">
    <w:name w:val="annotation subject"/>
    <w:basedOn w:val="8"/>
    <w:next w:val="8"/>
    <w:link w:val="38"/>
    <w:semiHidden/>
    <w:qFormat/>
    <w:uiPriority w:val="99"/>
    <w:rPr>
      <w:b/>
      <w:bCs/>
    </w:rPr>
  </w:style>
  <w:style w:type="paragraph" w:styleId="21">
    <w:name w:val="Body Text First Indent"/>
    <w:basedOn w:val="2"/>
    <w:next w:val="1"/>
    <w:qFormat/>
    <w:uiPriority w:val="0"/>
    <w:pPr>
      <w:spacing w:line="360" w:lineRule="auto"/>
      <w:ind w:firstLine="200" w:firstLineChars="200"/>
    </w:pPr>
    <w:rPr>
      <w:rFonts w:ascii="仿宋_GB2312" w:eastAsia="仿宋_GB2312"/>
      <w:sz w:val="30"/>
      <w:szCs w:val="30"/>
    </w:rPr>
  </w:style>
  <w:style w:type="paragraph" w:styleId="22">
    <w:name w:val="Body Text First Indent 2"/>
    <w:basedOn w:val="2"/>
    <w:next w:val="6"/>
    <w:qFormat/>
    <w:uiPriority w:val="0"/>
    <w:pPr>
      <w:tabs>
        <w:tab w:val="left" w:pos="3420"/>
      </w:tabs>
      <w:ind w:firstLine="420" w:firstLineChars="200"/>
    </w:pPr>
    <w:rPr>
      <w:rFonts w:ascii="Calibri" w:hAnsi="Calibri"/>
    </w:rPr>
  </w:style>
  <w:style w:type="table" w:styleId="24">
    <w:name w:val="Table Grid"/>
    <w:basedOn w:val="23"/>
    <w:qFormat/>
    <w:uiPriority w:val="99"/>
    <w:rPr>
      <w:rFonts w:ascii="等线" w:hAnsi="等线" w:eastAsia="等线" w:cs="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FollowedHyperlink"/>
    <w:basedOn w:val="25"/>
    <w:qFormat/>
    <w:uiPriority w:val="99"/>
    <w:rPr>
      <w:color w:val="800080"/>
      <w:u w:val="none"/>
    </w:rPr>
  </w:style>
  <w:style w:type="character" w:styleId="29">
    <w:name w:val="Hyperlink"/>
    <w:basedOn w:val="25"/>
    <w:qFormat/>
    <w:uiPriority w:val="99"/>
    <w:rPr>
      <w:color w:val="0000FF"/>
      <w:u w:val="none"/>
    </w:rPr>
  </w:style>
  <w:style w:type="character" w:styleId="30">
    <w:name w:val="annotation reference"/>
    <w:basedOn w:val="25"/>
    <w:semiHidden/>
    <w:qFormat/>
    <w:uiPriority w:val="99"/>
    <w:rPr>
      <w:sz w:val="21"/>
      <w:szCs w:val="21"/>
    </w:rPr>
  </w:style>
  <w:style w:type="paragraph" w:customStyle="1" w:styleId="3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32">
    <w:name w:val="四级标题"/>
    <w:basedOn w:val="11"/>
    <w:qFormat/>
    <w:uiPriority w:val="0"/>
    <w:rPr>
      <w:rFonts w:eastAsia="黑体"/>
    </w:rPr>
  </w:style>
  <w:style w:type="paragraph" w:customStyle="1" w:styleId="33">
    <w:name w:val="段"/>
    <w:next w:val="1"/>
    <w:qFormat/>
    <w:uiPriority w:val="0"/>
    <w:pPr>
      <w:ind w:firstLine="200" w:firstLineChars="200"/>
      <w:jc w:val="both"/>
    </w:pPr>
    <w:rPr>
      <w:rFonts w:ascii="Times New Roman" w:hAnsi="Times New Roman" w:eastAsia="宋体" w:cs="Times New Roman"/>
      <w:sz w:val="21"/>
      <w:szCs w:val="21"/>
      <w:lang w:val="en-US" w:eastAsia="zh-CN" w:bidi="ar-SA"/>
    </w:rPr>
  </w:style>
  <w:style w:type="character" w:customStyle="1" w:styleId="34">
    <w:name w:val="标题 1 Char"/>
    <w:basedOn w:val="25"/>
    <w:link w:val="3"/>
    <w:qFormat/>
    <w:locked/>
    <w:uiPriority w:val="0"/>
    <w:rPr>
      <w:b/>
      <w:bCs/>
      <w:kern w:val="44"/>
      <w:sz w:val="44"/>
      <w:szCs w:val="44"/>
    </w:rPr>
  </w:style>
  <w:style w:type="character" w:customStyle="1" w:styleId="35">
    <w:name w:val="标题 2 Char"/>
    <w:basedOn w:val="25"/>
    <w:link w:val="4"/>
    <w:semiHidden/>
    <w:qFormat/>
    <w:uiPriority w:val="9"/>
    <w:rPr>
      <w:rFonts w:ascii="Cambria" w:hAnsi="Cambria" w:eastAsia="宋体" w:cs="Times New Roman"/>
      <w:b/>
      <w:bCs/>
      <w:sz w:val="32"/>
      <w:szCs w:val="32"/>
    </w:rPr>
  </w:style>
  <w:style w:type="character" w:customStyle="1" w:styleId="36">
    <w:name w:val="标题 3 Char"/>
    <w:basedOn w:val="25"/>
    <w:link w:val="5"/>
    <w:semiHidden/>
    <w:qFormat/>
    <w:uiPriority w:val="9"/>
    <w:rPr>
      <w:b/>
      <w:bCs/>
      <w:sz w:val="32"/>
      <w:szCs w:val="32"/>
    </w:rPr>
  </w:style>
  <w:style w:type="character" w:customStyle="1" w:styleId="37">
    <w:name w:val="批注文字 Char"/>
    <w:basedOn w:val="25"/>
    <w:link w:val="8"/>
    <w:semiHidden/>
    <w:qFormat/>
    <w:uiPriority w:val="99"/>
    <w:rPr>
      <w:szCs w:val="21"/>
    </w:rPr>
  </w:style>
  <w:style w:type="character" w:customStyle="1" w:styleId="38">
    <w:name w:val="批注主题 Char"/>
    <w:basedOn w:val="37"/>
    <w:link w:val="20"/>
    <w:semiHidden/>
    <w:qFormat/>
    <w:uiPriority w:val="99"/>
    <w:rPr>
      <w:b/>
      <w:bCs/>
      <w:szCs w:val="21"/>
    </w:rPr>
  </w:style>
  <w:style w:type="character" w:customStyle="1" w:styleId="39">
    <w:name w:val="正文文本缩进 Char"/>
    <w:basedOn w:val="25"/>
    <w:link w:val="9"/>
    <w:semiHidden/>
    <w:qFormat/>
    <w:uiPriority w:val="99"/>
    <w:rPr>
      <w:szCs w:val="21"/>
    </w:rPr>
  </w:style>
  <w:style w:type="character" w:customStyle="1" w:styleId="40">
    <w:name w:val="纯文本 Char"/>
    <w:basedOn w:val="25"/>
    <w:link w:val="10"/>
    <w:qFormat/>
    <w:uiPriority w:val="0"/>
    <w:rPr>
      <w:rFonts w:ascii="宋体" w:hAnsi="Courier New" w:cs="Courier New"/>
      <w:szCs w:val="21"/>
    </w:rPr>
  </w:style>
  <w:style w:type="character" w:customStyle="1" w:styleId="41">
    <w:name w:val="日期 Char"/>
    <w:basedOn w:val="25"/>
    <w:link w:val="11"/>
    <w:semiHidden/>
    <w:qFormat/>
    <w:uiPriority w:val="99"/>
    <w:rPr>
      <w:szCs w:val="21"/>
    </w:rPr>
  </w:style>
  <w:style w:type="character" w:customStyle="1" w:styleId="42">
    <w:name w:val="批注框文本 Char"/>
    <w:basedOn w:val="25"/>
    <w:link w:val="12"/>
    <w:semiHidden/>
    <w:qFormat/>
    <w:uiPriority w:val="99"/>
    <w:rPr>
      <w:sz w:val="0"/>
      <w:szCs w:val="0"/>
    </w:rPr>
  </w:style>
  <w:style w:type="character" w:customStyle="1" w:styleId="43">
    <w:name w:val="页脚 Char"/>
    <w:basedOn w:val="25"/>
    <w:link w:val="13"/>
    <w:qFormat/>
    <w:locked/>
    <w:uiPriority w:val="99"/>
    <w:rPr>
      <w:kern w:val="2"/>
      <w:sz w:val="18"/>
      <w:szCs w:val="18"/>
    </w:rPr>
  </w:style>
  <w:style w:type="character" w:customStyle="1" w:styleId="44">
    <w:name w:val="页眉 Char"/>
    <w:basedOn w:val="25"/>
    <w:link w:val="14"/>
    <w:semiHidden/>
    <w:qFormat/>
    <w:uiPriority w:val="99"/>
    <w:rPr>
      <w:sz w:val="18"/>
      <w:szCs w:val="18"/>
    </w:rPr>
  </w:style>
  <w:style w:type="character" w:customStyle="1" w:styleId="45">
    <w:name w:val="正文文本缩进 3 Char"/>
    <w:basedOn w:val="25"/>
    <w:link w:val="17"/>
    <w:semiHidden/>
    <w:qFormat/>
    <w:uiPriority w:val="99"/>
    <w:rPr>
      <w:sz w:val="16"/>
      <w:szCs w:val="16"/>
    </w:rPr>
  </w:style>
  <w:style w:type="character" w:customStyle="1" w:styleId="46">
    <w:name w:val="正文文本 2 Char1"/>
    <w:basedOn w:val="25"/>
    <w:link w:val="18"/>
    <w:semiHidden/>
    <w:qFormat/>
    <w:locked/>
    <w:uiPriority w:val="99"/>
    <w:rPr>
      <w:kern w:val="2"/>
      <w:sz w:val="21"/>
      <w:szCs w:val="21"/>
    </w:rPr>
  </w:style>
  <w:style w:type="paragraph" w:customStyle="1" w:styleId="47">
    <w:name w:val="正"/>
    <w:basedOn w:val="1"/>
    <w:qFormat/>
    <w:uiPriority w:val="0"/>
    <w:pPr>
      <w:spacing w:line="360" w:lineRule="auto"/>
      <w:ind w:left="150" w:hanging="150" w:hangingChars="150"/>
    </w:pPr>
    <w:rPr>
      <w:sz w:val="24"/>
      <w:szCs w:val="24"/>
    </w:rPr>
  </w:style>
  <w:style w:type="paragraph" w:customStyle="1" w:styleId="48">
    <w:name w:val="纯文本1"/>
    <w:basedOn w:val="1"/>
    <w:qFormat/>
    <w:uiPriority w:val="99"/>
    <w:pPr>
      <w:adjustRightInd w:val="0"/>
    </w:pPr>
    <w:rPr>
      <w:rFonts w:ascii="宋体" w:hAnsi="宋体" w:eastAsia="楷体_GB2312" w:cs="宋体"/>
      <w:sz w:val="28"/>
      <w:szCs w:val="28"/>
    </w:rPr>
  </w:style>
  <w:style w:type="paragraph" w:customStyle="1" w:styleId="49">
    <w:name w:val="列出段落1"/>
    <w:basedOn w:val="1"/>
    <w:qFormat/>
    <w:uiPriority w:val="99"/>
    <w:pPr>
      <w:ind w:firstLine="200" w:firstLineChars="200"/>
    </w:pPr>
  </w:style>
  <w:style w:type="paragraph" w:customStyle="1" w:styleId="50">
    <w:name w:val="black1"/>
    <w:basedOn w:val="1"/>
    <w:qFormat/>
    <w:uiPriority w:val="99"/>
    <w:pPr>
      <w:widowControl/>
      <w:spacing w:before="100" w:beforeAutospacing="1" w:after="100" w:afterAutospacing="1"/>
      <w:jc w:val="left"/>
    </w:pPr>
    <w:rPr>
      <w:rFonts w:ascii="宋体" w:cs="宋体"/>
      <w:kern w:val="0"/>
      <w:sz w:val="24"/>
      <w:szCs w:val="24"/>
    </w:rPr>
  </w:style>
  <w:style w:type="paragraph" w:customStyle="1" w:styleId="51">
    <w:name w:val="正文缩进2格"/>
    <w:basedOn w:val="1"/>
    <w:link w:val="55"/>
    <w:qFormat/>
    <w:uiPriority w:val="99"/>
    <w:pPr>
      <w:spacing w:line="600" w:lineRule="exact"/>
      <w:ind w:firstLine="206" w:firstLineChars="206"/>
    </w:pPr>
    <w:rPr>
      <w:rFonts w:ascii="仿宋_GB2312" w:eastAsia="仿宋_GB2312"/>
      <w:sz w:val="28"/>
      <w:szCs w:val="28"/>
    </w:rPr>
  </w:style>
  <w:style w:type="paragraph" w:customStyle="1" w:styleId="52">
    <w:name w:val="正文缩进1"/>
    <w:basedOn w:val="1"/>
    <w:qFormat/>
    <w:uiPriority w:val="99"/>
    <w:pPr>
      <w:autoSpaceDE w:val="0"/>
      <w:autoSpaceDN w:val="0"/>
      <w:adjustRightInd w:val="0"/>
      <w:ind w:firstLine="420"/>
      <w:jc w:val="left"/>
    </w:pPr>
    <w:rPr>
      <w:rFonts w:ascii="宋体" w:hAnsi="Calibri" w:cs="宋体"/>
      <w:sz w:val="24"/>
      <w:szCs w:val="24"/>
    </w:rPr>
  </w:style>
  <w:style w:type="paragraph" w:customStyle="1" w:styleId="53">
    <w:name w:val="索引 11"/>
    <w:basedOn w:val="1"/>
    <w:next w:val="1"/>
    <w:qFormat/>
    <w:uiPriority w:val="99"/>
    <w:pPr>
      <w:spacing w:line="360" w:lineRule="auto"/>
    </w:pPr>
    <w:rPr>
      <w:rFonts w:ascii="仿宋_GB2312" w:eastAsia="仿宋_GB2312" w:cs="仿宋_GB2312"/>
      <w:sz w:val="24"/>
      <w:szCs w:val="24"/>
    </w:rPr>
  </w:style>
  <w:style w:type="paragraph" w:styleId="54">
    <w:name w:val="List Paragraph"/>
    <w:basedOn w:val="1"/>
    <w:qFormat/>
    <w:uiPriority w:val="99"/>
    <w:pPr>
      <w:ind w:firstLine="420" w:firstLineChars="200"/>
    </w:pPr>
  </w:style>
  <w:style w:type="character" w:customStyle="1" w:styleId="55">
    <w:name w:val="正文缩进2格 Char Char"/>
    <w:link w:val="51"/>
    <w:qFormat/>
    <w:locked/>
    <w:uiPriority w:val="99"/>
    <w:rPr>
      <w:rFonts w:ascii="仿宋_GB2312" w:eastAsia="仿宋_GB2312" w:cs="仿宋_GB2312"/>
      <w:kern w:val="2"/>
      <w:sz w:val="28"/>
      <w:szCs w:val="28"/>
    </w:rPr>
  </w:style>
  <w:style w:type="character" w:customStyle="1" w:styleId="56">
    <w:name w:val="正文文本 2 Char"/>
    <w:basedOn w:val="25"/>
    <w:qFormat/>
    <w:uiPriority w:val="99"/>
    <w:rPr>
      <w:kern w:val="2"/>
      <w:sz w:val="24"/>
      <w:szCs w:val="24"/>
    </w:rPr>
  </w:style>
  <w:style w:type="paragraph" w:customStyle="1" w:styleId="57">
    <w:name w:val="金保标题正文"/>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58">
    <w:name w:val="my正文"/>
    <w:basedOn w:val="9"/>
    <w:qFormat/>
    <w:uiPriority w:val="0"/>
    <w:pPr>
      <w:spacing w:after="0" w:line="360" w:lineRule="auto"/>
      <w:ind w:left="0" w:leftChars="0" w:firstLine="540" w:firstLineChars="225"/>
    </w:pPr>
    <w:rPr>
      <w:rFonts w:ascii="宋体" w:hAnsi="宋体" w:cs="宋体"/>
      <w:kern w:val="0"/>
      <w:sz w:val="24"/>
      <w:szCs w:val="24"/>
    </w:rPr>
  </w:style>
  <w:style w:type="paragraph" w:customStyle="1" w:styleId="5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0">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1">
    <w:name w:val="副标题 Char1"/>
    <w:qFormat/>
    <w:uiPriority w:val="0"/>
    <w:rPr>
      <w:rFonts w:ascii="Cambria" w:hAnsi="Cambria"/>
      <w:b/>
      <w:bCs/>
      <w:kern w:val="28"/>
      <w:sz w:val="32"/>
      <w:szCs w:val="32"/>
    </w:rPr>
  </w:style>
  <w:style w:type="character" w:customStyle="1" w:styleId="62">
    <w:name w:val="副标题 Char"/>
    <w:basedOn w:val="25"/>
    <w:link w:val="15"/>
    <w:qFormat/>
    <w:uiPriority w:val="0"/>
    <w:rPr>
      <w:rFonts w:ascii="Cambria" w:hAnsi="Cambria" w:cs="Times New Roman"/>
      <w:b/>
      <w:bCs/>
      <w:kern w:val="28"/>
      <w:sz w:val="32"/>
      <w:szCs w:val="32"/>
    </w:rPr>
  </w:style>
  <w:style w:type="paragraph" w:customStyle="1" w:styleId="63">
    <w:name w:val="样式11"/>
    <w:basedOn w:val="1"/>
    <w:qFormat/>
    <w:uiPriority w:val="0"/>
    <w:pPr>
      <w:numPr>
        <w:ilvl w:val="0"/>
        <w:numId w:val="1"/>
      </w:numPr>
      <w:adjustRightInd w:val="0"/>
      <w:snapToGrid w:val="0"/>
      <w:spacing w:line="440" w:lineRule="exact"/>
      <w:outlineLvl w:val="2"/>
    </w:pPr>
    <w:rPr>
      <w:rFonts w:ascii="仿宋_GB2312" w:hAnsi="宋体" w:eastAsia="仿宋_GB2312"/>
      <w:color w:val="FF0000"/>
      <w:sz w:val="28"/>
      <w:szCs w:val="28"/>
    </w:rPr>
  </w:style>
  <w:style w:type="character" w:customStyle="1" w:styleId="64">
    <w:name w:val="正文文本 Char"/>
    <w:basedOn w:val="25"/>
    <w:link w:val="2"/>
    <w:qFormat/>
    <w:uiPriority w:val="99"/>
    <w:rPr>
      <w:kern w:val="2"/>
      <w:sz w:val="21"/>
      <w:szCs w:val="21"/>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Table Text"/>
    <w:basedOn w:val="1"/>
    <w:semiHidden/>
    <w:qFormat/>
    <w:uiPriority w:val="0"/>
    <w:rPr>
      <w:rFonts w:eastAsia="Times New Roman"/>
      <w:sz w:val="18"/>
      <w:szCs w:val="18"/>
    </w:rPr>
  </w:style>
  <w:style w:type="character" w:customStyle="1" w:styleId="67">
    <w:name w:val="NormalCharacter"/>
    <w:semiHidden/>
    <w:qFormat/>
    <w:uiPriority w:val="0"/>
    <w:rPr>
      <w:kern w:val="2"/>
      <w:sz w:val="21"/>
      <w:szCs w:val="24"/>
      <w:lang w:val="en-US" w:eastAsia="zh-CN" w:bidi="ar-SA"/>
    </w:rPr>
  </w:style>
  <w:style w:type="table" w:customStyle="1" w:styleId="68">
    <w:name w:val="网格型1"/>
    <w:basedOn w:val="23"/>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2"/>
    <w:basedOn w:val="23"/>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Body text|1"/>
    <w:basedOn w:val="1"/>
    <w:qFormat/>
    <w:uiPriority w:val="0"/>
    <w:pPr>
      <w:spacing w:line="432" w:lineRule="auto"/>
    </w:pPr>
    <w:rPr>
      <w:rFonts w:ascii="宋体" w:hAnsi="宋体" w:cs="宋体"/>
      <w:sz w:val="22"/>
      <w:szCs w:val="22"/>
      <w:lang w:val="zh-TW" w:eastAsia="zh-TW" w:bidi="zh-TW"/>
    </w:rPr>
  </w:style>
  <w:style w:type="table" w:customStyle="1" w:styleId="71">
    <w:name w:val="网格型3"/>
    <w:basedOn w:val="2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4"/>
    <w:basedOn w:val="2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8EA29-48E2-4264-8A54-73A24C2FD3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36259</Words>
  <Characters>40960</Characters>
  <Lines>207</Lines>
  <Paragraphs>58</Paragraphs>
  <TotalTime>12</TotalTime>
  <ScaleCrop>false</ScaleCrop>
  <LinksUpToDate>false</LinksUpToDate>
  <CharactersWithSpaces>44479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2023-03-09T01:27:00Z</dcterms:created>
  <dc:creator>微软用户</dc:creator>
  <cp:lastModifiedBy>Z.</cp:lastModifiedBy>
  <cp:lastPrinted>2025-07-17T05:51:00Z</cp:lastPrinted>
  <dcterms:modified xsi:type="dcterms:W3CDTF">2025-08-06T06:40:34Z</dcterms:modified>
  <dc:title>通州区2012年度校安工程</dc:title>
  <cp:revision>990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CF185309CF5942218380D47516809337_13</vt:lpwstr>
  </property>
  <property fmtid="{D5CDD505-2E9C-101B-9397-08002B2CF9AE}" pid="4" name="KSOTemplateDocerSaveRecord">
    <vt:lpwstr>eyJoZGlkIjoiNjJhZjVhZDUxMTc0ZTE1OGNjMjJjZmZkMTM4MDQwMjQiLCJ1c2VySWQiOiI2ODg0MTg4MjEifQ==</vt:lpwstr>
  </property>
</Properties>
</file>