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174FA">
      <w:pPr>
        <w:spacing w:line="360" w:lineRule="auto"/>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p>
    <w:p w14:paraId="5FC1CA97">
      <w:pPr>
        <w:jc w:val="center"/>
        <w:rPr>
          <w:rFonts w:asciiTheme="minorEastAsia" w:hAnsiTheme="minorEastAsia" w:eastAsiaTheme="minorEastAsia" w:cstheme="minorEastAsia"/>
          <w:b/>
          <w:bCs/>
          <w:sz w:val="32"/>
          <w:szCs w:val="32"/>
        </w:rPr>
      </w:pPr>
    </w:p>
    <w:p w14:paraId="3553D75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inorEastAsia" w:hAnsiTheme="minorEastAsia" w:eastAsiaTheme="minorEastAsia" w:cstheme="minorEastAsia"/>
          <w:bCs/>
          <w:sz w:val="48"/>
          <w:szCs w:val="48"/>
          <w:highlight w:val="none"/>
          <w:lang w:val="en-US" w:eastAsia="zh-CN"/>
        </w:rPr>
      </w:pPr>
      <w:r>
        <w:rPr>
          <w:rFonts w:hint="eastAsia" w:asciiTheme="minorEastAsia" w:hAnsiTheme="minorEastAsia" w:eastAsiaTheme="minorEastAsia" w:cstheme="minorEastAsia"/>
          <w:bCs/>
          <w:sz w:val="48"/>
          <w:szCs w:val="48"/>
          <w:highlight w:val="none"/>
          <w:lang w:val="en-US" w:eastAsia="zh-CN"/>
        </w:rPr>
        <w:t>通州区应急水源地供水设施改扩建</w:t>
      </w:r>
    </w:p>
    <w:p w14:paraId="06684F6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heme="minorEastAsia" w:hAnsiTheme="minorEastAsia" w:eastAsiaTheme="minorEastAsia" w:cstheme="minorEastAsia"/>
          <w:bCs/>
          <w:sz w:val="48"/>
          <w:szCs w:val="48"/>
        </w:rPr>
      </w:pPr>
      <w:r>
        <w:rPr>
          <w:rFonts w:hint="eastAsia" w:asciiTheme="minorEastAsia" w:hAnsiTheme="minorEastAsia" w:eastAsiaTheme="minorEastAsia" w:cstheme="minorEastAsia"/>
          <w:bCs/>
          <w:sz w:val="48"/>
          <w:szCs w:val="48"/>
          <w:highlight w:val="none"/>
          <w:lang w:val="en-US" w:eastAsia="zh-CN"/>
        </w:rPr>
        <w:t>和技术改造采购及安装项目</w:t>
      </w:r>
    </w:p>
    <w:p w14:paraId="69C2DA8E">
      <w:pPr>
        <w:spacing w:line="360" w:lineRule="auto"/>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p>
    <w:p w14:paraId="32BFDAEB">
      <w:pPr>
        <w:spacing w:line="360" w:lineRule="auto"/>
        <w:jc w:val="center"/>
        <w:rPr>
          <w:rFonts w:asciiTheme="minorEastAsia" w:hAnsiTheme="minorEastAsia" w:eastAsiaTheme="minorEastAsia" w:cstheme="minorEastAsia"/>
          <w:bCs/>
          <w:color w:val="0D0D0D" w:themeColor="text1" w:themeTint="F2"/>
          <w14:textFill>
            <w14:solidFill>
              <w14:schemeClr w14:val="tx1">
                <w14:lumMod w14:val="95000"/>
                <w14:lumOff w14:val="5000"/>
              </w14:schemeClr>
            </w14:solidFill>
          </w14:textFill>
        </w:rPr>
      </w:pPr>
    </w:p>
    <w:p w14:paraId="5215689A">
      <w:pPr>
        <w:pStyle w:val="8"/>
      </w:pPr>
    </w:p>
    <w:p w14:paraId="535D49BC">
      <w:pPr>
        <w:spacing w:line="360" w:lineRule="auto"/>
        <w:jc w:val="center"/>
        <w:rPr>
          <w:rFonts w:asciiTheme="minorEastAsia" w:hAnsiTheme="minorEastAsia" w:eastAsiaTheme="minorEastAsia" w:cstheme="minorEastAsia"/>
          <w:bCs/>
          <w:color w:val="0D0D0D" w:themeColor="text1" w:themeTint="F2"/>
          <w:sz w:val="32"/>
          <w:szCs w:val="32"/>
          <w14:textFill>
            <w14:solidFill>
              <w14:schemeClr w14:val="tx1">
                <w14:lumMod w14:val="95000"/>
                <w14:lumOff w14:val="5000"/>
              </w14:schemeClr>
            </w14:solidFill>
          </w14:textFill>
        </w:rPr>
      </w:pPr>
    </w:p>
    <w:p w14:paraId="53E7CEA8">
      <w:pPr>
        <w:spacing w:line="360" w:lineRule="auto"/>
        <w:jc w:val="center"/>
        <w:rPr>
          <w:rFonts w:asciiTheme="minorEastAsia" w:hAnsiTheme="minorEastAsia" w:eastAsiaTheme="minorEastAsia" w:cstheme="minorEastAsia"/>
          <w:bCs/>
          <w:color w:val="0D0D0D" w:themeColor="text1" w:themeTint="F2"/>
          <w:sz w:val="52"/>
          <w:szCs w:val="52"/>
          <w14:textFill>
            <w14:solidFill>
              <w14:schemeClr w14:val="tx1">
                <w14:lumMod w14:val="95000"/>
                <w14:lumOff w14:val="5000"/>
              </w14:schemeClr>
            </w14:solidFill>
          </w14:textFill>
        </w:rPr>
      </w:pPr>
    </w:p>
    <w:p w14:paraId="3BD035CF">
      <w:pPr>
        <w:spacing w:line="360" w:lineRule="auto"/>
        <w:jc w:val="center"/>
        <w:rPr>
          <w:rFonts w:asciiTheme="minorEastAsia" w:hAnsiTheme="minorEastAsia" w:eastAsiaTheme="minorEastAsia" w:cstheme="minorEastAsia"/>
          <w:bCs/>
          <w:color w:val="0D0D0D" w:themeColor="text1" w:themeTint="F2"/>
          <w:sz w:val="52"/>
          <w:szCs w:val="52"/>
          <w14:textFill>
            <w14:solidFill>
              <w14:schemeClr w14:val="tx1">
                <w14:lumMod w14:val="95000"/>
                <w14:lumOff w14:val="5000"/>
              </w14:schemeClr>
            </w14:solidFill>
          </w14:textFill>
        </w:rPr>
      </w:pPr>
    </w:p>
    <w:p w14:paraId="50FCD785">
      <w:pPr>
        <w:spacing w:line="700" w:lineRule="exact"/>
        <w:jc w:val="center"/>
        <w:rPr>
          <w:rFonts w:asciiTheme="minorEastAsia" w:hAnsiTheme="minorEastAsia" w:eastAsiaTheme="minorEastAsia" w:cstheme="minorEastAsia"/>
          <w:bCs/>
          <w:color w:val="0D0D0D" w:themeColor="text1" w:themeTint="F2"/>
          <w:sz w:val="72"/>
          <w:szCs w:val="72"/>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72"/>
          <w:szCs w:val="72"/>
          <w14:textFill>
            <w14:solidFill>
              <w14:schemeClr w14:val="tx1">
                <w14:lumMod w14:val="95000"/>
                <w14:lumOff w14:val="5000"/>
              </w14:schemeClr>
            </w14:solidFill>
          </w14:textFill>
        </w:rPr>
        <w:t>招标文件</w:t>
      </w:r>
    </w:p>
    <w:p w14:paraId="7228AA79">
      <w:pPr>
        <w:spacing w:line="500" w:lineRule="exact"/>
        <w:jc w:val="center"/>
        <w:rPr>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8"/>
          <w:szCs w:val="28"/>
          <w14:textFill>
            <w14:solidFill>
              <w14:schemeClr w14:val="tx1">
                <w14:lumMod w14:val="95000"/>
                <w14:lumOff w14:val="5000"/>
              </w14:schemeClr>
            </w14:solidFill>
          </w14:textFill>
        </w:rPr>
        <w:t>（资格后审）</w:t>
      </w:r>
      <w:r>
        <w:rPr>
          <w:rFonts w:hint="eastAsia" w:asciiTheme="minorEastAsia" w:hAnsiTheme="minorEastAsia" w:eastAsiaTheme="minorEastAsia" w:cstheme="minorEastAsia"/>
          <w:bCs/>
          <w:color w:val="0D0D0D" w:themeColor="text1" w:themeTint="F2"/>
          <w:sz w:val="28"/>
          <w:szCs w:val="28"/>
          <w:lang w:eastAsia="zh-CN"/>
          <w14:textFill>
            <w14:solidFill>
              <w14:schemeClr w14:val="tx1">
                <w14:lumMod w14:val="95000"/>
                <w14:lumOff w14:val="5000"/>
              </w14:schemeClr>
            </w14:solidFill>
          </w14:textFill>
        </w:rPr>
        <w:t>第二次</w:t>
      </w:r>
    </w:p>
    <w:p w14:paraId="107D351B">
      <w:pPr>
        <w:spacing w:line="360" w:lineRule="auto"/>
        <w:rPr>
          <w:rFonts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p>
    <w:p w14:paraId="42E60B98">
      <w:pPr>
        <w:spacing w:line="360" w:lineRule="auto"/>
        <w:rPr>
          <w:rFonts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p>
    <w:p w14:paraId="1525EE9A">
      <w:pPr>
        <w:spacing w:line="360" w:lineRule="auto"/>
        <w:rPr>
          <w:rFonts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p>
    <w:p w14:paraId="4582EF9B">
      <w:pPr>
        <w:spacing w:line="360" w:lineRule="auto"/>
        <w:rPr>
          <w:rFonts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p>
    <w:p w14:paraId="76D5ECAC">
      <w:pPr>
        <w:spacing w:line="360" w:lineRule="auto"/>
        <w:rPr>
          <w:rFonts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p>
    <w:p w14:paraId="73BAE66C">
      <w:pPr>
        <w:pStyle w:val="8"/>
      </w:pPr>
    </w:p>
    <w:p w14:paraId="1950343E">
      <w:pPr>
        <w:pStyle w:val="31"/>
        <w:rPr>
          <w:rFonts w:hint="default"/>
        </w:rPr>
      </w:pPr>
    </w:p>
    <w:p w14:paraId="04E2A17B">
      <w:pPr>
        <w:spacing w:line="560" w:lineRule="exact"/>
        <w:jc w:val="center"/>
        <w:rPr>
          <w:rFonts w:asciiTheme="minorEastAsia" w:hAnsiTheme="minorEastAsia" w:eastAsiaTheme="minorEastAsia" w:cstheme="minorEastAsia"/>
          <w:bCs/>
          <w:color w:val="0D0D0D" w:themeColor="text1" w:themeTint="F2"/>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8"/>
          <w:szCs w:val="28"/>
          <w14:textFill>
            <w14:solidFill>
              <w14:schemeClr w14:val="tx1">
                <w14:lumMod w14:val="95000"/>
                <w14:lumOff w14:val="5000"/>
              </w14:schemeClr>
            </w14:solidFill>
          </w14:textFill>
        </w:rPr>
        <w:t>招标人: 南通市通州区水务有限公司</w:t>
      </w:r>
    </w:p>
    <w:p w14:paraId="5F5B8628">
      <w:pPr>
        <w:pStyle w:val="8"/>
        <w:spacing w:after="0" w:line="560" w:lineRule="exact"/>
        <w:jc w:val="center"/>
        <w:rPr>
          <w:rFonts w:asciiTheme="minorEastAsia" w:hAnsiTheme="minorEastAsia" w:eastAsiaTheme="minorEastAsia" w:cstheme="minorEastAsia"/>
          <w:bCs/>
          <w:color w:val="0D0D0D" w:themeColor="text1" w:themeTint="F2"/>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8"/>
          <w:szCs w:val="28"/>
          <w14:textFill>
            <w14:solidFill>
              <w14:schemeClr w14:val="tx1">
                <w14:lumMod w14:val="95000"/>
                <w14:lumOff w14:val="5000"/>
              </w14:schemeClr>
            </w14:solidFill>
          </w14:textFill>
        </w:rPr>
        <w:t>招标代理：南通市通州天元建设监理咨询有限公司</w:t>
      </w:r>
    </w:p>
    <w:p w14:paraId="2C6A7B92">
      <w:pPr>
        <w:spacing w:line="560" w:lineRule="exact"/>
        <w:jc w:val="center"/>
        <w:rPr>
          <w:rFonts w:asciiTheme="minorEastAsia" w:hAnsiTheme="minorEastAsia" w:eastAsiaTheme="minorEastAsia" w:cstheme="minorEastAsia"/>
          <w:bCs/>
          <w:color w:val="0D0D0D" w:themeColor="text1" w:themeTint="F2"/>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8"/>
          <w:szCs w:val="28"/>
          <w14:textFill>
            <w14:solidFill>
              <w14:schemeClr w14:val="tx1">
                <w14:lumMod w14:val="95000"/>
                <w14:lumOff w14:val="5000"/>
              </w14:schemeClr>
            </w14:solidFill>
          </w14:textFill>
        </w:rPr>
        <w:t>2025年</w:t>
      </w:r>
      <w:r>
        <w:rPr>
          <w:rFonts w:hint="eastAsia" w:asciiTheme="minorEastAsia" w:hAnsiTheme="minorEastAsia" w:eastAsiaTheme="minorEastAsia" w:cstheme="minorEastAsia"/>
          <w:bCs/>
          <w:color w:val="0D0D0D" w:themeColor="text1" w:themeTint="F2"/>
          <w:sz w:val="28"/>
          <w:szCs w:val="28"/>
          <w:lang w:val="en-US" w:eastAsia="zh-CN"/>
          <w14:textFill>
            <w14:solidFill>
              <w14:schemeClr w14:val="tx1">
                <w14:lumMod w14:val="95000"/>
                <w14:lumOff w14:val="5000"/>
              </w14:schemeClr>
            </w14:solidFill>
          </w14:textFill>
        </w:rPr>
        <w:t>8</w:t>
      </w:r>
      <w:r>
        <w:rPr>
          <w:rFonts w:hint="eastAsia" w:asciiTheme="minorEastAsia" w:hAnsiTheme="minorEastAsia" w:eastAsiaTheme="minorEastAsia" w:cstheme="minorEastAsia"/>
          <w:bCs/>
          <w:color w:val="0D0D0D" w:themeColor="text1" w:themeTint="F2"/>
          <w:sz w:val="28"/>
          <w:szCs w:val="28"/>
          <w14:textFill>
            <w14:solidFill>
              <w14:schemeClr w14:val="tx1">
                <w14:lumMod w14:val="95000"/>
                <w14:lumOff w14:val="5000"/>
              </w14:schemeClr>
            </w14:solidFill>
          </w14:textFill>
        </w:rPr>
        <w:t>月</w:t>
      </w:r>
    </w:p>
    <w:p w14:paraId="2DA2D7B7">
      <w:pPr>
        <w:pStyle w:val="31"/>
        <w:rPr>
          <w:rFonts w:hint="default"/>
        </w:rPr>
      </w:pPr>
    </w:p>
    <w:p w14:paraId="328DE1EE">
      <w:pPr>
        <w:jc w:val="center"/>
        <w:rPr>
          <w:rFonts w:ascii="宋体" w:hAnsi="宋体"/>
          <w:sz w:val="44"/>
          <w:szCs w:val="44"/>
        </w:rPr>
      </w:pPr>
      <w:r>
        <w:rPr>
          <w:rFonts w:hint="eastAsia" w:ascii="宋体" w:hAnsi="宋体" w:cs="宋体"/>
          <w:sz w:val="44"/>
          <w:szCs w:val="44"/>
        </w:rPr>
        <w:t>招标文件备案表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8"/>
      </w:tblGrid>
      <w:tr w14:paraId="102C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8" w:type="dxa"/>
          </w:tcPr>
          <w:p w14:paraId="20A02A00">
            <w:pPr>
              <w:jc w:val="center"/>
              <w:rPr>
                <w:rFonts w:ascii="宋体" w:hAnsi="Calibri" w:cs="宋体"/>
                <w:color w:val="0C0C0C"/>
                <w:sz w:val="28"/>
                <w:szCs w:val="28"/>
              </w:rPr>
            </w:pPr>
          </w:p>
          <w:p w14:paraId="560AD53A">
            <w:pPr>
              <w:jc w:val="center"/>
              <w:rPr>
                <w:rFonts w:ascii="宋体" w:hAnsi="宋体" w:cs="宋体"/>
                <w:color w:val="0C0C0C"/>
                <w:sz w:val="28"/>
                <w:szCs w:val="28"/>
              </w:rPr>
            </w:pPr>
          </w:p>
          <w:p w14:paraId="5A5CBBDD">
            <w:pPr>
              <w:pStyle w:val="16"/>
            </w:pPr>
          </w:p>
          <w:p w14:paraId="04B78786">
            <w:pPr>
              <w:jc w:val="center"/>
              <w:rPr>
                <w:rFonts w:ascii="宋体" w:hAnsi="Calibri" w:cs="宋体"/>
                <w:color w:val="0C0C0C"/>
                <w:sz w:val="28"/>
                <w:szCs w:val="28"/>
              </w:rPr>
            </w:pPr>
            <w:r>
              <w:rPr>
                <w:rFonts w:hint="eastAsia" w:ascii="宋体" w:hAnsi="宋体" w:cs="宋体"/>
                <w:color w:val="0C0C0C"/>
                <w:sz w:val="28"/>
                <w:szCs w:val="28"/>
              </w:rPr>
              <w:t xml:space="preserve">    编制人：</w:t>
            </w:r>
          </w:p>
          <w:p w14:paraId="17FFA453">
            <w:pPr>
              <w:jc w:val="center"/>
              <w:rPr>
                <w:rFonts w:ascii="宋体" w:hAnsi="Calibri" w:cs="宋体"/>
                <w:color w:val="0C0C0C"/>
                <w:sz w:val="28"/>
                <w:szCs w:val="28"/>
              </w:rPr>
            </w:pPr>
          </w:p>
          <w:p w14:paraId="3553E013">
            <w:pPr>
              <w:snapToGrid w:val="0"/>
              <w:jc w:val="center"/>
              <w:rPr>
                <w:rFonts w:ascii="宋体" w:hAnsi="Calibri" w:cs="宋体"/>
                <w:color w:val="0C0C0C"/>
                <w:sz w:val="28"/>
                <w:szCs w:val="28"/>
              </w:rPr>
            </w:pPr>
            <w:r>
              <w:rPr>
                <w:rFonts w:hint="eastAsia" w:ascii="宋体" w:hAnsi="宋体" w:cs="宋体"/>
                <w:color w:val="0C0C0C"/>
                <w:sz w:val="28"/>
                <w:szCs w:val="28"/>
              </w:rPr>
              <w:t xml:space="preserve">               日期：</w:t>
            </w:r>
            <w:r>
              <w:rPr>
                <w:rFonts w:ascii="宋体" w:hAnsi="宋体" w:cs="宋体"/>
                <w:color w:val="0C0C0C"/>
                <w:sz w:val="28"/>
                <w:szCs w:val="28"/>
              </w:rPr>
              <w:t>20</w:t>
            </w:r>
            <w:r>
              <w:rPr>
                <w:rFonts w:hint="eastAsia" w:ascii="宋体" w:hAnsi="宋体" w:cs="宋体"/>
                <w:color w:val="0C0C0C"/>
                <w:sz w:val="28"/>
                <w:szCs w:val="28"/>
              </w:rPr>
              <w:t>25年</w:t>
            </w:r>
            <w:r>
              <w:rPr>
                <w:rFonts w:hint="eastAsia" w:ascii="宋体" w:hAnsi="宋体" w:cs="宋体"/>
                <w:color w:val="0C0C0C"/>
                <w:sz w:val="28"/>
                <w:szCs w:val="28"/>
                <w:lang w:val="en-US" w:eastAsia="zh-CN"/>
              </w:rPr>
              <w:t>8</w:t>
            </w:r>
            <w:r>
              <w:rPr>
                <w:rFonts w:hint="eastAsia" w:ascii="宋体" w:hAnsi="宋体" w:cs="宋体"/>
                <w:color w:val="0C0C0C"/>
                <w:sz w:val="28"/>
                <w:szCs w:val="28"/>
              </w:rPr>
              <w:t>月　日</w:t>
            </w:r>
          </w:p>
        </w:tc>
      </w:tr>
      <w:tr w14:paraId="4B6A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8" w:type="dxa"/>
          </w:tcPr>
          <w:p w14:paraId="3E243314">
            <w:pPr>
              <w:rPr>
                <w:rFonts w:ascii="宋体" w:hAnsi="Calibri" w:cs="宋体"/>
                <w:color w:val="0C0C0C"/>
                <w:sz w:val="28"/>
                <w:szCs w:val="28"/>
              </w:rPr>
            </w:pPr>
          </w:p>
          <w:p w14:paraId="61081AC0">
            <w:pPr>
              <w:rPr>
                <w:rFonts w:ascii="宋体" w:hAnsi="宋体" w:cs="宋体"/>
                <w:color w:val="0C0C0C"/>
                <w:sz w:val="28"/>
                <w:szCs w:val="28"/>
              </w:rPr>
            </w:pPr>
          </w:p>
          <w:p w14:paraId="75BC92CF">
            <w:pPr>
              <w:rPr>
                <w:rFonts w:ascii="宋体" w:hAnsi="宋体" w:cs="宋体"/>
                <w:color w:val="0C0C0C"/>
                <w:sz w:val="28"/>
                <w:szCs w:val="28"/>
              </w:rPr>
            </w:pPr>
          </w:p>
          <w:p w14:paraId="6D109C82">
            <w:pPr>
              <w:rPr>
                <w:rFonts w:ascii="宋体" w:hAnsi="Calibri" w:cs="宋体"/>
                <w:color w:val="0C0C0C"/>
                <w:sz w:val="28"/>
                <w:szCs w:val="28"/>
              </w:rPr>
            </w:pPr>
            <w:r>
              <w:rPr>
                <w:rFonts w:hint="eastAsia" w:ascii="宋体" w:hAnsi="宋体" w:cs="宋体"/>
                <w:color w:val="0C0C0C"/>
                <w:sz w:val="28"/>
                <w:szCs w:val="28"/>
              </w:rPr>
              <w:t>招标代理：</w:t>
            </w:r>
            <w:r>
              <w:rPr>
                <w:rFonts w:ascii="宋体" w:hAnsi="宋体" w:cs="宋体"/>
                <w:color w:val="0C0C0C"/>
                <w:sz w:val="28"/>
                <w:szCs w:val="28"/>
              </w:rPr>
              <w:t>(</w:t>
            </w:r>
            <w:r>
              <w:rPr>
                <w:rFonts w:hint="eastAsia" w:ascii="宋体" w:hAnsi="宋体" w:cs="宋体"/>
                <w:color w:val="0C0C0C"/>
                <w:sz w:val="28"/>
                <w:szCs w:val="28"/>
              </w:rPr>
              <w:t>盖章</w:t>
            </w:r>
            <w:r>
              <w:rPr>
                <w:rFonts w:ascii="宋体" w:hAnsi="宋体" w:cs="宋体"/>
                <w:color w:val="0C0C0C"/>
                <w:sz w:val="28"/>
                <w:szCs w:val="28"/>
              </w:rPr>
              <w:t xml:space="preserve">)           </w:t>
            </w:r>
            <w:r>
              <w:rPr>
                <w:rFonts w:hint="eastAsia" w:ascii="宋体" w:hAnsi="宋体" w:cs="宋体"/>
                <w:color w:val="0C0C0C"/>
                <w:sz w:val="28"/>
                <w:szCs w:val="28"/>
              </w:rPr>
              <w:t xml:space="preserve">  法定代表人（印鉴或签字）：</w:t>
            </w:r>
          </w:p>
          <w:p w14:paraId="6BA212DD">
            <w:pPr>
              <w:ind w:firstLine="3780" w:firstLineChars="1350"/>
              <w:rPr>
                <w:rFonts w:ascii="宋体" w:hAnsi="Calibri" w:cs="宋体"/>
                <w:color w:val="0C0C0C"/>
                <w:sz w:val="28"/>
                <w:szCs w:val="28"/>
              </w:rPr>
            </w:pPr>
          </w:p>
          <w:p w14:paraId="0176DB4F">
            <w:pPr>
              <w:ind w:firstLine="3780" w:firstLineChars="1350"/>
              <w:rPr>
                <w:rFonts w:ascii="宋体" w:hAnsi="Calibri" w:cs="宋体"/>
                <w:color w:val="0C0C0C"/>
                <w:sz w:val="28"/>
                <w:szCs w:val="28"/>
              </w:rPr>
            </w:pPr>
          </w:p>
          <w:p w14:paraId="49C6A60F">
            <w:pPr>
              <w:snapToGrid w:val="0"/>
              <w:ind w:firstLine="4060" w:firstLineChars="1450"/>
              <w:rPr>
                <w:rFonts w:ascii="宋体" w:hAnsi="宋体" w:cs="宋体"/>
                <w:color w:val="0C0C0C"/>
                <w:sz w:val="28"/>
                <w:szCs w:val="28"/>
              </w:rPr>
            </w:pPr>
            <w:r>
              <w:rPr>
                <w:rFonts w:hint="eastAsia" w:ascii="宋体" w:hAnsi="宋体" w:cs="宋体"/>
                <w:color w:val="0C0C0C"/>
                <w:sz w:val="28"/>
                <w:szCs w:val="28"/>
              </w:rPr>
              <w:t>日期：</w:t>
            </w:r>
            <w:r>
              <w:rPr>
                <w:rFonts w:ascii="宋体" w:hAnsi="宋体" w:cs="宋体"/>
                <w:color w:val="0C0C0C"/>
                <w:sz w:val="28"/>
                <w:szCs w:val="28"/>
              </w:rPr>
              <w:t>2</w:t>
            </w:r>
            <w:r>
              <w:rPr>
                <w:rFonts w:hint="eastAsia" w:ascii="宋体" w:hAnsi="宋体" w:cs="宋体"/>
                <w:color w:val="0C0C0C"/>
                <w:sz w:val="28"/>
                <w:szCs w:val="28"/>
              </w:rPr>
              <w:t>025年</w:t>
            </w:r>
            <w:r>
              <w:rPr>
                <w:rFonts w:hint="eastAsia" w:ascii="宋体" w:hAnsi="宋体" w:cs="宋体"/>
                <w:color w:val="0C0C0C"/>
                <w:sz w:val="28"/>
                <w:szCs w:val="28"/>
                <w:lang w:val="en-US" w:eastAsia="zh-CN"/>
              </w:rPr>
              <w:t>8</w:t>
            </w:r>
            <w:r>
              <w:rPr>
                <w:rFonts w:hint="eastAsia" w:ascii="宋体" w:hAnsi="宋体" w:cs="宋体"/>
                <w:color w:val="0C0C0C"/>
                <w:sz w:val="28"/>
                <w:szCs w:val="28"/>
              </w:rPr>
              <w:t>月　日</w:t>
            </w:r>
          </w:p>
          <w:p w14:paraId="4A403E76">
            <w:pPr>
              <w:snapToGrid w:val="0"/>
              <w:ind w:firstLine="3500" w:firstLineChars="1250"/>
              <w:rPr>
                <w:rFonts w:ascii="宋体" w:hAnsi="Calibri" w:cs="宋体"/>
                <w:color w:val="0C0C0C"/>
                <w:sz w:val="28"/>
                <w:szCs w:val="28"/>
              </w:rPr>
            </w:pPr>
          </w:p>
          <w:p w14:paraId="224389CF">
            <w:pPr>
              <w:snapToGrid w:val="0"/>
              <w:ind w:firstLine="3500" w:firstLineChars="1250"/>
              <w:rPr>
                <w:rFonts w:ascii="宋体" w:hAnsi="Calibri" w:cs="宋体"/>
                <w:color w:val="0C0C0C"/>
                <w:sz w:val="28"/>
                <w:szCs w:val="28"/>
              </w:rPr>
            </w:pPr>
          </w:p>
        </w:tc>
      </w:tr>
      <w:tr w14:paraId="5E11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8" w:type="dxa"/>
          </w:tcPr>
          <w:p w14:paraId="34519A17">
            <w:pPr>
              <w:rPr>
                <w:rFonts w:ascii="宋体" w:hAnsi="Calibri" w:cs="宋体"/>
                <w:color w:val="0C0C0C"/>
                <w:sz w:val="28"/>
                <w:szCs w:val="28"/>
              </w:rPr>
            </w:pPr>
          </w:p>
          <w:p w14:paraId="0259481C">
            <w:pPr>
              <w:rPr>
                <w:rFonts w:ascii="宋体" w:hAnsi="Calibri" w:cs="宋体"/>
                <w:color w:val="0C0C0C"/>
                <w:sz w:val="28"/>
                <w:szCs w:val="28"/>
              </w:rPr>
            </w:pPr>
          </w:p>
          <w:p w14:paraId="48F16089">
            <w:pPr>
              <w:pStyle w:val="16"/>
            </w:pPr>
          </w:p>
          <w:p w14:paraId="29804547">
            <w:pPr>
              <w:rPr>
                <w:rFonts w:ascii="宋体" w:hAnsi="宋体" w:cs="宋体"/>
                <w:color w:val="0C0C0C"/>
                <w:sz w:val="28"/>
                <w:szCs w:val="28"/>
              </w:rPr>
            </w:pPr>
            <w:r>
              <w:rPr>
                <w:rFonts w:hint="eastAsia" w:ascii="宋体" w:hAnsi="宋体" w:cs="宋体"/>
                <w:color w:val="0C0C0C"/>
                <w:sz w:val="28"/>
                <w:szCs w:val="28"/>
              </w:rPr>
              <w:t>招标人（盖章）              法定代表人（印鉴或签字）：　</w:t>
            </w:r>
          </w:p>
          <w:p w14:paraId="2CF2E7BC">
            <w:pPr>
              <w:ind w:firstLine="4060" w:firstLineChars="1450"/>
              <w:rPr>
                <w:rFonts w:ascii="宋体" w:hAnsi="Calibri" w:cs="宋体"/>
                <w:color w:val="0C0C0C"/>
                <w:sz w:val="28"/>
                <w:szCs w:val="28"/>
              </w:rPr>
            </w:pPr>
            <w:r>
              <w:rPr>
                <w:rFonts w:hint="eastAsia" w:ascii="宋体" w:hAnsi="宋体" w:cs="宋体"/>
                <w:color w:val="0C0C0C"/>
                <w:sz w:val="28"/>
                <w:szCs w:val="28"/>
              </w:rPr>
              <w:t>其委托代理人（签字）：</w:t>
            </w:r>
          </w:p>
          <w:p w14:paraId="339528B7">
            <w:pPr>
              <w:rPr>
                <w:rFonts w:ascii="宋体" w:hAnsi="Calibri" w:cs="宋体"/>
                <w:color w:val="0C0C0C"/>
                <w:sz w:val="28"/>
                <w:szCs w:val="28"/>
              </w:rPr>
            </w:pPr>
          </w:p>
          <w:p w14:paraId="78E38ADF">
            <w:pPr>
              <w:ind w:firstLine="4200" w:firstLineChars="1500"/>
              <w:rPr>
                <w:rFonts w:ascii="宋体" w:hAnsi="宋体" w:cs="宋体"/>
                <w:color w:val="0C0C0C"/>
                <w:sz w:val="28"/>
                <w:szCs w:val="28"/>
              </w:rPr>
            </w:pPr>
            <w:r>
              <w:rPr>
                <w:rFonts w:hint="eastAsia" w:ascii="宋体" w:hAnsi="宋体" w:cs="宋体"/>
                <w:color w:val="0C0C0C"/>
                <w:sz w:val="28"/>
                <w:szCs w:val="28"/>
              </w:rPr>
              <w:t>日期：</w:t>
            </w:r>
            <w:r>
              <w:rPr>
                <w:rFonts w:ascii="宋体" w:hAnsi="宋体" w:cs="宋体"/>
                <w:color w:val="0C0C0C"/>
                <w:sz w:val="28"/>
                <w:szCs w:val="28"/>
              </w:rPr>
              <w:t>2</w:t>
            </w:r>
            <w:r>
              <w:rPr>
                <w:rFonts w:hint="eastAsia" w:ascii="宋体" w:hAnsi="宋体" w:cs="宋体"/>
                <w:color w:val="0C0C0C"/>
                <w:sz w:val="28"/>
                <w:szCs w:val="28"/>
              </w:rPr>
              <w:t>025年</w:t>
            </w:r>
            <w:r>
              <w:rPr>
                <w:rFonts w:hint="eastAsia" w:ascii="宋体" w:hAnsi="宋体" w:cs="宋体"/>
                <w:color w:val="0C0C0C"/>
                <w:sz w:val="28"/>
                <w:szCs w:val="28"/>
                <w:lang w:val="en-US" w:eastAsia="zh-CN"/>
              </w:rPr>
              <w:t>8</w:t>
            </w:r>
            <w:r>
              <w:rPr>
                <w:rFonts w:hint="eastAsia" w:ascii="宋体" w:hAnsi="宋体" w:cs="宋体"/>
                <w:color w:val="0C0C0C"/>
                <w:sz w:val="28"/>
                <w:szCs w:val="28"/>
              </w:rPr>
              <w:t>月　日</w:t>
            </w:r>
          </w:p>
          <w:p w14:paraId="6F236779">
            <w:pPr>
              <w:ind w:firstLine="3500" w:firstLineChars="1250"/>
              <w:rPr>
                <w:rFonts w:ascii="宋体" w:hAnsi="Calibri" w:cs="宋体"/>
                <w:color w:val="0C0C0C"/>
                <w:sz w:val="28"/>
                <w:szCs w:val="28"/>
              </w:rPr>
            </w:pPr>
          </w:p>
        </w:tc>
      </w:tr>
    </w:tbl>
    <w:p w14:paraId="6884E136">
      <w:pPr>
        <w:pStyle w:val="31"/>
        <w:rPr>
          <w:rFonts w:hint="default"/>
        </w:rPr>
      </w:pPr>
    </w:p>
    <w:p w14:paraId="6D566052">
      <w:pPr>
        <w:pStyle w:val="54"/>
        <w:keepNext w:val="0"/>
        <w:keepLines w:val="0"/>
        <w:pageBreakBefore w:val="0"/>
        <w:widowControl/>
        <w:numPr>
          <w:ilvl w:val="0"/>
          <w:numId w:val="2"/>
        </w:numPr>
        <w:kinsoku/>
        <w:wordWrap/>
        <w:overflowPunct/>
        <w:topLinePunct w:val="0"/>
        <w:autoSpaceDE/>
        <w:autoSpaceDN/>
        <w:bidi w:val="0"/>
        <w:adjustRightInd/>
        <w:snapToGrid/>
        <w:spacing w:line="500" w:lineRule="exact"/>
        <w:ind w:firstLineChars="0"/>
        <w:jc w:val="center"/>
        <w:textAlignment w:val="auto"/>
        <w:rPr>
          <w:rFonts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pPr>
      <w:bookmarkStart w:id="0" w:name="OLE_LINK1"/>
      <w:bookmarkStart w:id="1" w:name="OLE_LINK2"/>
      <w:r>
        <w:rPr>
          <w:rFonts w:hint="eastAsia" w:asciiTheme="minorEastAsia" w:hAnsiTheme="minorEastAsia" w:eastAsiaTheme="minorEastAsia" w:cstheme="minorEastAsia"/>
          <w:b/>
          <w:bCs/>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招标公告</w:t>
      </w:r>
    </w:p>
    <w:p w14:paraId="3D36090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Cs/>
          <w:color w:val="0D0D0D" w:themeColor="text1" w:themeTint="F2"/>
          <w:kern w:val="0"/>
          <w:sz w:val="28"/>
          <w:szCs w:val="28"/>
          <w:lang w:val="en-US" w:eastAsia="zh-CN"/>
          <w14:textFill>
            <w14:solidFill>
              <w14:schemeClr w14:val="tx1">
                <w14:lumMod w14:val="95000"/>
                <w14:lumOff w14:val="5000"/>
              </w14:schemeClr>
            </w14:solidFill>
          </w14:textFill>
        </w:rPr>
      </w:pPr>
      <w:bookmarkStart w:id="2" w:name="OLE_LINK7"/>
      <w:bookmarkStart w:id="3" w:name="OLE_LINK8"/>
      <w:bookmarkStart w:id="4" w:name="OLE_LINK6"/>
      <w:bookmarkStart w:id="5" w:name="OLE_LINK5"/>
      <w:bookmarkStart w:id="6" w:name="OLE_LINK9"/>
      <w:r>
        <w:rPr>
          <w:rFonts w:hint="eastAsia" w:asciiTheme="minorEastAsia" w:hAnsiTheme="minorEastAsia" w:eastAsiaTheme="minorEastAsia" w:cstheme="minorEastAsia"/>
          <w:bCs/>
          <w:color w:val="0D0D0D" w:themeColor="text1" w:themeTint="F2"/>
          <w:kern w:val="0"/>
          <w:sz w:val="28"/>
          <w:szCs w:val="28"/>
          <w:lang w:val="en-US" w:eastAsia="zh-CN"/>
          <w14:textFill>
            <w14:solidFill>
              <w14:schemeClr w14:val="tx1">
                <w14:lumMod w14:val="95000"/>
                <w14:lumOff w14:val="5000"/>
              </w14:schemeClr>
            </w14:solidFill>
          </w14:textFill>
        </w:rPr>
        <w:t>通州区应急水源地供水设施改扩建和技术改造采购及安装项目</w:t>
      </w:r>
    </w:p>
    <w:p w14:paraId="181B26C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Cs/>
          <w:color w:val="0D0D0D" w:themeColor="text1" w:themeTint="F2"/>
          <w:kern w:val="0"/>
          <w:sz w:val="28"/>
          <w:szCs w:val="28"/>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kern w:val="0"/>
          <w:sz w:val="28"/>
          <w:szCs w:val="28"/>
          <w14:textFill>
            <w14:solidFill>
              <w14:schemeClr w14:val="tx1">
                <w14:lumMod w14:val="95000"/>
                <w14:lumOff w14:val="5000"/>
              </w14:schemeClr>
            </w14:solidFill>
          </w14:textFill>
        </w:rPr>
        <w:t>招标公告（资格后审）</w:t>
      </w:r>
      <w:r>
        <w:rPr>
          <w:rFonts w:hint="eastAsia" w:asciiTheme="minorEastAsia" w:hAnsiTheme="minorEastAsia" w:eastAsiaTheme="minorEastAsia" w:cstheme="minorEastAsia"/>
          <w:bCs/>
          <w:color w:val="0D0D0D" w:themeColor="text1" w:themeTint="F2"/>
          <w:kern w:val="0"/>
          <w:sz w:val="28"/>
          <w:szCs w:val="28"/>
          <w:lang w:eastAsia="zh-CN"/>
          <w14:textFill>
            <w14:solidFill>
              <w14:schemeClr w14:val="tx1">
                <w14:lumMod w14:val="95000"/>
                <w14:lumOff w14:val="5000"/>
              </w14:schemeClr>
            </w14:solidFill>
          </w14:textFill>
        </w:rPr>
        <w:t>第二次</w:t>
      </w:r>
    </w:p>
    <w:p w14:paraId="28800473">
      <w:pPr>
        <w:widowControl/>
        <w:spacing w:line="40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一、</w:t>
      </w:r>
      <w:r>
        <w:rPr>
          <w:rFonts w:hint="eastAsia" w:asciiTheme="minorEastAsia" w:hAnsiTheme="minorEastAsia" w:eastAsiaTheme="minorEastAsia" w:cstheme="minorEastAsia"/>
          <w:color w:val="0D0D0D" w:themeColor="text1" w:themeTint="F2"/>
          <w:kern w:val="0"/>
          <w:u w:val="single"/>
          <w:lang w:eastAsia="zh-CN"/>
          <w14:textFill>
            <w14:solidFill>
              <w14:schemeClr w14:val="tx1">
                <w14:lumMod w14:val="95000"/>
                <w14:lumOff w14:val="5000"/>
              </w14:schemeClr>
            </w14:solidFill>
          </w14:textFill>
        </w:rPr>
        <w:t>通州区应急水源地供水设施改扩建和技术改造</w:t>
      </w:r>
      <w:r>
        <w:rPr>
          <w:rFonts w:hint="eastAsia" w:asciiTheme="minorEastAsia" w:hAnsiTheme="minorEastAsia" w:eastAsiaTheme="minorEastAsia" w:cstheme="minorEastAsia"/>
          <w:color w:val="0D0D0D" w:themeColor="text1" w:themeTint="F2"/>
          <w:u w:val="single"/>
          <w14:textFill>
            <w14:solidFill>
              <w14:schemeClr w14:val="tx1">
                <w14:lumMod w14:val="95000"/>
                <w14:lumOff w14:val="5000"/>
              </w14:schemeClr>
            </w14:solidFill>
          </w14:textFill>
        </w:rPr>
        <w:t>采购及安装项目</w:t>
      </w: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已经批准实施。项目所需</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资金来源是</w:t>
      </w:r>
      <w:r>
        <w:rPr>
          <w:rFonts w:hint="eastAsia" w:asciiTheme="minorEastAsia" w:hAnsiTheme="minorEastAsia" w:eastAsiaTheme="minorEastAsia" w:cstheme="minorEastAsia"/>
          <w:color w:val="0D0D0D" w:themeColor="text1" w:themeTint="F2"/>
          <w:kern w:val="0"/>
          <w:highlight w:val="none"/>
          <w:u w:val="single"/>
          <w:lang w:val="en-US" w:eastAsia="zh-CN"/>
          <w14:textFill>
            <w14:solidFill>
              <w14:schemeClr w14:val="tx1">
                <w14:lumMod w14:val="95000"/>
                <w14:lumOff w14:val="5000"/>
              </w14:schemeClr>
            </w14:solidFill>
          </w14:textFill>
        </w:rPr>
        <w:t xml:space="preserve"> 财政拨款</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，已落实，现决定对该项目进行公开招标，选定中标人。</w:t>
      </w:r>
    </w:p>
    <w:p w14:paraId="0C006764">
      <w:pPr>
        <w:widowControl/>
        <w:spacing w:line="400" w:lineRule="exact"/>
        <w:ind w:firstLine="420" w:firstLineChars="200"/>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二、项目概况：</w:t>
      </w:r>
    </w:p>
    <w:p w14:paraId="42D5955B">
      <w:pPr>
        <w:widowControl/>
        <w:spacing w:line="400" w:lineRule="exact"/>
        <w:ind w:firstLine="420" w:firstLineChars="200"/>
        <w:jc w:val="left"/>
        <w:rPr>
          <w:rFonts w:hint="eastAsia" w:asciiTheme="minorEastAsia" w:hAnsiTheme="minorEastAsia" w:eastAsiaTheme="minorEastAsia" w:cstheme="minorEastAsia"/>
          <w:color w:val="0D0D0D" w:themeColor="text1" w:themeTint="F2"/>
          <w:kern w:val="0"/>
          <w:highlight w:val="no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1、招标范围：</w:t>
      </w:r>
      <w:r>
        <w:rPr>
          <w:rFonts w:hint="eastAsia" w:asciiTheme="minorEastAsia" w:hAnsiTheme="minorEastAsia" w:eastAsiaTheme="minorEastAsia" w:cstheme="minorEastAsia"/>
          <w:color w:val="0D0D0D" w:themeColor="text1" w:themeTint="F2"/>
          <w:kern w:val="0"/>
          <w:highlight w:val="none"/>
          <w:lang w:val="en-US" w:eastAsia="zh-CN"/>
          <w14:textFill>
            <w14:solidFill>
              <w14:schemeClr w14:val="tx1">
                <w14:lumMod w14:val="95000"/>
                <w14:lumOff w14:val="5000"/>
              </w14:schemeClr>
            </w14:solidFill>
          </w14:textFill>
        </w:rPr>
        <w:t>采购安装一批伸缩节、止回阀、跨河钢桁架、围栏及防盗设施等；具体内容详见招标文件“项目需求”。</w:t>
      </w:r>
    </w:p>
    <w:p w14:paraId="4DB36E8E">
      <w:pPr>
        <w:widowControl/>
        <w:spacing w:line="400" w:lineRule="exact"/>
        <w:ind w:firstLine="420" w:firstLineChars="200"/>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2、项目地点：南通市通州区。</w:t>
      </w:r>
    </w:p>
    <w:p w14:paraId="1508AAB8">
      <w:pPr>
        <w:widowControl/>
        <w:spacing w:line="400" w:lineRule="exact"/>
        <w:ind w:firstLine="420" w:firstLineChars="200"/>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3、质量要求：满足招标文件要求。</w:t>
      </w:r>
    </w:p>
    <w:p w14:paraId="5FA6FE78">
      <w:pPr>
        <w:widowControl/>
        <w:spacing w:line="400" w:lineRule="exact"/>
        <w:ind w:firstLine="420" w:firstLineChars="200"/>
        <w:jc w:val="left"/>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4、工期要求：合同签订之日起</w:t>
      </w:r>
      <w:r>
        <w:rPr>
          <w:rFonts w:hint="eastAsia" w:asciiTheme="minorEastAsia" w:hAnsiTheme="minorEastAsia" w:eastAsiaTheme="minorEastAsia" w:cstheme="minorEastAsia"/>
          <w:color w:val="0D0D0D" w:themeColor="text1" w:themeTint="F2"/>
          <w:kern w:val="0"/>
          <w:highlight w:val="none"/>
          <w:lang w:val="en-US" w:eastAsia="zh-CN"/>
          <w14:textFill>
            <w14:solidFill>
              <w14:schemeClr w14:val="tx1">
                <w14:lumMod w14:val="95000"/>
                <w14:lumOff w14:val="5000"/>
              </w14:schemeClr>
            </w14:solidFill>
          </w14:textFill>
        </w:rPr>
        <w:t>9</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0个日历天内</w:t>
      </w:r>
      <w:r>
        <w:rPr>
          <w:rFonts w:hint="eastAsia" w:asciiTheme="minorEastAsia" w:hAnsiTheme="minorEastAsia" w:eastAsiaTheme="minorEastAsia" w:cstheme="minorEastAsia"/>
          <w:color w:val="0D0D0D" w:themeColor="text1" w:themeTint="F2"/>
          <w:kern w:val="0"/>
          <w:highlight w:val="none"/>
          <w:lang w:eastAsia="zh-CN"/>
          <w14:textFill>
            <w14:solidFill>
              <w14:schemeClr w14:val="tx1">
                <w14:lumMod w14:val="95000"/>
                <w14:lumOff w14:val="5000"/>
              </w14:schemeClr>
            </w14:solidFill>
          </w14:textFill>
        </w:rPr>
        <w:t>采购及</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安装调试完毕。</w:t>
      </w:r>
    </w:p>
    <w:p w14:paraId="12F65082">
      <w:pPr>
        <w:widowControl/>
        <w:spacing w:line="400" w:lineRule="exact"/>
        <w:ind w:left="420"/>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5、最高限价：人民币</w:t>
      </w:r>
      <w:r>
        <w:rPr>
          <w:rFonts w:hint="eastAsia" w:asciiTheme="minorEastAsia" w:hAnsiTheme="minorEastAsia" w:eastAsiaTheme="minorEastAsia" w:cstheme="minorEastAsia"/>
          <w:color w:val="0D0D0D" w:themeColor="text1" w:themeTint="F2"/>
          <w:kern w:val="0"/>
          <w:highlight w:val="none"/>
          <w:u w:val="single"/>
          <w:lang w:val="en-US" w:eastAsia="zh-CN"/>
          <w14:textFill>
            <w14:solidFill>
              <w14:schemeClr w14:val="tx1">
                <w14:lumMod w14:val="95000"/>
                <w14:lumOff w14:val="5000"/>
              </w14:schemeClr>
            </w14:solidFill>
          </w14:textFill>
        </w:rPr>
        <w:t xml:space="preserve">37.1699 </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万元。</w:t>
      </w:r>
    </w:p>
    <w:p w14:paraId="5905C7EA">
      <w:pPr>
        <w:spacing w:line="400" w:lineRule="exact"/>
        <w:ind w:firstLine="422" w:firstLineChars="200"/>
        <w:rPr>
          <w:rFonts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highlight w:val="none"/>
          <w14:textFill>
            <w14:solidFill>
              <w14:schemeClr w14:val="tx1">
                <w14:lumMod w14:val="95000"/>
                <w14:lumOff w14:val="5000"/>
              </w14:schemeClr>
            </w14:solidFill>
          </w14:textFill>
        </w:rPr>
        <w:t>三、投标人应当具备的资格条件：</w:t>
      </w:r>
    </w:p>
    <w:p w14:paraId="46C06D76">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1、具有独立法人资格且具有有效的企业法人营业执照；</w:t>
      </w:r>
    </w:p>
    <w:p w14:paraId="6758AB6A">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2、具有</w:t>
      </w:r>
      <w:r>
        <w:rPr>
          <w:rFonts w:hint="eastAsia" w:asciiTheme="minorEastAsia" w:hAnsiTheme="minorEastAsia" w:eastAsiaTheme="minorEastAsia" w:cstheme="minorEastAsia"/>
          <w:highlight w:val="none"/>
          <w:lang w:eastAsia="zh-CN"/>
        </w:rPr>
        <w:t>市政公用工程施工总承包叁</w:t>
      </w:r>
      <w:r>
        <w:rPr>
          <w:rFonts w:hint="eastAsia" w:asciiTheme="minorEastAsia" w:hAnsiTheme="minorEastAsia" w:eastAsiaTheme="minorEastAsia" w:cstheme="minorEastAsia"/>
          <w:highlight w:val="none"/>
        </w:rPr>
        <w:t>级及以上资质；</w:t>
      </w:r>
    </w:p>
    <w:p w14:paraId="0CC06EF6">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w:t>
      </w:r>
      <w:r>
        <w:rPr>
          <w:rFonts w:hint="eastAsia" w:asciiTheme="minorEastAsia" w:hAnsiTheme="minorEastAsia" w:eastAsiaTheme="minorEastAsia" w:cstheme="minorEastAsia"/>
          <w:highlight w:val="none"/>
          <w:lang w:eastAsia="zh-CN"/>
        </w:rPr>
        <w:t>具有有效的企业安全生产许可证；</w:t>
      </w:r>
    </w:p>
    <w:p w14:paraId="3487DF8A">
      <w:pPr>
        <w:spacing w:line="400" w:lineRule="exact"/>
        <w:ind w:firstLine="420" w:firstLineChars="200"/>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4、拟派项目负责人具有建筑工程专业贰级及以上注册建造师证书及安全考核合格B证；</w:t>
      </w:r>
    </w:p>
    <w:p w14:paraId="782916E3">
      <w:pPr>
        <w:spacing w:line="40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highlight w:val="none"/>
          <w:lang w:val="en-US" w:eastAsia="zh-CN"/>
        </w:rPr>
        <w:t>5、拟派项目负责人与</w:t>
      </w:r>
      <w:r>
        <w:rPr>
          <w:rFonts w:hint="eastAsia" w:asciiTheme="minorEastAsia" w:hAnsiTheme="minorEastAsia" w:eastAsiaTheme="minorEastAsia" w:cstheme="minorEastAsia"/>
          <w:highlight w:val="none"/>
        </w:rPr>
        <w:t>投标人签订的有效劳动合同</w:t>
      </w:r>
      <w:r>
        <w:rPr>
          <w:rFonts w:hint="eastAsia" w:asciiTheme="minorEastAsia" w:hAnsiTheme="minorEastAsia" w:eastAsiaTheme="minorEastAsia" w:cstheme="minorEastAsia"/>
          <w:highlight w:val="none"/>
          <w:lang w:eastAsia="zh-CN"/>
        </w:rPr>
        <w:t>及</w:t>
      </w:r>
      <w:r>
        <w:rPr>
          <w:rFonts w:hint="eastAsia" w:asciiTheme="minorEastAsia" w:hAnsiTheme="minorEastAsia" w:eastAsiaTheme="minorEastAsia" w:cstheme="minorEastAsia"/>
          <w:highlight w:val="none"/>
        </w:rPr>
        <w:t>投标人为</w:t>
      </w:r>
      <w:r>
        <w:rPr>
          <w:rFonts w:hint="eastAsia" w:asciiTheme="minorEastAsia" w:hAnsiTheme="minorEastAsia" w:eastAsiaTheme="minorEastAsia" w:cstheme="minorEastAsia"/>
          <w:highlight w:val="none"/>
          <w:lang w:eastAsia="zh-CN"/>
        </w:rPr>
        <w:t>拟派项目负责人</w:t>
      </w:r>
      <w:r>
        <w:rPr>
          <w:rFonts w:hint="eastAsia" w:asciiTheme="minorEastAsia" w:hAnsiTheme="minorEastAsia" w:eastAsiaTheme="minorEastAsia" w:cstheme="minorEastAsia"/>
          <w:highlight w:val="none"/>
        </w:rPr>
        <w:t>缴纳的202</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rPr>
        <w:t>月至2025年</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月养老保险缴费证明</w:t>
      </w:r>
      <w:r>
        <w:rPr>
          <w:rFonts w:hint="eastAsia" w:asciiTheme="minorEastAsia" w:hAnsiTheme="minorEastAsia" w:eastAsiaTheme="minorEastAsia" w:cstheme="minorEastAsia"/>
          <w:lang w:eastAsia="zh-CN"/>
        </w:rPr>
        <w:t>；</w:t>
      </w:r>
    </w:p>
    <w:p w14:paraId="41043839">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、授权委托人（如有）与投标人签订的有效劳动合同</w:t>
      </w:r>
      <w:r>
        <w:rPr>
          <w:rFonts w:hint="eastAsia" w:asciiTheme="minorEastAsia" w:hAnsiTheme="minorEastAsia" w:eastAsiaTheme="minorEastAsia" w:cstheme="minorEastAsia"/>
          <w:lang w:eastAsia="zh-CN"/>
        </w:rPr>
        <w:t>及</w:t>
      </w:r>
      <w:r>
        <w:rPr>
          <w:rFonts w:hint="eastAsia" w:asciiTheme="minorEastAsia" w:hAnsiTheme="minorEastAsia" w:eastAsiaTheme="minorEastAsia" w:cstheme="minorEastAsia"/>
        </w:rPr>
        <w:t>投标人为授权委托人（如有）缴纳的202</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月至2025年</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月养老保险缴费证明（企业法定代表人参与投标，此项不需提供）；</w:t>
      </w:r>
    </w:p>
    <w:p w14:paraId="7E830E44">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、投标声明函（格式见招标文件）。</w:t>
      </w:r>
    </w:p>
    <w:p w14:paraId="16D2B45C">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投标人提供的投标文件中的内容没有失实或者弄虚作假，若提供虚假材料的，投标保证金一律没收，记不良行为一次并网上公示。</w:t>
      </w:r>
    </w:p>
    <w:p w14:paraId="62A051B5">
      <w:pPr>
        <w:widowControl/>
        <w:spacing w:line="400" w:lineRule="exact"/>
        <w:ind w:firstLine="420" w:firstLineChars="200"/>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本项目不接受联合体投标。</w:t>
      </w:r>
    </w:p>
    <w:p w14:paraId="57818813">
      <w:pPr>
        <w:widowControl/>
        <w:spacing w:line="400" w:lineRule="exact"/>
        <w:ind w:firstLine="308" w:firstLineChars="146"/>
        <w:jc w:val="left"/>
        <w:rPr>
          <w:rFonts w:asciiTheme="minorEastAsia" w:hAnsiTheme="minorEastAsia" w:eastAsiaTheme="minorEastAsia" w:cstheme="minorEastAsia"/>
          <w:b/>
          <w:bCs/>
          <w:color w:val="0C0C0C"/>
          <w:kern w:val="0"/>
        </w:rPr>
      </w:pPr>
      <w:r>
        <w:rPr>
          <w:rFonts w:hint="eastAsia" w:asciiTheme="minorEastAsia" w:hAnsiTheme="minorEastAsia" w:eastAsiaTheme="minorEastAsia" w:cstheme="minorEastAsia"/>
          <w:b/>
          <w:bCs/>
          <w:color w:val="0C0C0C"/>
          <w:kern w:val="0"/>
        </w:rPr>
        <w:t>四、投标费用</w:t>
      </w:r>
    </w:p>
    <w:p w14:paraId="0D83361A">
      <w:pPr>
        <w:spacing w:line="400" w:lineRule="exact"/>
        <w:ind w:firstLine="630" w:firstLineChars="300"/>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投标单位应承担其编制投标文件以及递交投标文件所涉及的一切费用，无论投标结果如何，招标人对上述费用不负任何责任。</w:t>
      </w:r>
    </w:p>
    <w:p w14:paraId="3D30FA97">
      <w:pPr>
        <w:widowControl/>
        <w:kinsoku w:val="0"/>
        <w:autoSpaceDE w:val="0"/>
        <w:autoSpaceDN w:val="0"/>
        <w:adjustRightInd w:val="0"/>
        <w:snapToGrid w:val="0"/>
        <w:spacing w:line="400" w:lineRule="exact"/>
        <w:ind w:firstLine="630" w:firstLineChars="300"/>
        <w:jc w:val="left"/>
        <w:textAlignment w:val="baseline"/>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获取费用：免费。</w:t>
      </w:r>
    </w:p>
    <w:p w14:paraId="4468246C">
      <w:pPr>
        <w:widowControl/>
        <w:spacing w:line="400" w:lineRule="exact"/>
        <w:ind w:firstLine="413" w:firstLineChars="196"/>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五、答疑</w:t>
      </w:r>
    </w:p>
    <w:p w14:paraId="067C3B26">
      <w:pPr>
        <w:spacing w:line="400" w:lineRule="exact"/>
        <w:ind w:firstLine="315" w:firstLineChars="150"/>
        <w:rPr>
          <w:rFonts w:ascii="宋体" w:hAnsi="宋体"/>
        </w:rPr>
      </w:pPr>
      <w:r>
        <w:rPr>
          <w:rFonts w:hint="eastAsia" w:asciiTheme="minorEastAsia" w:hAnsiTheme="minorEastAsia" w:eastAsiaTheme="minorEastAsia" w:cstheme="minorEastAsia"/>
          <w:color w:val="000000"/>
        </w:rPr>
        <w:t>1、</w:t>
      </w:r>
      <w:r>
        <w:rPr>
          <w:rFonts w:hint="eastAsia" w:ascii="宋体" w:hAnsi="宋体"/>
        </w:rPr>
        <w:t>投标人获取招标文件后，应仔细核查招标文件的所有内容，投标人如有疑问，应在</w:t>
      </w:r>
      <w:r>
        <w:rPr>
          <w:rFonts w:hint="eastAsia" w:ascii="宋体" w:hAnsi="宋体"/>
          <w:b/>
        </w:rPr>
        <w:t>2025年</w:t>
      </w:r>
      <w:r>
        <w:rPr>
          <w:rFonts w:hint="eastAsia" w:ascii="宋体" w:hAnsi="宋体"/>
          <w:b/>
          <w:lang w:val="en-US" w:eastAsia="zh-CN"/>
        </w:rPr>
        <w:t>9</w:t>
      </w:r>
      <w:r>
        <w:rPr>
          <w:rFonts w:hint="eastAsia" w:ascii="宋体" w:hAnsi="宋体"/>
          <w:b/>
        </w:rPr>
        <w:t>月</w:t>
      </w:r>
      <w:r>
        <w:rPr>
          <w:rFonts w:hint="eastAsia" w:ascii="宋体" w:hAnsi="宋体"/>
          <w:b/>
          <w:u w:val="single"/>
          <w:lang w:val="en-US" w:eastAsia="zh-CN"/>
        </w:rPr>
        <w:t>5</w:t>
      </w:r>
      <w:r>
        <w:rPr>
          <w:rFonts w:hint="eastAsia" w:ascii="宋体" w:hAnsi="宋体"/>
          <w:b/>
        </w:rPr>
        <w:t>日17：00</w:t>
      </w:r>
      <w:r>
        <w:rPr>
          <w:rFonts w:hint="eastAsia" w:ascii="宋体" w:hAnsi="宋体"/>
        </w:rPr>
        <w:t>前提出，要求招标人对招标文件予以澄清。如在规定时间未提出询问的，视为投标人理解并接受招标文件所有内容。否则，由此引起的损失由投标人自己承担。投标人同时应认真审核招标文件中所有的事项、格式、条款和规范要求等，若投标人的投标文件没有按招标文件要求提交全部资料，或投标文件没有对招标文件作出实质性响应，其风险由投标人自行承担，并根据有关条款规定，该标书有可能被拒绝。</w:t>
      </w:r>
    </w:p>
    <w:p w14:paraId="0458A9FC">
      <w:pPr>
        <w:spacing w:line="400" w:lineRule="exact"/>
        <w:ind w:firstLine="420" w:firstLineChars="200"/>
        <w:rPr>
          <w:rFonts w:ascii="宋体" w:hAnsi="宋体"/>
        </w:rPr>
      </w:pPr>
      <w:r>
        <w:rPr>
          <w:rFonts w:hint="eastAsia" w:asciiTheme="minorEastAsia" w:hAnsiTheme="minorEastAsia" w:eastAsiaTheme="minorEastAsia" w:cstheme="minorEastAsia"/>
          <w:color w:val="000000"/>
        </w:rPr>
        <w:t>2、</w:t>
      </w:r>
      <w:r>
        <w:rPr>
          <w:rFonts w:hint="eastAsia" w:ascii="宋体" w:hAnsi="宋体"/>
        </w:rPr>
        <w:t>无论是招标人根据需要主动对招标文件进行必要的澄清、修改或补充，或是根据投标人的招标答疑、澄清要求对招标文件做出招标答疑、澄清要求回复，招标人都将予以澄清、修改或补充，招标人或招标代理机构将在</w:t>
      </w:r>
      <w:r>
        <w:rPr>
          <w:rFonts w:hint="eastAsia" w:ascii="宋体" w:hAnsi="宋体"/>
          <w:b/>
        </w:rPr>
        <w:t>2025年</w:t>
      </w:r>
      <w:r>
        <w:rPr>
          <w:rFonts w:hint="eastAsia" w:ascii="宋体" w:hAnsi="宋体"/>
          <w:b/>
          <w:lang w:val="en-US" w:eastAsia="zh-CN"/>
        </w:rPr>
        <w:t>9</w:t>
      </w:r>
      <w:r>
        <w:rPr>
          <w:rFonts w:hint="eastAsia" w:ascii="宋体" w:hAnsi="宋体"/>
          <w:b/>
        </w:rPr>
        <w:t>月</w:t>
      </w:r>
      <w:r>
        <w:rPr>
          <w:rFonts w:hint="eastAsia" w:ascii="宋体" w:hAnsi="宋体"/>
          <w:b/>
          <w:u w:val="single"/>
          <w:lang w:val="en-US" w:eastAsia="zh-CN"/>
        </w:rPr>
        <w:t>8</w:t>
      </w:r>
      <w:r>
        <w:rPr>
          <w:rFonts w:hint="eastAsia" w:ascii="宋体" w:hAnsi="宋体"/>
          <w:b/>
        </w:rPr>
        <w:t>日24：00</w:t>
      </w:r>
      <w:r>
        <w:rPr>
          <w:rFonts w:hint="eastAsia" w:ascii="宋体" w:hAnsi="宋体"/>
        </w:rPr>
        <w:t>前通过“南通市通州区</w:t>
      </w:r>
      <w:r>
        <w:rPr>
          <w:rFonts w:hint="eastAsia" w:ascii="宋体" w:hAnsi="宋体"/>
          <w:lang w:eastAsia="zh-CN"/>
        </w:rPr>
        <w:t>人民政府</w:t>
      </w:r>
      <w:r>
        <w:rPr>
          <w:rFonts w:hint="eastAsia" w:ascii="宋体" w:hAnsi="宋体"/>
        </w:rPr>
        <w:t>”网站发给所有投标人。</w:t>
      </w:r>
    </w:p>
    <w:p w14:paraId="5DB587ED">
      <w:pPr>
        <w:spacing w:line="400" w:lineRule="exact"/>
        <w:ind w:firstLine="420" w:firstLineChars="200"/>
        <w:rPr>
          <w:rFonts w:ascii="宋体" w:hAnsi="Calibri"/>
        </w:rPr>
      </w:pPr>
      <w:r>
        <w:rPr>
          <w:rFonts w:hint="eastAsia" w:ascii="宋体" w:hAnsi="宋体"/>
        </w:rPr>
        <w:t>当招标文件、招标文件的澄清等在同一内容的表述上不一致时，以最后发布的为准。</w:t>
      </w:r>
    </w:p>
    <w:p w14:paraId="429AED57">
      <w:pPr>
        <w:widowControl/>
        <w:spacing w:line="400" w:lineRule="exact"/>
        <w:ind w:firstLine="422" w:firstLineChars="200"/>
        <w:jc w:val="left"/>
        <w:rPr>
          <w:rFonts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七、投标文件的递交:</w:t>
      </w:r>
    </w:p>
    <w:p w14:paraId="6B6907C1">
      <w:pPr>
        <w:pStyle w:val="54"/>
        <w:widowControl/>
        <w:spacing w:line="400" w:lineRule="exact"/>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00000"/>
        </w:rPr>
        <w:t>1、投标截止时间及</w:t>
      </w: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投标文件递交截止时间：</w:t>
      </w: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2025年</w:t>
      </w:r>
      <w:r>
        <w:rPr>
          <w:rFonts w:hint="eastAsia" w:asciiTheme="minorEastAsia" w:hAnsiTheme="minorEastAsia" w:eastAsiaTheme="minorEastAsia" w:cstheme="minorEastAsia"/>
          <w:b/>
          <w:bCs/>
          <w:color w:val="0D0D0D" w:themeColor="text1" w:themeTint="F2"/>
          <w:kern w:val="0"/>
          <w:lang w:val="en-US" w:eastAsia="zh-CN"/>
          <w14:textFill>
            <w14:solidFill>
              <w14:schemeClr w14:val="tx1">
                <w14:lumMod w14:val="95000"/>
                <w14:lumOff w14:val="5000"/>
              </w14:schemeClr>
            </w14:solidFill>
          </w14:textFill>
        </w:rPr>
        <w:t>9</w:t>
      </w: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月</w:t>
      </w:r>
      <w:r>
        <w:rPr>
          <w:rFonts w:hint="eastAsia" w:asciiTheme="minorEastAsia" w:hAnsiTheme="minorEastAsia" w:eastAsiaTheme="minorEastAsia" w:cstheme="minorEastAsia"/>
          <w:b/>
          <w:bCs/>
          <w:color w:val="0D0D0D" w:themeColor="text1" w:themeTint="F2"/>
          <w:kern w:val="0"/>
          <w:u w:val="single"/>
          <w:lang w:val="en-US" w:eastAsia="zh-CN"/>
          <w14:textFill>
            <w14:solidFill>
              <w14:schemeClr w14:val="tx1">
                <w14:lumMod w14:val="95000"/>
                <w14:lumOff w14:val="5000"/>
              </w14:schemeClr>
            </w14:solidFill>
          </w14:textFill>
        </w:rPr>
        <w:t>12</w:t>
      </w: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日</w:t>
      </w:r>
      <w:r>
        <w:rPr>
          <w:rFonts w:hint="eastAsia" w:asciiTheme="minorEastAsia" w:hAnsiTheme="minorEastAsia" w:eastAsiaTheme="minorEastAsia" w:cstheme="minorEastAsia"/>
          <w:b/>
          <w:bCs/>
          <w:color w:val="0D0D0D" w:themeColor="text1" w:themeTint="F2"/>
          <w:kern w:val="0"/>
          <w:u w:val="single"/>
          <w:lang w:val="en-US" w:eastAsia="zh-CN"/>
          <w14:textFill>
            <w14:solidFill>
              <w14:schemeClr w14:val="tx1">
                <w14:lumMod w14:val="95000"/>
                <w14:lumOff w14:val="5000"/>
              </w14:schemeClr>
            </w14:solidFill>
          </w14:textFill>
        </w:rPr>
        <w:t>14</w:t>
      </w: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时</w:t>
      </w:r>
      <w:r>
        <w:rPr>
          <w:rFonts w:hint="eastAsia" w:asciiTheme="minorEastAsia" w:hAnsiTheme="minorEastAsia" w:eastAsiaTheme="minorEastAsia" w:cstheme="minorEastAsia"/>
          <w:b/>
          <w:bCs/>
          <w:color w:val="0D0D0D" w:themeColor="text1" w:themeTint="F2"/>
          <w:kern w:val="0"/>
          <w:u w:val="single"/>
          <w:lang w:val="en-US" w:eastAsia="zh-CN"/>
          <w14:textFill>
            <w14:solidFill>
              <w14:schemeClr w14:val="tx1">
                <w14:lumMod w14:val="95000"/>
                <w14:lumOff w14:val="5000"/>
              </w14:schemeClr>
            </w14:solidFill>
          </w14:textFill>
        </w:rPr>
        <w:t>00</w:t>
      </w: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分</w:t>
      </w: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前，逾期送达的投标文件将被拒绝。</w:t>
      </w:r>
    </w:p>
    <w:p w14:paraId="73D70567">
      <w:pPr>
        <w:pStyle w:val="54"/>
        <w:widowControl/>
        <w:spacing w:line="400" w:lineRule="exact"/>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2、投标文件递交地点：</w:t>
      </w:r>
      <w:r>
        <w:rPr>
          <w:rFonts w:hint="eastAsia" w:asciiTheme="minorEastAsia" w:hAnsiTheme="minorEastAsia" w:eastAsiaTheme="minorEastAsia" w:cstheme="minorEastAsia"/>
          <w:b/>
          <w:color w:val="0D0D0D" w:themeColor="text1" w:themeTint="F2"/>
          <w:kern w:val="0"/>
          <w14:textFill>
            <w14:solidFill>
              <w14:schemeClr w14:val="tx1">
                <w14:lumMod w14:val="95000"/>
                <w14:lumOff w14:val="5000"/>
              </w14:schemeClr>
            </w14:solidFill>
          </w14:textFill>
        </w:rPr>
        <w:t>南</w:t>
      </w: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通市通州区江海圆融汇1号楼</w:t>
      </w:r>
      <w:r>
        <w:rPr>
          <w:rFonts w:hint="eastAsia" w:asciiTheme="minorEastAsia" w:hAnsiTheme="minorEastAsia" w:eastAsiaTheme="minorEastAsia" w:cstheme="minorEastAsia"/>
          <w:b/>
          <w:bCs/>
          <w:color w:val="0D0D0D" w:themeColor="text1" w:themeTint="F2"/>
          <w:kern w:val="0"/>
          <w:lang w:val="en-US" w:eastAsia="zh-CN"/>
          <w14:textFill>
            <w14:solidFill>
              <w14:schemeClr w14:val="tx1">
                <w14:lumMod w14:val="95000"/>
                <w14:lumOff w14:val="5000"/>
              </w14:schemeClr>
            </w14:solidFill>
          </w14:textFill>
        </w:rPr>
        <w:t>16</w:t>
      </w: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楼</w:t>
      </w:r>
      <w:r>
        <w:rPr>
          <w:rFonts w:hint="eastAsia" w:asciiTheme="minorEastAsia" w:hAnsiTheme="minorEastAsia" w:eastAsiaTheme="minorEastAsia" w:cstheme="minorEastAsia"/>
          <w:b/>
          <w:bCs/>
          <w:color w:val="0D0D0D" w:themeColor="text1" w:themeTint="F2"/>
          <w:kern w:val="0"/>
          <w:lang w:val="en-US" w:eastAsia="zh-CN"/>
          <w14:textFill>
            <w14:solidFill>
              <w14:schemeClr w14:val="tx1">
                <w14:lumMod w14:val="95000"/>
                <w14:lumOff w14:val="5000"/>
              </w14:schemeClr>
            </w14:solidFill>
          </w14:textFill>
        </w:rPr>
        <w:t>1610</w:t>
      </w: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开标室</w:t>
      </w: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，投标文件递交的具体要求详见招标文件规定。</w:t>
      </w:r>
    </w:p>
    <w:p w14:paraId="1EF8A0AA">
      <w:pPr>
        <w:pStyle w:val="54"/>
        <w:widowControl/>
        <w:spacing w:line="400" w:lineRule="exact"/>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3、逾期送达的或者未送达指定地点的投标文件，招标人不予受理。</w:t>
      </w:r>
    </w:p>
    <w:p w14:paraId="46BD66FB">
      <w:pPr>
        <w:pStyle w:val="54"/>
        <w:widowControl/>
        <w:spacing w:line="400" w:lineRule="exact"/>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4、网上下载的招标公告、招标文件、招标答疑等招标资料，与纸质资料具有同等法律效力。</w:t>
      </w:r>
    </w:p>
    <w:p w14:paraId="7AC5E02F">
      <w:pPr>
        <w:widowControl/>
        <w:spacing w:line="400" w:lineRule="exact"/>
        <w:ind w:firstLine="422" w:firstLineChars="200"/>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八、本项目的评标办法：</w:t>
      </w:r>
      <w:r>
        <w:rPr>
          <w:rFonts w:hint="eastAsia" w:asciiTheme="minorEastAsia" w:hAnsiTheme="minorEastAsia" w:eastAsiaTheme="minorEastAsia" w:cstheme="minorEastAsia"/>
        </w:rPr>
        <w:t>最低</w:t>
      </w:r>
      <w:r>
        <w:rPr>
          <w:rFonts w:hint="eastAsia" w:asciiTheme="minorEastAsia" w:hAnsiTheme="minorEastAsia" w:eastAsiaTheme="minorEastAsia" w:cstheme="minorEastAsia"/>
          <w:lang w:eastAsia="zh-CN"/>
        </w:rPr>
        <w:t>评</w:t>
      </w:r>
      <w:r>
        <w:rPr>
          <w:rFonts w:hint="eastAsia" w:asciiTheme="minorEastAsia" w:hAnsiTheme="minorEastAsia" w:eastAsiaTheme="minorEastAsia" w:cstheme="minorEastAsia"/>
        </w:rPr>
        <w:t>标价法</w:t>
      </w:r>
      <w:r>
        <w:rPr>
          <w:rFonts w:hint="eastAsia" w:asciiTheme="minorEastAsia" w:hAnsiTheme="minorEastAsia" w:eastAsiaTheme="minorEastAsia" w:cstheme="minorEastAsia"/>
          <w:bCs/>
          <w:color w:val="0D0D0D" w:themeColor="text1" w:themeTint="F2"/>
          <w:kern w:val="0"/>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具体详见招标文件</w:t>
      </w:r>
      <w:r>
        <w:rPr>
          <w:rFonts w:hint="eastAsia" w:asciiTheme="minorEastAsia" w:hAnsiTheme="minorEastAsia" w:eastAsiaTheme="minorEastAsia" w:cstheme="minorEastAsia"/>
          <w:bCs/>
          <w:color w:val="0D0D0D" w:themeColor="text1" w:themeTint="F2"/>
          <w:kern w:val="0"/>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w:t>
      </w:r>
    </w:p>
    <w:p w14:paraId="635B3E67">
      <w:pPr>
        <w:widowControl/>
        <w:spacing w:line="400" w:lineRule="exact"/>
        <w:ind w:firstLine="422" w:firstLineChars="200"/>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九、本项目投标保证金：</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人民币</w:t>
      </w:r>
      <w:r>
        <w:rPr>
          <w:rFonts w:hint="eastAsia" w:asciiTheme="minorEastAsia" w:hAnsiTheme="minorEastAsia" w:eastAsiaTheme="minorEastAsia" w:cstheme="minorEastAsia"/>
          <w:color w:val="0D0D0D" w:themeColor="text1" w:themeTint="F2"/>
          <w:kern w:val="0"/>
          <w:highlight w:val="none"/>
          <w:u w:val="single"/>
          <w:lang w:val="en-US" w:eastAsia="zh-CN"/>
          <w14:textFill>
            <w14:solidFill>
              <w14:schemeClr w14:val="tx1">
                <w14:lumMod w14:val="95000"/>
                <w14:lumOff w14:val="5000"/>
              </w14:schemeClr>
            </w14:solidFill>
          </w14:textFill>
        </w:rPr>
        <w:t xml:space="preserve">   6000  </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元（现金）</w:t>
      </w: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w:t>
      </w:r>
    </w:p>
    <w:p w14:paraId="16DD8A0A">
      <w:pPr>
        <w:widowControl/>
        <w:spacing w:line="400" w:lineRule="exact"/>
        <w:ind w:firstLine="422" w:firstLineChars="200"/>
        <w:jc w:val="left"/>
        <w:rPr>
          <w:rFonts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十、开标时间为：</w:t>
      </w:r>
      <w:r>
        <w:rPr>
          <w:rFonts w:hint="eastAsia" w:asciiTheme="minorEastAsia" w:hAnsiTheme="minorEastAsia" w:eastAsiaTheme="minorEastAsia" w:cstheme="minorEastAsia"/>
          <w:color w:val="000000"/>
        </w:rPr>
        <w:t>2025年</w:t>
      </w:r>
      <w:r>
        <w:rPr>
          <w:rFonts w:hint="eastAsia" w:asciiTheme="minorEastAsia" w:hAnsiTheme="minorEastAsia" w:eastAsiaTheme="minorEastAsia" w:cstheme="minorEastAsia"/>
          <w:color w:val="000000"/>
          <w:lang w:val="en-US" w:eastAsia="zh-CN"/>
        </w:rPr>
        <w:t>9</w:t>
      </w:r>
      <w:r>
        <w:rPr>
          <w:rFonts w:hint="eastAsia" w:asciiTheme="minorEastAsia" w:hAnsiTheme="minorEastAsia" w:eastAsiaTheme="minorEastAsia" w:cstheme="minorEastAsia"/>
          <w:color w:val="000000"/>
        </w:rPr>
        <w:t>月</w:t>
      </w:r>
      <w:r>
        <w:rPr>
          <w:rFonts w:hint="eastAsia" w:asciiTheme="minorEastAsia" w:hAnsiTheme="minorEastAsia" w:eastAsiaTheme="minorEastAsia" w:cstheme="minorEastAsia"/>
          <w:color w:val="000000"/>
          <w:u w:val="single"/>
          <w:lang w:val="en-US" w:eastAsia="zh-CN"/>
        </w:rPr>
        <w:t>12</w:t>
      </w:r>
      <w:r>
        <w:rPr>
          <w:rFonts w:hint="eastAsia" w:asciiTheme="minorEastAsia" w:hAnsiTheme="minorEastAsia" w:eastAsiaTheme="minorEastAsia" w:cstheme="minorEastAsia"/>
          <w:color w:val="000000"/>
        </w:rPr>
        <w:t>日</w:t>
      </w:r>
      <w:r>
        <w:rPr>
          <w:rFonts w:hint="eastAsia" w:asciiTheme="minorEastAsia" w:hAnsiTheme="minorEastAsia" w:eastAsiaTheme="minorEastAsia" w:cstheme="minorEastAsia"/>
          <w:color w:val="000000"/>
          <w:u w:val="single"/>
          <w:lang w:val="en-US" w:eastAsia="zh-CN"/>
        </w:rPr>
        <w:t>14</w:t>
      </w:r>
      <w:r>
        <w:rPr>
          <w:rFonts w:hint="eastAsia" w:asciiTheme="minorEastAsia" w:hAnsiTheme="minorEastAsia" w:eastAsiaTheme="minorEastAsia" w:cstheme="minorEastAsia"/>
          <w:color w:val="000000"/>
        </w:rPr>
        <w:t>时</w:t>
      </w:r>
      <w:r>
        <w:rPr>
          <w:rFonts w:hint="eastAsia" w:asciiTheme="minorEastAsia" w:hAnsiTheme="minorEastAsia" w:eastAsiaTheme="minorEastAsia" w:cstheme="minorEastAsia"/>
          <w:color w:val="000000"/>
          <w:u w:val="single"/>
          <w:lang w:val="en-US" w:eastAsia="zh-CN"/>
        </w:rPr>
        <w:t>00</w:t>
      </w:r>
      <w:r>
        <w:rPr>
          <w:rFonts w:hint="eastAsia" w:asciiTheme="minorEastAsia" w:hAnsiTheme="minorEastAsia" w:eastAsiaTheme="minorEastAsia" w:cstheme="minorEastAsia"/>
          <w:color w:val="000000"/>
        </w:rPr>
        <w:t>分</w:t>
      </w:r>
      <w:r>
        <w:rPr>
          <w:rFonts w:hint="eastAsia" w:asciiTheme="minorEastAsia" w:hAnsiTheme="minorEastAsia" w:eastAsiaTheme="minorEastAsia" w:cstheme="minorEastAsia"/>
          <w:bCs/>
          <w:color w:val="0D0D0D" w:themeColor="text1" w:themeTint="F2"/>
          <w:kern w:val="0"/>
          <w14:textFill>
            <w14:solidFill>
              <w14:schemeClr w14:val="tx1">
                <w14:lumMod w14:val="95000"/>
                <w14:lumOff w14:val="5000"/>
              </w14:schemeClr>
            </w14:solidFill>
          </w14:textFill>
        </w:rPr>
        <w:t>。</w:t>
      </w:r>
    </w:p>
    <w:p w14:paraId="14F21F73">
      <w:pPr>
        <w:widowControl/>
        <w:spacing w:line="400" w:lineRule="exact"/>
        <w:ind w:firstLine="422" w:firstLineChars="200"/>
        <w:jc w:val="left"/>
        <w:rPr>
          <w:rFonts w:asciiTheme="minorEastAsia" w:hAnsiTheme="minorEastAsia" w:eastAsiaTheme="minorEastAsia" w:cstheme="minorEastAsia"/>
          <w:bCs/>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十一、本公告发布时间：</w:t>
      </w:r>
      <w:r>
        <w:rPr>
          <w:rFonts w:hint="eastAsia" w:asciiTheme="minorEastAsia" w:hAnsiTheme="minorEastAsia" w:eastAsiaTheme="minorEastAsia" w:cstheme="minorEastAsia"/>
          <w:bCs/>
          <w:color w:val="0D0D0D" w:themeColor="text1" w:themeTint="F2"/>
          <w:kern w:val="0"/>
          <w:lang w:eastAsia="zh-CN"/>
          <w14:textFill>
            <w14:solidFill>
              <w14:schemeClr w14:val="tx1">
                <w14:lumMod w14:val="95000"/>
                <w14:lumOff w14:val="5000"/>
              </w14:schemeClr>
            </w14:solidFill>
          </w14:textFill>
        </w:rPr>
        <w:t>自公告发布之日起不少于</w:t>
      </w:r>
      <w:r>
        <w:rPr>
          <w:rFonts w:hint="eastAsia" w:asciiTheme="minorEastAsia" w:hAnsiTheme="minorEastAsia" w:eastAsiaTheme="minorEastAsia" w:cstheme="minorEastAsia"/>
          <w:bCs/>
          <w:color w:val="0D0D0D" w:themeColor="text1" w:themeTint="F2"/>
          <w:kern w:val="0"/>
          <w:lang w:val="en-US" w:eastAsia="zh-CN"/>
          <w14:textFill>
            <w14:solidFill>
              <w14:schemeClr w14:val="tx1">
                <w14:lumMod w14:val="95000"/>
                <w14:lumOff w14:val="5000"/>
              </w14:schemeClr>
            </w14:solidFill>
          </w14:textFill>
        </w:rPr>
        <w:t>10日</w:t>
      </w:r>
      <w:r>
        <w:rPr>
          <w:rFonts w:hint="eastAsia" w:asciiTheme="minorEastAsia" w:hAnsiTheme="minorEastAsia" w:eastAsiaTheme="minorEastAsia" w:cstheme="minorEastAsia"/>
          <w:bCs/>
          <w:color w:val="0D0D0D" w:themeColor="text1" w:themeTint="F2"/>
          <w:kern w:val="0"/>
          <w14:textFill>
            <w14:solidFill>
              <w14:schemeClr w14:val="tx1">
                <w14:lumMod w14:val="95000"/>
                <w14:lumOff w14:val="5000"/>
              </w14:schemeClr>
            </w14:solidFill>
          </w14:textFill>
        </w:rPr>
        <w:t>。</w:t>
      </w:r>
    </w:p>
    <w:p w14:paraId="3D8C4F65">
      <w:pPr>
        <w:widowControl/>
        <w:spacing w:line="400" w:lineRule="exact"/>
        <w:ind w:firstLine="422" w:firstLineChars="200"/>
        <w:jc w:val="left"/>
        <w:rPr>
          <w:rFonts w:asciiTheme="minorEastAsia" w:hAnsiTheme="minorEastAsia" w:eastAsiaTheme="minorEastAsia" w:cstheme="minorEastAsia"/>
          <w:bCs/>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十二、发布公告的媒介：</w:t>
      </w:r>
      <w:r>
        <w:rPr>
          <w:rFonts w:hint="eastAsia" w:asciiTheme="minorEastAsia" w:hAnsiTheme="minorEastAsia" w:eastAsiaTheme="minorEastAsia" w:cstheme="minorEastAsia"/>
          <w:bCs/>
          <w:color w:val="0D0D0D" w:themeColor="text1" w:themeTint="F2"/>
          <w:kern w:val="0"/>
          <w14:textFill>
            <w14:solidFill>
              <w14:schemeClr w14:val="tx1">
                <w14:lumMod w14:val="95000"/>
                <w14:lumOff w14:val="5000"/>
              </w14:schemeClr>
            </w14:solidFill>
          </w14:textFill>
        </w:rPr>
        <w:t>南通市通州区</w:t>
      </w:r>
      <w:r>
        <w:rPr>
          <w:rFonts w:hint="eastAsia" w:asciiTheme="minorEastAsia" w:hAnsiTheme="minorEastAsia" w:eastAsiaTheme="minorEastAsia" w:cstheme="minorEastAsia"/>
          <w:bCs/>
          <w:color w:val="0D0D0D" w:themeColor="text1" w:themeTint="F2"/>
          <w:kern w:val="0"/>
          <w:lang w:eastAsia="zh-CN"/>
          <w14:textFill>
            <w14:solidFill>
              <w14:schemeClr w14:val="tx1">
                <w14:lumMod w14:val="95000"/>
                <w14:lumOff w14:val="5000"/>
              </w14:schemeClr>
            </w14:solidFill>
          </w14:textFill>
        </w:rPr>
        <w:t>人民政府（</w:t>
      </w:r>
      <w:r>
        <w:rPr>
          <w:rFonts w:hint="eastAsia" w:asciiTheme="minorEastAsia" w:hAnsiTheme="minorEastAsia" w:eastAsiaTheme="minorEastAsia" w:cstheme="minorEastAsia"/>
          <w:bCs/>
          <w:color w:val="0D0D0D" w:themeColor="text1" w:themeTint="F2"/>
          <w:kern w:val="0"/>
          <w14:textFill>
            <w14:solidFill>
              <w14:schemeClr w14:val="tx1">
                <w14:lumMod w14:val="95000"/>
                <w14:lumOff w14:val="5000"/>
              </w14:schemeClr>
            </w14:solidFill>
          </w14:textFill>
        </w:rPr>
        <w:t>http://www.tongzhou.gov.cn/</w:t>
      </w:r>
      <w:r>
        <w:rPr>
          <w:rFonts w:hint="eastAsia" w:asciiTheme="minorEastAsia" w:hAnsiTheme="minorEastAsia" w:eastAsiaTheme="minorEastAsia" w:cstheme="minorEastAsia"/>
          <w:bCs/>
          <w:color w:val="0D0D0D" w:themeColor="text1" w:themeTint="F2"/>
          <w:kern w:val="0"/>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bCs/>
          <w:color w:val="0D0D0D" w:themeColor="text1" w:themeTint="F2"/>
          <w:kern w:val="0"/>
          <w14:textFill>
            <w14:solidFill>
              <w14:schemeClr w14:val="tx1">
                <w14:lumMod w14:val="95000"/>
                <w14:lumOff w14:val="5000"/>
              </w14:schemeClr>
            </w14:solidFill>
          </w14:textFill>
        </w:rPr>
        <w:t>。</w:t>
      </w:r>
    </w:p>
    <w:p w14:paraId="62720E42">
      <w:pPr>
        <w:widowControl/>
        <w:spacing w:line="400" w:lineRule="exact"/>
        <w:ind w:firstLine="422" w:firstLineChars="200"/>
        <w:jc w:val="left"/>
        <w:rPr>
          <w:rFonts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十三、联系方式</w:t>
      </w:r>
    </w:p>
    <w:p w14:paraId="38173855">
      <w:pPr>
        <w:pStyle w:val="54"/>
        <w:widowControl/>
        <w:spacing w:line="400" w:lineRule="exact"/>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招标人：南通市通州区</w:t>
      </w: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水务</w:t>
      </w:r>
      <w:r>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有限公司</w:t>
      </w:r>
    </w:p>
    <w:p w14:paraId="2DF3289F">
      <w:pPr>
        <w:pStyle w:val="54"/>
        <w:widowControl/>
        <w:spacing w:line="400" w:lineRule="exact"/>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地址：</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南通市通州区金沙镇金通路18号</w:t>
      </w:r>
    </w:p>
    <w:p w14:paraId="3D12842A">
      <w:pPr>
        <w:pStyle w:val="54"/>
        <w:widowControl/>
        <w:spacing w:line="400" w:lineRule="exact"/>
        <w:jc w:val="left"/>
        <w:rPr>
          <w:rFonts w:hint="default" w:asciiTheme="minorEastAsia" w:hAnsiTheme="minorEastAsia" w:eastAsiaTheme="minorEastAsia" w:cstheme="minorEastAsia"/>
          <w:color w:val="0D0D0D" w:themeColor="text1" w:themeTint="F2"/>
          <w:kern w:val="0"/>
          <w:highlight w:val="none"/>
          <w:lang w:val="en-US" w:eastAsia="zh-CN"/>
          <w14:textFill>
            <w14:solidFill>
              <w14:schemeClr w14:val="tx1">
                <w14:lumMod w14:val="95000"/>
                <w14:lumOff w14:val="5000"/>
              </w14:schemeClr>
            </w14:solidFill>
          </w14:textFill>
        </w:rPr>
      </w:pPr>
      <w:r>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联系人：</w:t>
      </w:r>
      <w:r>
        <w:rPr>
          <w:rFonts w:hint="eastAsia" w:asciiTheme="minorEastAsia" w:hAnsiTheme="minorEastAsia" w:eastAsiaTheme="minorEastAsia" w:cstheme="minorEastAsia"/>
          <w:color w:val="0D0D0D" w:themeColor="text1" w:themeTint="F2"/>
          <w:kern w:val="0"/>
          <w:highlight w:val="none"/>
          <w:lang w:val="en-US" w:eastAsia="zh-CN"/>
          <w14:textFill>
            <w14:solidFill>
              <w14:schemeClr w14:val="tx1">
                <w14:lumMod w14:val="95000"/>
                <w14:lumOff w14:val="5000"/>
              </w14:schemeClr>
            </w14:solidFill>
          </w14:textFill>
        </w:rPr>
        <w:t>曹先生</w:t>
      </w:r>
    </w:p>
    <w:p w14:paraId="5A7C8776">
      <w:pPr>
        <w:pStyle w:val="54"/>
        <w:widowControl/>
        <w:spacing w:line="400" w:lineRule="exact"/>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联系电话：</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0513-86106569</w:t>
      </w:r>
    </w:p>
    <w:p w14:paraId="42FE293E">
      <w:pPr>
        <w:pStyle w:val="54"/>
        <w:widowControl/>
        <w:spacing w:line="400" w:lineRule="exact"/>
        <w:ind w:left="0" w:leftChars="0" w:firstLine="420" w:firstLineChars="200"/>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招标代理</w:t>
      </w:r>
      <w:r>
        <w:rPr>
          <w:rFonts w:hint="eastAsia" w:asciiTheme="minorEastAsia" w:hAnsiTheme="minorEastAsia" w:eastAsiaTheme="minorEastAsia" w:cstheme="minorEastAsia"/>
          <w:color w:val="0D0D0D" w:themeColor="text1" w:themeTint="F2"/>
          <w:kern w:val="0"/>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南通市通州天元建设监理咨询有限公司</w:t>
      </w:r>
    </w:p>
    <w:p w14:paraId="0EA37679">
      <w:pPr>
        <w:pStyle w:val="54"/>
        <w:widowControl/>
        <w:spacing w:line="400" w:lineRule="exact"/>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地址：通州区润和大厦8楼</w:t>
      </w:r>
    </w:p>
    <w:p w14:paraId="79302152">
      <w:pPr>
        <w:pStyle w:val="54"/>
        <w:widowControl/>
        <w:spacing w:line="400" w:lineRule="exact"/>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联系人：俞先生</w:t>
      </w:r>
    </w:p>
    <w:p w14:paraId="4BFFC705">
      <w:pPr>
        <w:pStyle w:val="54"/>
        <w:widowControl/>
        <w:spacing w:line="400" w:lineRule="exact"/>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联系电话：0513-86516066</w:t>
      </w:r>
    </w:p>
    <w:p w14:paraId="4D64E8D8">
      <w:pPr>
        <w:widowControl/>
        <w:spacing w:line="400" w:lineRule="exact"/>
        <w:ind w:firstLine="5985" w:firstLineChars="2850"/>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2025年</w:t>
      </w:r>
      <w:r>
        <w:rPr>
          <w:rFonts w:hint="eastAsia" w:asciiTheme="minorEastAsia" w:hAnsiTheme="minorEastAsia" w:eastAsiaTheme="minorEastAsia" w:cstheme="minorEastAsia"/>
          <w:color w:val="0D0D0D" w:themeColor="text1" w:themeTint="F2"/>
          <w:kern w:val="0"/>
          <w:lang w:val="en-US" w:eastAsia="zh-CN"/>
          <w14:textFill>
            <w14:solidFill>
              <w14:schemeClr w14:val="tx1">
                <w14:lumMod w14:val="95000"/>
                <w14:lumOff w14:val="5000"/>
              </w14:schemeClr>
            </w14:solidFill>
          </w14:textFill>
        </w:rPr>
        <w:t>8</w:t>
      </w: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月</w:t>
      </w:r>
      <w:r>
        <w:rPr>
          <w:rFonts w:hint="eastAsia" w:asciiTheme="minorEastAsia" w:hAnsiTheme="minorEastAsia" w:eastAsiaTheme="minorEastAsia" w:cstheme="minorEastAsia"/>
          <w:color w:val="0D0D0D" w:themeColor="text1" w:themeTint="F2"/>
          <w:kern w:val="0"/>
          <w:u w:val="single"/>
          <w:lang w:val="en-US" w:eastAsia="zh-CN"/>
          <w14:textFill>
            <w14:solidFill>
              <w14:schemeClr w14:val="tx1">
                <w14:lumMod w14:val="95000"/>
                <w14:lumOff w14:val="5000"/>
              </w14:schemeClr>
            </w14:solidFill>
          </w14:textFill>
        </w:rPr>
        <w:t>28</w:t>
      </w: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日</w:t>
      </w:r>
      <w:bookmarkEnd w:id="0"/>
      <w:bookmarkEnd w:id="1"/>
      <w:bookmarkEnd w:id="2"/>
      <w:bookmarkEnd w:id="3"/>
      <w:bookmarkEnd w:id="4"/>
      <w:bookmarkEnd w:id="5"/>
    </w:p>
    <w:bookmarkEnd w:id="6"/>
    <w:p w14:paraId="3EC91B60">
      <w:pPr>
        <w:widowControl/>
        <w:spacing w:line="310" w:lineRule="atLeast"/>
        <w:jc w:val="center"/>
        <w:rPr>
          <w:rFonts w:asciiTheme="minorEastAsia" w:hAnsiTheme="minorEastAsia" w:eastAsiaTheme="minorEastAsia" w:cstheme="minorEastAsia"/>
          <w:b/>
          <w:bCs/>
          <w:color w:val="0D0D0D" w:themeColor="text1" w:themeTint="F2"/>
          <w:sz w:val="28"/>
          <w:szCs w:val="28"/>
          <w14:textFill>
            <w14:solidFill>
              <w14:schemeClr w14:val="tx1">
                <w14:lumMod w14:val="95000"/>
                <w14:lumOff w14:val="5000"/>
              </w14:schemeClr>
            </w14:solidFill>
          </w14:textFill>
        </w:rPr>
      </w:pPr>
    </w:p>
    <w:p w14:paraId="7FAFF200">
      <w:pPr>
        <w:widowControl/>
        <w:spacing w:line="310" w:lineRule="atLeast"/>
        <w:jc w:val="center"/>
        <w:rPr>
          <w:rFonts w:asciiTheme="minorEastAsia" w:hAnsiTheme="minorEastAsia" w:eastAsiaTheme="minorEastAsia" w:cstheme="minorEastAsia"/>
          <w:b/>
          <w:bCs/>
          <w:color w:val="0D0D0D" w:themeColor="text1" w:themeTint="F2"/>
          <w:sz w:val="28"/>
          <w:szCs w:val="28"/>
          <w14:textFill>
            <w14:solidFill>
              <w14:schemeClr w14:val="tx1">
                <w14:lumMod w14:val="95000"/>
                <w14:lumOff w14:val="5000"/>
              </w14:schemeClr>
            </w14:solidFill>
          </w14:textFill>
        </w:rPr>
      </w:pPr>
    </w:p>
    <w:p w14:paraId="2715C43D">
      <w:pPr>
        <w:widowControl/>
        <w:spacing w:line="310" w:lineRule="atLeast"/>
        <w:jc w:val="center"/>
        <w:rPr>
          <w:rFonts w:asciiTheme="minorEastAsia" w:hAnsiTheme="minorEastAsia" w:eastAsiaTheme="minorEastAsia" w:cstheme="minorEastAsia"/>
          <w:b/>
          <w:bCs/>
          <w:color w:val="0D0D0D" w:themeColor="text1" w:themeTint="F2"/>
          <w:sz w:val="28"/>
          <w:szCs w:val="28"/>
          <w14:textFill>
            <w14:solidFill>
              <w14:schemeClr w14:val="tx1">
                <w14:lumMod w14:val="95000"/>
                <w14:lumOff w14:val="5000"/>
              </w14:schemeClr>
            </w14:solidFill>
          </w14:textFill>
        </w:rPr>
      </w:pPr>
    </w:p>
    <w:p w14:paraId="6640565D">
      <w:pPr>
        <w:widowControl/>
        <w:spacing w:line="310" w:lineRule="atLeast"/>
        <w:jc w:val="center"/>
        <w:rPr>
          <w:rFonts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第二章　投标须知及投标须知前附表</w:t>
      </w:r>
    </w:p>
    <w:p w14:paraId="5A95132F">
      <w:pPr>
        <w:spacing w:line="360" w:lineRule="auto"/>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前附表</w:t>
      </w:r>
    </w:p>
    <w:tbl>
      <w:tblPr>
        <w:tblStyle w:val="23"/>
        <w:tblW w:w="952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15"/>
        <w:gridCol w:w="6905"/>
      </w:tblGrid>
      <w:tr w14:paraId="314F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6180538">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序号</w:t>
            </w:r>
          </w:p>
        </w:tc>
        <w:tc>
          <w:tcPr>
            <w:tcW w:w="1915" w:type="dxa"/>
          </w:tcPr>
          <w:p w14:paraId="780A5320">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内容</w:t>
            </w:r>
          </w:p>
        </w:tc>
        <w:tc>
          <w:tcPr>
            <w:tcW w:w="6905" w:type="dxa"/>
          </w:tcPr>
          <w:p w14:paraId="31DAD577">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说明与要求</w:t>
            </w:r>
          </w:p>
        </w:tc>
      </w:tr>
      <w:tr w14:paraId="6AEA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970DC65">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w:t>
            </w:r>
          </w:p>
        </w:tc>
        <w:tc>
          <w:tcPr>
            <w:tcW w:w="1915" w:type="dxa"/>
          </w:tcPr>
          <w:p w14:paraId="0DFC82C4">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项目名称</w:t>
            </w:r>
          </w:p>
        </w:tc>
        <w:tc>
          <w:tcPr>
            <w:tcW w:w="6905" w:type="dxa"/>
            <w:vAlign w:val="center"/>
          </w:tcPr>
          <w:p w14:paraId="50737540">
            <w:pPr>
              <w:spacing w:line="400" w:lineRule="exact"/>
              <w:jc w:val="left"/>
              <w:rPr>
                <w:rFonts w:asciiTheme="minorEastAsia" w:hAnsiTheme="minorEastAsia" w:eastAsiaTheme="minorEastAsia" w:cstheme="minorEastAsia"/>
                <w:bCs/>
                <w:color w:val="000000"/>
              </w:rPr>
            </w:pPr>
            <w:r>
              <w:rPr>
                <w:rFonts w:hint="eastAsia" w:asciiTheme="minorEastAsia" w:hAnsiTheme="minorEastAsia" w:eastAsiaTheme="minorEastAsia" w:cstheme="minorEastAsia"/>
                <w:color w:val="0D0D0D" w:themeColor="text1" w:themeTint="F2"/>
                <w:kern w:val="0"/>
                <w:u w:val="none"/>
                <w:lang w:eastAsia="zh-CN"/>
                <w14:textFill>
                  <w14:solidFill>
                    <w14:schemeClr w14:val="tx1">
                      <w14:lumMod w14:val="95000"/>
                      <w14:lumOff w14:val="5000"/>
                    </w14:schemeClr>
                  </w14:solidFill>
                </w14:textFill>
              </w:rPr>
              <w:t>通州区应急水源地供水设施改扩建和技术改造</w:t>
            </w:r>
            <w:r>
              <w:rPr>
                <w:rFonts w:hint="eastAsia" w:asciiTheme="minorEastAsia" w:hAnsiTheme="minorEastAsia" w:eastAsiaTheme="minorEastAsia" w:cstheme="minorEastAsia"/>
                <w:color w:val="0D0D0D" w:themeColor="text1" w:themeTint="F2"/>
                <w:u w:val="none"/>
                <w14:textFill>
                  <w14:solidFill>
                    <w14:schemeClr w14:val="tx1">
                      <w14:lumMod w14:val="95000"/>
                      <w14:lumOff w14:val="5000"/>
                    </w14:schemeClr>
                  </w14:solidFill>
                </w14:textFill>
              </w:rPr>
              <w:t>采购及安装项目</w:t>
            </w:r>
          </w:p>
        </w:tc>
      </w:tr>
      <w:tr w14:paraId="1ABA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53917AD">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w:t>
            </w:r>
          </w:p>
        </w:tc>
        <w:tc>
          <w:tcPr>
            <w:tcW w:w="1915" w:type="dxa"/>
          </w:tcPr>
          <w:p w14:paraId="04B0F60C">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项目地点</w:t>
            </w:r>
          </w:p>
        </w:tc>
        <w:tc>
          <w:tcPr>
            <w:tcW w:w="6905" w:type="dxa"/>
          </w:tcPr>
          <w:p w14:paraId="04250915">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南通市通州区</w:t>
            </w:r>
          </w:p>
        </w:tc>
      </w:tr>
      <w:tr w14:paraId="4B3A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09" w:type="dxa"/>
            <w:vAlign w:val="center"/>
          </w:tcPr>
          <w:p w14:paraId="26B5FD32">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3</w:t>
            </w:r>
          </w:p>
        </w:tc>
        <w:tc>
          <w:tcPr>
            <w:tcW w:w="1915" w:type="dxa"/>
            <w:vAlign w:val="center"/>
          </w:tcPr>
          <w:p w14:paraId="14AE92C6">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项目需求</w:t>
            </w:r>
          </w:p>
        </w:tc>
        <w:tc>
          <w:tcPr>
            <w:tcW w:w="6905" w:type="dxa"/>
            <w:vAlign w:val="center"/>
          </w:tcPr>
          <w:p w14:paraId="2DD136AB">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lang w:val="en-US" w:eastAsia="zh-CN"/>
                <w14:textFill>
                  <w14:solidFill>
                    <w14:schemeClr w14:val="tx1">
                      <w14:lumMod w14:val="95000"/>
                      <w14:lumOff w14:val="5000"/>
                    </w14:schemeClr>
                  </w14:solidFill>
                </w14:textFill>
              </w:rPr>
              <w:t>详见招标文件第六章</w:t>
            </w:r>
          </w:p>
        </w:tc>
      </w:tr>
      <w:tr w14:paraId="519C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9" w:type="dxa"/>
            <w:vAlign w:val="center"/>
          </w:tcPr>
          <w:p w14:paraId="2136BDCF">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4</w:t>
            </w:r>
          </w:p>
        </w:tc>
        <w:tc>
          <w:tcPr>
            <w:tcW w:w="1915" w:type="dxa"/>
            <w:vAlign w:val="center"/>
          </w:tcPr>
          <w:p w14:paraId="4911368C">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招标内容</w:t>
            </w:r>
          </w:p>
        </w:tc>
        <w:tc>
          <w:tcPr>
            <w:tcW w:w="6905" w:type="dxa"/>
          </w:tcPr>
          <w:p w14:paraId="48A42007">
            <w:pPr>
              <w:spacing w:line="40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color w:val="0D0D0D" w:themeColor="text1" w:themeTint="F2"/>
                <w:kern w:val="0"/>
                <w:lang w:val="en-US" w:eastAsia="zh-CN"/>
                <w14:textFill>
                  <w14:solidFill>
                    <w14:schemeClr w14:val="tx1">
                      <w14:lumMod w14:val="95000"/>
                      <w14:lumOff w14:val="5000"/>
                    </w14:schemeClr>
                  </w14:solidFill>
                </w14:textFill>
              </w:rPr>
              <w:t>采购安装一批伸缩节、止回阀、跨河钢桁架、围栏及防盗设施等；具体内容详见招标文件“项目需求”</w:t>
            </w:r>
          </w:p>
        </w:tc>
      </w:tr>
      <w:tr w14:paraId="1864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45D9645">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5</w:t>
            </w:r>
          </w:p>
        </w:tc>
        <w:tc>
          <w:tcPr>
            <w:tcW w:w="1915" w:type="dxa"/>
            <w:vAlign w:val="center"/>
          </w:tcPr>
          <w:p w14:paraId="0F2A6B95">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投标报价方式</w:t>
            </w:r>
          </w:p>
        </w:tc>
        <w:tc>
          <w:tcPr>
            <w:tcW w:w="6905" w:type="dxa"/>
            <w:vAlign w:val="center"/>
          </w:tcPr>
          <w:p w14:paraId="6DE648D5">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固定</w:t>
            </w:r>
            <w:r>
              <w:rPr>
                <w:rFonts w:hint="eastAsia" w:asciiTheme="minorEastAsia" w:hAnsiTheme="minorEastAsia" w:eastAsiaTheme="minorEastAsia" w:cstheme="minorEastAsia"/>
                <w:color w:val="0D0D0D" w:themeColor="text1" w:themeTint="F2"/>
                <w:highlight w:val="none"/>
                <w:lang w:eastAsia="zh-CN"/>
                <w14:textFill>
                  <w14:solidFill>
                    <w14:schemeClr w14:val="tx1">
                      <w14:lumMod w14:val="95000"/>
                      <w14:lumOff w14:val="5000"/>
                    </w14:schemeClr>
                  </w14:solidFill>
                </w14:textFill>
              </w:rPr>
              <w:t>总</w:t>
            </w: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价报价</w:t>
            </w:r>
          </w:p>
        </w:tc>
      </w:tr>
      <w:tr w14:paraId="3A87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4DC1DFF">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6</w:t>
            </w:r>
          </w:p>
        </w:tc>
        <w:tc>
          <w:tcPr>
            <w:tcW w:w="1915" w:type="dxa"/>
            <w:vAlign w:val="center"/>
          </w:tcPr>
          <w:p w14:paraId="529768A8">
            <w:pPr>
              <w:spacing w:line="400" w:lineRule="exact"/>
              <w:jc w:val="center"/>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资金来源</w:t>
            </w:r>
          </w:p>
        </w:tc>
        <w:tc>
          <w:tcPr>
            <w:tcW w:w="6905" w:type="dxa"/>
          </w:tcPr>
          <w:p w14:paraId="4551BEDB">
            <w:pPr>
              <w:spacing w:line="400" w:lineRule="exac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财政拨款</w:t>
            </w:r>
          </w:p>
        </w:tc>
      </w:tr>
      <w:tr w14:paraId="3A32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EE9C70E">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7</w:t>
            </w:r>
          </w:p>
        </w:tc>
        <w:tc>
          <w:tcPr>
            <w:tcW w:w="1915" w:type="dxa"/>
            <w:vAlign w:val="center"/>
          </w:tcPr>
          <w:p w14:paraId="25CB4C1F">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投标有效期</w:t>
            </w:r>
          </w:p>
        </w:tc>
        <w:tc>
          <w:tcPr>
            <w:tcW w:w="6905" w:type="dxa"/>
          </w:tcPr>
          <w:p w14:paraId="01446040">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60日历天</w:t>
            </w:r>
          </w:p>
        </w:tc>
      </w:tr>
      <w:tr w14:paraId="467C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09" w:type="dxa"/>
            <w:vAlign w:val="center"/>
          </w:tcPr>
          <w:p w14:paraId="1A1E1F66">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8</w:t>
            </w:r>
          </w:p>
        </w:tc>
        <w:tc>
          <w:tcPr>
            <w:tcW w:w="1915" w:type="dxa"/>
            <w:vAlign w:val="center"/>
          </w:tcPr>
          <w:p w14:paraId="38AE06EE">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投标保证金的递交</w:t>
            </w:r>
          </w:p>
        </w:tc>
        <w:tc>
          <w:tcPr>
            <w:tcW w:w="6905" w:type="dxa"/>
          </w:tcPr>
          <w:p w14:paraId="22C34B79">
            <w:pPr>
              <w:adjustRightInd w:val="0"/>
              <w:snapToGrid w:val="0"/>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1.投标人在递交投标文件的同时，应按规定的金额、形式递交投标保证金，并作为其投标文件的组成部分。</w:t>
            </w:r>
          </w:p>
          <w:p w14:paraId="6C21B73D">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2.本项目投标保证金数额</w:t>
            </w: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为</w:t>
            </w:r>
            <w:r>
              <w:rPr>
                <w:rFonts w:hint="eastAsia" w:asciiTheme="minorEastAsia" w:hAnsiTheme="minorEastAsia" w:eastAsiaTheme="minorEastAsia" w:cstheme="minorEastAsia"/>
                <w:color w:val="0D0D0D" w:themeColor="text1" w:themeTint="F2"/>
                <w:highlight w:val="none"/>
                <w:u w:val="single"/>
                <w:lang w:val="en-US" w:eastAsia="zh-CN"/>
                <w14:textFill>
                  <w14:solidFill>
                    <w14:schemeClr w14:val="tx1">
                      <w14:lumMod w14:val="95000"/>
                      <w14:lumOff w14:val="5000"/>
                    </w14:schemeClr>
                  </w14:solidFill>
                </w14:textFill>
              </w:rPr>
              <w:t xml:space="preserve">   6000  </w:t>
            </w: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元整</w:t>
            </w:r>
            <w:r>
              <w:rPr>
                <w:rFonts w:hint="eastAsia" w:asciiTheme="minorEastAsia" w:hAnsiTheme="minorEastAsia" w:eastAsiaTheme="minorEastAsia" w:cstheme="minorEastAsia"/>
                <w:b/>
                <w:color w:val="000000"/>
                <w:highlight w:val="none"/>
              </w:rPr>
              <w:t>（现金</w:t>
            </w:r>
            <w:r>
              <w:rPr>
                <w:rFonts w:hint="eastAsia" w:asciiTheme="minorEastAsia" w:hAnsiTheme="minorEastAsia" w:eastAsiaTheme="minorEastAsia" w:cstheme="minorEastAsia"/>
                <w:b/>
                <w:color w:val="0D0D0D" w:themeColor="text1" w:themeTint="F2"/>
                <w:highlight w:val="none"/>
                <w14:textFill>
                  <w14:solidFill>
                    <w14:schemeClr w14:val="tx1">
                      <w14:lumMod w14:val="95000"/>
                      <w14:lumOff w14:val="5000"/>
                    </w14:schemeClr>
                  </w14:solidFill>
                </w14:textFill>
              </w:rPr>
              <w:t>），</w:t>
            </w:r>
            <w:r>
              <w:rPr>
                <w:rFonts w:hint="eastAsia" w:asciiTheme="minorEastAsia" w:hAnsiTheme="minorEastAsia" w:eastAsiaTheme="minorEastAsia" w:cstheme="minorEastAsia"/>
                <w:snapToGrid w:val="0"/>
                <w:color w:val="000000"/>
                <w:kern w:val="0"/>
              </w:rPr>
              <w:t>未按规定提交投标保证金的投标文件，招标人将按不符合性投标而予以拒绝。</w:t>
            </w:r>
          </w:p>
        </w:tc>
      </w:tr>
      <w:tr w14:paraId="6973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09" w:type="dxa"/>
            <w:vAlign w:val="center"/>
          </w:tcPr>
          <w:p w14:paraId="1448A68A">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9</w:t>
            </w:r>
          </w:p>
        </w:tc>
        <w:tc>
          <w:tcPr>
            <w:tcW w:w="1915" w:type="dxa"/>
            <w:vAlign w:val="center"/>
          </w:tcPr>
          <w:p w14:paraId="7A6E0D8F">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投标保证金的退还</w:t>
            </w:r>
          </w:p>
        </w:tc>
        <w:tc>
          <w:tcPr>
            <w:tcW w:w="6905" w:type="dxa"/>
          </w:tcPr>
          <w:p w14:paraId="428E7F0E">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1.未中标的投标人的投标保证金将在开标结束后根据招投标实际情况予以退还（无息）。</w:t>
            </w:r>
          </w:p>
          <w:p w14:paraId="7614D6FF">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2.中标人的投标保证金，在签署合同后无息退还。</w:t>
            </w:r>
          </w:p>
        </w:tc>
      </w:tr>
      <w:tr w14:paraId="4A3E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Align w:val="center"/>
          </w:tcPr>
          <w:p w14:paraId="5FDB7C23">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10</w:t>
            </w:r>
          </w:p>
        </w:tc>
        <w:tc>
          <w:tcPr>
            <w:tcW w:w="1915" w:type="dxa"/>
            <w:vAlign w:val="center"/>
          </w:tcPr>
          <w:p w14:paraId="4F585EE0">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踏勘现场</w:t>
            </w:r>
          </w:p>
        </w:tc>
        <w:tc>
          <w:tcPr>
            <w:tcW w:w="6905" w:type="dxa"/>
          </w:tcPr>
          <w:p w14:paraId="5B54CDFE">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踏勘现场由投标人自行组织</w:t>
            </w:r>
          </w:p>
        </w:tc>
      </w:tr>
      <w:tr w14:paraId="33CF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09" w:type="dxa"/>
            <w:vAlign w:val="center"/>
          </w:tcPr>
          <w:p w14:paraId="52D0B34E">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11</w:t>
            </w:r>
          </w:p>
        </w:tc>
        <w:tc>
          <w:tcPr>
            <w:tcW w:w="1915" w:type="dxa"/>
            <w:vAlign w:val="center"/>
          </w:tcPr>
          <w:p w14:paraId="32717B01">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投标文件份数</w:t>
            </w:r>
          </w:p>
        </w:tc>
        <w:tc>
          <w:tcPr>
            <w:tcW w:w="6905" w:type="dxa"/>
          </w:tcPr>
          <w:p w14:paraId="63D07854">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kern w:val="0"/>
              </w:rPr>
              <w:t>正本壹份，副本贰份</w:t>
            </w:r>
          </w:p>
        </w:tc>
      </w:tr>
      <w:tr w14:paraId="5480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14:paraId="096DC624">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12</w:t>
            </w:r>
          </w:p>
        </w:tc>
        <w:tc>
          <w:tcPr>
            <w:tcW w:w="1915" w:type="dxa"/>
            <w:vAlign w:val="center"/>
          </w:tcPr>
          <w:p w14:paraId="631047DC">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投标文件递交地点及截止时间</w:t>
            </w:r>
          </w:p>
        </w:tc>
        <w:tc>
          <w:tcPr>
            <w:tcW w:w="6905" w:type="dxa"/>
          </w:tcPr>
          <w:p w14:paraId="53AF4D9E">
            <w:pPr>
              <w:spacing w:line="400" w:lineRule="exact"/>
              <w:rPr>
                <w:rFonts w:asciiTheme="minorEastAsia" w:hAnsiTheme="minorEastAsia" w:eastAsiaTheme="minorEastAsia" w:cstheme="minorEastAsia"/>
                <w:color w:val="0D0D0D" w:themeColor="text1" w:themeTint="F2"/>
                <w:highlight w:val="cya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投标文件递交截止时间：</w:t>
            </w: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2025年</w:t>
            </w:r>
            <w:r>
              <w:rPr>
                <w:rFonts w:hint="eastAsia" w:asciiTheme="minorEastAsia" w:hAnsiTheme="minorEastAsia" w:eastAsiaTheme="minorEastAsia" w:cstheme="minorEastAsia"/>
                <w:b/>
                <w:bCs/>
                <w:color w:val="0D0D0D" w:themeColor="text1" w:themeTint="F2"/>
                <w:lang w:val="en-US" w:eastAsia="zh-CN"/>
                <w14:textFill>
                  <w14:solidFill>
                    <w14:schemeClr w14:val="tx1">
                      <w14:lumMod w14:val="95000"/>
                      <w14:lumOff w14:val="5000"/>
                    </w14:schemeClr>
                  </w14:solidFill>
                </w14:textFill>
              </w:rPr>
              <w:t>9</w:t>
            </w: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月</w:t>
            </w:r>
            <w:r>
              <w:rPr>
                <w:rFonts w:hint="eastAsia" w:asciiTheme="minorEastAsia" w:hAnsiTheme="minorEastAsia" w:eastAsiaTheme="minorEastAsia" w:cstheme="minorEastAsia"/>
                <w:b/>
                <w:bCs/>
                <w:color w:val="0D0D0D" w:themeColor="text1" w:themeTint="F2"/>
                <w:u w:val="single"/>
                <w:lang w:val="en-US" w:eastAsia="zh-CN"/>
                <w14:textFill>
                  <w14:solidFill>
                    <w14:schemeClr w14:val="tx1">
                      <w14:lumMod w14:val="95000"/>
                      <w14:lumOff w14:val="5000"/>
                    </w14:schemeClr>
                  </w14:solidFill>
                </w14:textFill>
              </w:rPr>
              <w:t>12</w:t>
            </w: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日</w:t>
            </w:r>
            <w:r>
              <w:rPr>
                <w:rFonts w:hint="eastAsia" w:asciiTheme="minorEastAsia" w:hAnsiTheme="minorEastAsia" w:eastAsiaTheme="minorEastAsia" w:cstheme="minorEastAsia"/>
                <w:b/>
                <w:bCs/>
                <w:color w:val="0D0D0D" w:themeColor="text1" w:themeTint="F2"/>
                <w:u w:val="single"/>
                <w:lang w:val="en-US" w:eastAsia="zh-CN"/>
                <w14:textFill>
                  <w14:solidFill>
                    <w14:schemeClr w14:val="tx1">
                      <w14:lumMod w14:val="95000"/>
                      <w14:lumOff w14:val="5000"/>
                    </w14:schemeClr>
                  </w14:solidFill>
                </w14:textFill>
              </w:rPr>
              <w:t>14</w:t>
            </w: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时</w:t>
            </w:r>
            <w:r>
              <w:rPr>
                <w:rFonts w:hint="eastAsia" w:asciiTheme="minorEastAsia" w:hAnsiTheme="minorEastAsia" w:eastAsiaTheme="minorEastAsia" w:cstheme="minorEastAsia"/>
                <w:b/>
                <w:bCs/>
                <w:color w:val="0D0D0D" w:themeColor="text1" w:themeTint="F2"/>
                <w:u w:val="single"/>
                <w:lang w:val="en-US" w:eastAsia="zh-CN"/>
                <w14:textFill>
                  <w14:solidFill>
                    <w14:schemeClr w14:val="tx1">
                      <w14:lumMod w14:val="95000"/>
                      <w14:lumOff w14:val="5000"/>
                    </w14:schemeClr>
                  </w14:solidFill>
                </w14:textFill>
              </w:rPr>
              <w:t>00</w:t>
            </w: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分</w:t>
            </w:r>
          </w:p>
          <w:p w14:paraId="7574FDA2">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提交地点：</w:t>
            </w: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南通市通州区江海圆融汇1号楼1</w:t>
            </w:r>
            <w:r>
              <w:rPr>
                <w:rFonts w:hint="eastAsia" w:asciiTheme="minorEastAsia" w:hAnsiTheme="minorEastAsia" w:eastAsiaTheme="minorEastAsia" w:cstheme="minorEastAsia"/>
                <w:b/>
                <w:bCs/>
                <w:color w:val="0D0D0D" w:themeColor="text1" w:themeTint="F2"/>
                <w:kern w:val="0"/>
                <w:lang w:val="en-US" w:eastAsia="zh-CN"/>
                <w14:textFill>
                  <w14:solidFill>
                    <w14:schemeClr w14:val="tx1">
                      <w14:lumMod w14:val="95000"/>
                      <w14:lumOff w14:val="5000"/>
                    </w14:schemeClr>
                  </w14:solidFill>
                </w14:textFill>
              </w:rPr>
              <w:t>6</w:t>
            </w: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楼</w:t>
            </w:r>
            <w:r>
              <w:rPr>
                <w:rFonts w:hint="eastAsia" w:asciiTheme="minorEastAsia" w:hAnsiTheme="minorEastAsia" w:eastAsiaTheme="minorEastAsia" w:cstheme="minorEastAsia"/>
                <w:b/>
                <w:bCs/>
                <w:color w:val="0D0D0D" w:themeColor="text1" w:themeTint="F2"/>
                <w:kern w:val="0"/>
                <w:lang w:val="en-US" w:eastAsia="zh-CN"/>
                <w14:textFill>
                  <w14:solidFill>
                    <w14:schemeClr w14:val="tx1">
                      <w14:lumMod w14:val="95000"/>
                      <w14:lumOff w14:val="5000"/>
                    </w14:schemeClr>
                  </w14:solidFill>
                </w14:textFill>
              </w:rPr>
              <w:t>1610</w:t>
            </w: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开标室</w:t>
            </w:r>
          </w:p>
        </w:tc>
      </w:tr>
      <w:tr w14:paraId="54E6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09" w:type="dxa"/>
            <w:vAlign w:val="center"/>
          </w:tcPr>
          <w:p w14:paraId="25EC9325">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13</w:t>
            </w:r>
          </w:p>
        </w:tc>
        <w:tc>
          <w:tcPr>
            <w:tcW w:w="1915" w:type="dxa"/>
            <w:vAlign w:val="center"/>
          </w:tcPr>
          <w:p w14:paraId="39975383">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开标时间</w:t>
            </w:r>
          </w:p>
        </w:tc>
        <w:tc>
          <w:tcPr>
            <w:tcW w:w="6905" w:type="dxa"/>
            <w:vAlign w:val="center"/>
          </w:tcPr>
          <w:p w14:paraId="1B09714B">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开标时间：</w:t>
            </w: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2025年</w:t>
            </w:r>
            <w:r>
              <w:rPr>
                <w:rFonts w:hint="eastAsia" w:asciiTheme="minorEastAsia" w:hAnsiTheme="minorEastAsia" w:eastAsiaTheme="minorEastAsia" w:cstheme="minorEastAsia"/>
                <w:b/>
                <w:bCs/>
                <w:color w:val="0D0D0D" w:themeColor="text1" w:themeTint="F2"/>
                <w:lang w:val="en-US" w:eastAsia="zh-CN"/>
                <w14:textFill>
                  <w14:solidFill>
                    <w14:schemeClr w14:val="tx1">
                      <w14:lumMod w14:val="95000"/>
                      <w14:lumOff w14:val="5000"/>
                    </w14:schemeClr>
                  </w14:solidFill>
                </w14:textFill>
              </w:rPr>
              <w:t>9</w:t>
            </w: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月</w:t>
            </w:r>
            <w:r>
              <w:rPr>
                <w:rFonts w:hint="eastAsia" w:asciiTheme="minorEastAsia" w:hAnsiTheme="minorEastAsia" w:eastAsiaTheme="minorEastAsia" w:cstheme="minorEastAsia"/>
                <w:b/>
                <w:bCs/>
                <w:color w:val="0D0D0D" w:themeColor="text1" w:themeTint="F2"/>
                <w:u w:val="single"/>
                <w:lang w:val="en-US" w:eastAsia="zh-CN"/>
                <w14:textFill>
                  <w14:solidFill>
                    <w14:schemeClr w14:val="tx1">
                      <w14:lumMod w14:val="95000"/>
                      <w14:lumOff w14:val="5000"/>
                    </w14:schemeClr>
                  </w14:solidFill>
                </w14:textFill>
              </w:rPr>
              <w:t>12</w:t>
            </w: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日</w:t>
            </w:r>
            <w:r>
              <w:rPr>
                <w:rFonts w:hint="eastAsia" w:asciiTheme="minorEastAsia" w:hAnsiTheme="minorEastAsia" w:eastAsiaTheme="minorEastAsia" w:cstheme="minorEastAsia"/>
                <w:b/>
                <w:bCs/>
                <w:color w:val="0D0D0D" w:themeColor="text1" w:themeTint="F2"/>
                <w:u w:val="single"/>
                <w:lang w:val="en-US" w:eastAsia="zh-CN"/>
                <w14:textFill>
                  <w14:solidFill>
                    <w14:schemeClr w14:val="tx1">
                      <w14:lumMod w14:val="95000"/>
                      <w14:lumOff w14:val="5000"/>
                    </w14:schemeClr>
                  </w14:solidFill>
                </w14:textFill>
              </w:rPr>
              <w:t>14</w:t>
            </w: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时</w:t>
            </w:r>
            <w:r>
              <w:rPr>
                <w:rFonts w:hint="eastAsia" w:asciiTheme="minorEastAsia" w:hAnsiTheme="minorEastAsia" w:eastAsiaTheme="minorEastAsia" w:cstheme="minorEastAsia"/>
                <w:b/>
                <w:bCs/>
                <w:color w:val="0D0D0D" w:themeColor="text1" w:themeTint="F2"/>
                <w:u w:val="single"/>
                <w:lang w:val="en-US" w:eastAsia="zh-CN"/>
                <w14:textFill>
                  <w14:solidFill>
                    <w14:schemeClr w14:val="tx1">
                      <w14:lumMod w14:val="95000"/>
                      <w14:lumOff w14:val="5000"/>
                    </w14:schemeClr>
                  </w14:solidFill>
                </w14:textFill>
              </w:rPr>
              <w:t>00</w:t>
            </w: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分</w:t>
            </w:r>
          </w:p>
        </w:tc>
      </w:tr>
      <w:tr w14:paraId="4E9F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09" w:type="dxa"/>
            <w:vAlign w:val="center"/>
          </w:tcPr>
          <w:p w14:paraId="0CC62313">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14</w:t>
            </w:r>
          </w:p>
        </w:tc>
        <w:tc>
          <w:tcPr>
            <w:tcW w:w="1915" w:type="dxa"/>
            <w:vAlign w:val="center"/>
          </w:tcPr>
          <w:p w14:paraId="27343752">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最高限价</w:t>
            </w:r>
          </w:p>
        </w:tc>
        <w:tc>
          <w:tcPr>
            <w:tcW w:w="6905" w:type="dxa"/>
            <w:vAlign w:val="center"/>
          </w:tcPr>
          <w:p w14:paraId="4CF0C33F">
            <w:pPr>
              <w:widowControl/>
              <w:spacing w:line="400" w:lineRule="exact"/>
              <w:jc w:val="left"/>
              <w:rPr>
                <w:rFonts w:asciiTheme="minorEastAsia" w:hAnsiTheme="minorEastAsia" w:eastAsiaTheme="minorEastAsia" w:cstheme="minorEastAsia"/>
                <w:b/>
                <w:kern w:val="0"/>
              </w:rPr>
            </w:pPr>
            <w:r>
              <w:rPr>
                <w:rFonts w:hint="eastAsia" w:asciiTheme="minorEastAsia" w:hAnsiTheme="minorEastAsia" w:eastAsiaTheme="minorEastAsia" w:cstheme="minorEastAsia"/>
                <w:b/>
                <w:kern w:val="0"/>
                <w:highlight w:val="yellow"/>
              </w:rPr>
              <w:t>人民币</w:t>
            </w:r>
            <w:r>
              <w:rPr>
                <w:rFonts w:hint="eastAsia" w:asciiTheme="minorEastAsia" w:hAnsiTheme="minorEastAsia" w:eastAsiaTheme="minorEastAsia" w:cstheme="minorEastAsia"/>
                <w:b/>
                <w:kern w:val="0"/>
                <w:highlight w:val="yellow"/>
                <w:u w:val="single"/>
                <w:lang w:val="en-US" w:eastAsia="zh-CN"/>
              </w:rPr>
              <w:t xml:space="preserve">   37.1699    </w:t>
            </w:r>
            <w:r>
              <w:rPr>
                <w:rFonts w:hint="eastAsia" w:asciiTheme="minorEastAsia" w:hAnsiTheme="minorEastAsia" w:eastAsiaTheme="minorEastAsia" w:cstheme="minorEastAsia"/>
                <w:b/>
                <w:kern w:val="0"/>
                <w:highlight w:val="yellow"/>
              </w:rPr>
              <w:t>万元</w:t>
            </w:r>
          </w:p>
        </w:tc>
      </w:tr>
      <w:tr w14:paraId="3C67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09" w:type="dxa"/>
            <w:vAlign w:val="center"/>
          </w:tcPr>
          <w:p w14:paraId="2C6E3458">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15</w:t>
            </w:r>
          </w:p>
        </w:tc>
        <w:tc>
          <w:tcPr>
            <w:tcW w:w="1915" w:type="dxa"/>
            <w:vAlign w:val="center"/>
          </w:tcPr>
          <w:p w14:paraId="5365F780">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履约保证金</w:t>
            </w:r>
          </w:p>
        </w:tc>
        <w:tc>
          <w:tcPr>
            <w:tcW w:w="6905" w:type="dxa"/>
            <w:vAlign w:val="center"/>
          </w:tcPr>
          <w:p w14:paraId="6EB654BD">
            <w:pPr>
              <w:spacing w:line="400" w:lineRule="exac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kern w:val="0"/>
              </w:rPr>
              <w:t>合同价款的10%</w:t>
            </w:r>
          </w:p>
        </w:tc>
      </w:tr>
      <w:tr w14:paraId="07FB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09" w:type="dxa"/>
            <w:vAlign w:val="center"/>
          </w:tcPr>
          <w:p w14:paraId="77E5C971">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16</w:t>
            </w:r>
          </w:p>
        </w:tc>
        <w:tc>
          <w:tcPr>
            <w:tcW w:w="1915" w:type="dxa"/>
            <w:vAlign w:val="center"/>
          </w:tcPr>
          <w:p w14:paraId="5324087E">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联系方式</w:t>
            </w:r>
          </w:p>
        </w:tc>
        <w:tc>
          <w:tcPr>
            <w:tcW w:w="6905" w:type="dxa"/>
          </w:tcPr>
          <w:p w14:paraId="4799A1EB">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招标人：南通市通州区水务有限公司</w:t>
            </w:r>
          </w:p>
          <w:p w14:paraId="36699E0A">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地址：南通市通州区</w:t>
            </w: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金沙镇金通路18号</w:t>
            </w:r>
          </w:p>
          <w:p w14:paraId="3F580EA8">
            <w:pPr>
              <w:widowControl/>
              <w:spacing w:line="400" w:lineRule="exact"/>
              <w:jc w:val="left"/>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联系人：</w:t>
            </w:r>
            <w:r>
              <w:rPr>
                <w:rFonts w:hint="eastAsia" w:asciiTheme="minorEastAsia" w:hAnsiTheme="minorEastAsia" w:eastAsiaTheme="minorEastAsia" w:cstheme="minorEastAsia"/>
                <w:color w:val="0D0D0D" w:themeColor="text1" w:themeTint="F2"/>
                <w:highlight w:val="none"/>
                <w:lang w:val="en-US" w:eastAsia="zh-CN"/>
                <w14:textFill>
                  <w14:solidFill>
                    <w14:schemeClr w14:val="tx1">
                      <w14:lumMod w14:val="95000"/>
                      <w14:lumOff w14:val="5000"/>
                    </w14:schemeClr>
                  </w14:solidFill>
                </w14:textFill>
              </w:rPr>
              <w:t>曹先生</w:t>
            </w: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　　　</w:t>
            </w:r>
          </w:p>
          <w:p w14:paraId="7EFC6A34">
            <w:pPr>
              <w:pStyle w:val="54"/>
              <w:widowControl/>
              <w:spacing w:line="400" w:lineRule="exact"/>
              <w:ind w:left="0" w:leftChars="0" w:firstLine="0" w:firstLineChars="0"/>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联系电话：</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0513-86106569</w:t>
            </w:r>
          </w:p>
          <w:p w14:paraId="6F929308">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招标代理:南通市通州天元建设监理咨询有限公司</w:t>
            </w:r>
          </w:p>
          <w:p w14:paraId="12040167">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地址：通州区润和大厦8楼</w:t>
            </w:r>
          </w:p>
          <w:p w14:paraId="35FC69EF">
            <w:pPr>
              <w:spacing w:line="400" w:lineRule="exact"/>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 xml:space="preserve">联系人：俞先生      </w:t>
            </w:r>
          </w:p>
          <w:p w14:paraId="2ACE5892">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联系电话：0513-86516066</w:t>
            </w:r>
          </w:p>
        </w:tc>
      </w:tr>
      <w:tr w14:paraId="270F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09" w:type="dxa"/>
            <w:vAlign w:val="center"/>
          </w:tcPr>
          <w:p w14:paraId="67EDA608">
            <w:pPr>
              <w:widowControl/>
              <w:spacing w:line="40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17</w:t>
            </w:r>
          </w:p>
        </w:tc>
        <w:tc>
          <w:tcPr>
            <w:tcW w:w="1915" w:type="dxa"/>
            <w:vAlign w:val="center"/>
          </w:tcPr>
          <w:p w14:paraId="5AB2860F">
            <w:pPr>
              <w:widowControl/>
              <w:spacing w:line="400" w:lineRule="exac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rPr>
              <w:t>参加开标会的投标人代表</w:t>
            </w:r>
          </w:p>
        </w:tc>
        <w:tc>
          <w:tcPr>
            <w:tcW w:w="6905" w:type="dxa"/>
            <w:vAlign w:val="center"/>
          </w:tcPr>
          <w:p w14:paraId="0E58EE0C">
            <w:pPr>
              <w:widowControl/>
              <w:spacing w:line="400" w:lineRule="exact"/>
              <w:rPr>
                <w:rFonts w:asciiTheme="minorEastAsia" w:hAnsiTheme="minorEastAsia" w:eastAsiaTheme="minorEastAsia" w:cstheme="minorEastAsia"/>
                <w:kern w:val="0"/>
              </w:rPr>
            </w:pPr>
            <w:r>
              <w:rPr>
                <w:rFonts w:hint="eastAsia" w:asciiTheme="minorEastAsia" w:hAnsiTheme="minorEastAsia" w:eastAsiaTheme="minorEastAsia" w:cstheme="minorEastAsia"/>
                <w:bCs/>
              </w:rPr>
              <w:t>本项目的法人或授权委托人需出示身份证，亲自、准时参加开标会议，否则不论何原因，均视为自动弃权，其投标文件将被招标人拒绝。</w:t>
            </w:r>
          </w:p>
        </w:tc>
      </w:tr>
    </w:tbl>
    <w:p w14:paraId="517C57D9">
      <w:pPr>
        <w:spacing w:line="440" w:lineRule="exact"/>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一、投标须知</w:t>
      </w:r>
    </w:p>
    <w:p w14:paraId="4C9BF0B9">
      <w:pPr>
        <w:spacing w:line="440" w:lineRule="exact"/>
        <w:ind w:firstLine="413" w:firstLineChars="196"/>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（一）投标人应具备的资格条件</w:t>
      </w:r>
    </w:p>
    <w:p w14:paraId="00E64203">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1、具有独立法人资格且具有有效的企业法人营业执照；</w:t>
      </w:r>
    </w:p>
    <w:p w14:paraId="7B33B2B8">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highlight w:val="none"/>
        </w:rPr>
        <w:t>具有</w:t>
      </w:r>
      <w:r>
        <w:rPr>
          <w:rFonts w:hint="eastAsia" w:asciiTheme="minorEastAsia" w:hAnsiTheme="minorEastAsia" w:eastAsiaTheme="minorEastAsia" w:cstheme="minorEastAsia"/>
          <w:highlight w:val="none"/>
          <w:lang w:eastAsia="zh-CN"/>
        </w:rPr>
        <w:t>市政公用工程施工总承包叁</w:t>
      </w:r>
      <w:r>
        <w:rPr>
          <w:rFonts w:hint="eastAsia" w:asciiTheme="minorEastAsia" w:hAnsiTheme="minorEastAsia" w:eastAsiaTheme="minorEastAsia" w:cstheme="minorEastAsia"/>
          <w:highlight w:val="none"/>
        </w:rPr>
        <w:t>级及以上资质；</w:t>
      </w:r>
    </w:p>
    <w:p w14:paraId="1D3868EF">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w:t>
      </w:r>
      <w:r>
        <w:rPr>
          <w:rFonts w:hint="eastAsia" w:asciiTheme="minorEastAsia" w:hAnsiTheme="minorEastAsia" w:eastAsiaTheme="minorEastAsia" w:cstheme="minorEastAsia"/>
          <w:highlight w:val="none"/>
          <w:lang w:eastAsia="zh-CN"/>
        </w:rPr>
        <w:t>具有有效的企业安全生产许可证；</w:t>
      </w:r>
    </w:p>
    <w:p w14:paraId="5C0E164F">
      <w:pPr>
        <w:spacing w:line="400" w:lineRule="exact"/>
        <w:ind w:firstLine="420" w:firstLineChars="200"/>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4、拟派项目负责人具有建筑工程专业贰级及以上注册建造师证书及安全考核合格B证；</w:t>
      </w:r>
    </w:p>
    <w:p w14:paraId="6EE5E474">
      <w:pPr>
        <w:spacing w:line="40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highlight w:val="none"/>
          <w:lang w:val="en-US" w:eastAsia="zh-CN"/>
        </w:rPr>
        <w:t>5、拟派项目负责人与</w:t>
      </w:r>
      <w:r>
        <w:rPr>
          <w:rFonts w:hint="eastAsia" w:asciiTheme="minorEastAsia" w:hAnsiTheme="minorEastAsia" w:eastAsiaTheme="minorEastAsia" w:cstheme="minorEastAsia"/>
          <w:highlight w:val="none"/>
        </w:rPr>
        <w:t>投标人签订的有效劳动合同</w:t>
      </w:r>
      <w:r>
        <w:rPr>
          <w:rFonts w:hint="eastAsia" w:asciiTheme="minorEastAsia" w:hAnsiTheme="minorEastAsia" w:eastAsiaTheme="minorEastAsia" w:cstheme="minorEastAsia"/>
          <w:highlight w:val="none"/>
          <w:lang w:eastAsia="zh-CN"/>
        </w:rPr>
        <w:t>及</w:t>
      </w:r>
      <w:r>
        <w:rPr>
          <w:rFonts w:hint="eastAsia" w:asciiTheme="minorEastAsia" w:hAnsiTheme="minorEastAsia" w:eastAsiaTheme="minorEastAsia" w:cstheme="minorEastAsia"/>
          <w:highlight w:val="none"/>
        </w:rPr>
        <w:t>投标人为</w:t>
      </w:r>
      <w:r>
        <w:rPr>
          <w:rFonts w:hint="eastAsia" w:asciiTheme="minorEastAsia" w:hAnsiTheme="minorEastAsia" w:eastAsiaTheme="minorEastAsia" w:cstheme="minorEastAsia"/>
          <w:highlight w:val="none"/>
          <w:lang w:eastAsia="zh-CN"/>
        </w:rPr>
        <w:t>拟派项目负责人</w:t>
      </w:r>
      <w:r>
        <w:rPr>
          <w:rFonts w:hint="eastAsia" w:asciiTheme="minorEastAsia" w:hAnsiTheme="minorEastAsia" w:eastAsiaTheme="minorEastAsia" w:cstheme="minorEastAsia"/>
          <w:highlight w:val="none"/>
        </w:rPr>
        <w:t>缴纳的202</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月至2025年</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月养老保险缴费证明</w:t>
      </w:r>
      <w:r>
        <w:rPr>
          <w:rFonts w:hint="eastAsia" w:asciiTheme="minorEastAsia" w:hAnsiTheme="minorEastAsia" w:eastAsiaTheme="minorEastAsia" w:cstheme="minorEastAsia"/>
          <w:lang w:eastAsia="zh-CN"/>
        </w:rPr>
        <w:t>；</w:t>
      </w:r>
    </w:p>
    <w:p w14:paraId="51B985F2">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、授权委托人（如有）与投标人签订的有效劳动合同</w:t>
      </w:r>
      <w:r>
        <w:rPr>
          <w:rFonts w:hint="eastAsia" w:asciiTheme="minorEastAsia" w:hAnsiTheme="minorEastAsia" w:eastAsiaTheme="minorEastAsia" w:cstheme="minorEastAsia"/>
          <w:lang w:eastAsia="zh-CN"/>
        </w:rPr>
        <w:t>及</w:t>
      </w:r>
      <w:r>
        <w:rPr>
          <w:rFonts w:hint="eastAsia" w:asciiTheme="minorEastAsia" w:hAnsiTheme="minorEastAsia" w:eastAsiaTheme="minorEastAsia" w:cstheme="minorEastAsia"/>
        </w:rPr>
        <w:t>投标人为授权委托人（如有）缴纳的202</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月至2025年</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月养老保险缴费证明（企业法定代表人参与投标，此项不需提供）；</w:t>
      </w:r>
    </w:p>
    <w:p w14:paraId="520BA7EB">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、投标声明函（格式见招标文件）。</w:t>
      </w:r>
    </w:p>
    <w:p w14:paraId="634A3B8E">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投标人提供的投标文件中的内容没有失实或者弄虚作假，若提供虚假材料的，投标保证金一律没收，记不良行为一次并网上公示。</w:t>
      </w:r>
    </w:p>
    <w:p w14:paraId="251FE602">
      <w:pPr>
        <w:widowControl/>
        <w:spacing w:line="440" w:lineRule="exact"/>
        <w:ind w:firstLine="420" w:firstLineChars="200"/>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本项目不接受联合体投标。</w:t>
      </w:r>
    </w:p>
    <w:p w14:paraId="4B9367F2">
      <w:pPr>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（二）投标费用</w:t>
      </w:r>
    </w:p>
    <w:p w14:paraId="115090DD">
      <w:pPr>
        <w:spacing w:line="440" w:lineRule="exact"/>
        <w:ind w:firstLine="420" w:firstLineChars="200"/>
        <w:rPr>
          <w:rFonts w:hint="eastAsia" w:asciiTheme="minorEastAsia" w:hAnsiTheme="minorEastAsia" w:eastAsiaTheme="minorEastAsia" w:cstheme="minorEastAsia"/>
          <w:color w:val="0D0D0D" w:themeColor="text1" w:themeTint="F2"/>
          <w:highlight w:val="no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lang w:val="en-US" w:eastAsia="zh-CN"/>
          <w14:textFill>
            <w14:solidFill>
              <w14:schemeClr w14:val="tx1">
                <w14:lumMod w14:val="95000"/>
                <w14:lumOff w14:val="5000"/>
              </w14:schemeClr>
            </w14:solidFill>
          </w14:textFill>
        </w:rPr>
        <w:t>3.1招标代理费人民币2000元，由中标单位在开标结束后支付给代理机构，请各投标单位在报价时综合考虑。</w:t>
      </w:r>
    </w:p>
    <w:p w14:paraId="7CD4C8CE">
      <w:pPr>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lang w:val="en-US" w:eastAsia="zh-CN"/>
          <w14:textFill>
            <w14:solidFill>
              <w14:schemeClr w14:val="tx1">
                <w14:lumMod w14:val="95000"/>
                <w14:lumOff w14:val="5000"/>
              </w14:schemeClr>
            </w14:solidFill>
          </w14:textFill>
        </w:rPr>
        <w:t>3.2</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投标单位应承担其编制投标文件以及递交投标文件所涉及的一切费用，无论投标结果如何，招标人对上述费用不负任何责任。</w:t>
      </w:r>
    </w:p>
    <w:p w14:paraId="7C005DE2">
      <w:pPr>
        <w:spacing w:line="440" w:lineRule="exact"/>
        <w:ind w:left="-540" w:leftChars="-257" w:firstLine="474" w:firstLineChars="225"/>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二、招标文件内容、澄清和修改</w:t>
      </w:r>
    </w:p>
    <w:p w14:paraId="11CE2031">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（一）招标文件的组成</w:t>
      </w:r>
    </w:p>
    <w:p w14:paraId="527E3427">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1、招标公告</w:t>
      </w:r>
    </w:p>
    <w:p w14:paraId="27FED675">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2、投标须知及投标须知前附表</w:t>
      </w:r>
    </w:p>
    <w:p w14:paraId="518EBAE9">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3、评标办法</w:t>
      </w:r>
    </w:p>
    <w:p w14:paraId="42DB6075">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4、合同条款</w:t>
      </w:r>
    </w:p>
    <w:p w14:paraId="6CE92B36">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5、投标文件格式</w:t>
      </w:r>
    </w:p>
    <w:p w14:paraId="1F3E5AA1">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6、项目需求</w:t>
      </w:r>
    </w:p>
    <w:p w14:paraId="36E9E21D">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人下载招标文件后，应仔细检查招标文件的所有内容，如对招标活动事项有疑问的，应以书面形式提出询问或疑问，未按规定提出询问或疑问的，视同投标人理解并接受本招标文件所有内容，并对由此引起的投标损失自负。</w:t>
      </w:r>
    </w:p>
    <w:p w14:paraId="2D525DD0">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4F7D769C">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bookmarkStart w:id="7" w:name="_Toc20823283"/>
      <w:bookmarkStart w:id="8" w:name="_Toc513029211"/>
      <w:bookmarkStart w:id="9" w:name="_Toc462564070"/>
      <w:bookmarkStart w:id="10" w:name="_Toc16938527"/>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（二）招标文件的</w:t>
      </w:r>
      <w:bookmarkEnd w:id="7"/>
      <w:bookmarkEnd w:id="8"/>
      <w:bookmarkEnd w:id="9"/>
      <w:bookmarkEnd w:id="10"/>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询问</w:t>
      </w:r>
    </w:p>
    <w:p w14:paraId="3C8E2D6C">
      <w:pPr>
        <w:spacing w:line="440" w:lineRule="exact"/>
        <w:ind w:firstLine="420" w:firstLineChars="200"/>
        <w:rPr>
          <w:rFonts w:ascii="宋体" w:hAnsi="宋体"/>
        </w:rPr>
      </w:pPr>
      <w:bookmarkStart w:id="11" w:name="_Toc513029212"/>
      <w:bookmarkStart w:id="12" w:name="_Toc20823284"/>
      <w:bookmarkStart w:id="13" w:name="_Toc462564071"/>
      <w:bookmarkStart w:id="14" w:name="_Toc16938528"/>
      <w:r>
        <w:rPr>
          <w:rFonts w:hint="eastAsia" w:asciiTheme="minorEastAsia" w:hAnsiTheme="minorEastAsia" w:eastAsiaTheme="minorEastAsia" w:cstheme="minorEastAsia"/>
          <w:color w:val="000000"/>
        </w:rPr>
        <w:t>1、</w:t>
      </w:r>
      <w:r>
        <w:rPr>
          <w:rFonts w:hint="eastAsia" w:ascii="宋体" w:hAnsi="宋体"/>
        </w:rPr>
        <w:t>投标人获取招标文件后，应仔细核查招标文件的所有内容，投标人如有疑问，应在</w:t>
      </w:r>
      <w:r>
        <w:rPr>
          <w:rFonts w:hint="eastAsia" w:ascii="宋体" w:hAnsi="宋体"/>
          <w:b/>
        </w:rPr>
        <w:t>2025年</w:t>
      </w:r>
      <w:r>
        <w:rPr>
          <w:rFonts w:hint="eastAsia" w:ascii="宋体" w:hAnsi="宋体"/>
          <w:b/>
          <w:lang w:val="en-US" w:eastAsia="zh-CN"/>
        </w:rPr>
        <w:t>9</w:t>
      </w:r>
      <w:r>
        <w:rPr>
          <w:rFonts w:hint="eastAsia" w:ascii="宋体" w:hAnsi="宋体"/>
          <w:b/>
        </w:rPr>
        <w:t>月</w:t>
      </w:r>
      <w:r>
        <w:rPr>
          <w:rFonts w:hint="eastAsia" w:ascii="宋体" w:hAnsi="宋体"/>
          <w:b/>
          <w:u w:val="single"/>
          <w:lang w:val="en-US" w:eastAsia="zh-CN"/>
        </w:rPr>
        <w:t>5</w:t>
      </w:r>
      <w:r>
        <w:rPr>
          <w:rFonts w:hint="eastAsia" w:ascii="宋体" w:hAnsi="宋体"/>
          <w:b/>
        </w:rPr>
        <w:t>日17：00</w:t>
      </w:r>
      <w:r>
        <w:rPr>
          <w:rFonts w:hint="eastAsia" w:ascii="宋体" w:hAnsi="宋体"/>
        </w:rPr>
        <w:t>前提出，要求招标人对招标文件予以澄清。如在规定时间未提出询问的，视为投标人理解并接受招标文件所有内容。否则，由此引起的损失由投标人自己承担。投标人同时应认真审核招标文件中所有的事项、格式、条款和规范要求等，若投标人的投标文件没有按招标文件要求提交全部资料，或投标文件没有对招标文件作出实质性响应，其风险由投标人自行承担，并根据有关条款规定，该标书有可能被拒绝。</w:t>
      </w:r>
    </w:p>
    <w:p w14:paraId="4949444A">
      <w:pPr>
        <w:spacing w:line="440" w:lineRule="exact"/>
        <w:ind w:firstLine="525" w:firstLineChars="250"/>
        <w:rPr>
          <w:rFonts w:ascii="宋体" w:hAnsi="宋体"/>
        </w:rPr>
      </w:pPr>
      <w:r>
        <w:rPr>
          <w:rFonts w:hint="eastAsia" w:asciiTheme="minorEastAsia" w:hAnsiTheme="minorEastAsia" w:eastAsiaTheme="minorEastAsia" w:cstheme="minorEastAsia"/>
          <w:color w:val="000000"/>
        </w:rPr>
        <w:t>2、</w:t>
      </w:r>
      <w:r>
        <w:rPr>
          <w:rFonts w:hint="eastAsia" w:ascii="宋体" w:hAnsi="宋体"/>
        </w:rPr>
        <w:t>无论是招标人根据需要主动对招标文件进行必要的澄清、修改或补充，或是根据投标人的招标答疑、澄清要求对招标文件做出招标答疑、澄清要求回复，招标人都将予以澄清、修改或补充，招标人或招标代理机构将在</w:t>
      </w:r>
      <w:r>
        <w:rPr>
          <w:rFonts w:hint="eastAsia" w:ascii="宋体" w:hAnsi="宋体"/>
          <w:b/>
        </w:rPr>
        <w:t>2025年</w:t>
      </w:r>
      <w:r>
        <w:rPr>
          <w:rFonts w:hint="eastAsia" w:ascii="宋体" w:hAnsi="宋体"/>
          <w:b/>
          <w:lang w:val="en-US" w:eastAsia="zh-CN"/>
        </w:rPr>
        <w:t>9</w:t>
      </w:r>
      <w:r>
        <w:rPr>
          <w:rFonts w:hint="eastAsia" w:ascii="宋体" w:hAnsi="宋体"/>
          <w:b/>
        </w:rPr>
        <w:t>月</w:t>
      </w:r>
      <w:r>
        <w:rPr>
          <w:rFonts w:hint="eastAsia" w:ascii="宋体" w:hAnsi="宋体"/>
          <w:b/>
          <w:u w:val="single"/>
          <w:lang w:val="en-US" w:eastAsia="zh-CN"/>
        </w:rPr>
        <w:t>8</w:t>
      </w:r>
      <w:r>
        <w:rPr>
          <w:rFonts w:hint="eastAsia" w:ascii="宋体" w:hAnsi="宋体"/>
          <w:b/>
        </w:rPr>
        <w:t>日24：00</w:t>
      </w:r>
      <w:r>
        <w:rPr>
          <w:rFonts w:hint="eastAsia" w:ascii="宋体" w:hAnsi="宋体"/>
        </w:rPr>
        <w:t>前通过“南通市通州区</w:t>
      </w:r>
      <w:r>
        <w:rPr>
          <w:rFonts w:hint="eastAsia" w:ascii="宋体" w:hAnsi="宋体"/>
          <w:lang w:eastAsia="zh-CN"/>
        </w:rPr>
        <w:t>人民政府</w:t>
      </w:r>
      <w:r>
        <w:rPr>
          <w:rFonts w:hint="eastAsia" w:ascii="宋体" w:hAnsi="宋体"/>
        </w:rPr>
        <w:t>”网站发给所有投标人。</w:t>
      </w:r>
      <w:bookmarkStart w:id="23" w:name="_GoBack"/>
      <w:bookmarkEnd w:id="23"/>
    </w:p>
    <w:p w14:paraId="2B782B1E">
      <w:pPr>
        <w:spacing w:line="440" w:lineRule="exact"/>
        <w:ind w:firstLine="420" w:firstLineChars="200"/>
        <w:rPr>
          <w:rFonts w:ascii="宋体" w:hAnsi="Calibri"/>
        </w:rPr>
      </w:pPr>
      <w:r>
        <w:rPr>
          <w:rFonts w:hint="eastAsia" w:ascii="宋体" w:hAnsi="宋体"/>
        </w:rPr>
        <w:t>当招标文件、招标文件的澄清等在同一内容的表述上不一致时，以最后发布的为准。</w:t>
      </w:r>
    </w:p>
    <w:p w14:paraId="7F38A84B">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（三）招标文件的修改</w:t>
      </w:r>
      <w:bookmarkEnd w:id="11"/>
      <w:bookmarkEnd w:id="12"/>
      <w:bookmarkEnd w:id="13"/>
      <w:bookmarkEnd w:id="14"/>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及澄清</w:t>
      </w:r>
    </w:p>
    <w:p w14:paraId="2B5072CB">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1、在投标截止时间三日前，招标人可以对招标文件进行修改。</w:t>
      </w:r>
    </w:p>
    <w:p w14:paraId="36B818A4">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2、招标人有权按照法定的要求推迟投标截止日期和开标日期。</w:t>
      </w:r>
    </w:p>
    <w:p w14:paraId="314A3587">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3、招标文件的修改将在“南通市通州区</w:t>
      </w:r>
      <w:r>
        <w:rPr>
          <w:rFonts w:hint="eastAsia" w:asciiTheme="minorEastAsia" w:hAnsiTheme="minorEastAsia" w:eastAsiaTheme="minorEastAsia" w:cstheme="minorEastAsia"/>
          <w:color w:val="0D0D0D" w:themeColor="text1" w:themeTint="F2"/>
          <w:lang w:eastAsia="zh-CN"/>
          <w14:textFill>
            <w14:solidFill>
              <w14:schemeClr w14:val="tx1">
                <w14:lumMod w14:val="95000"/>
                <w14:lumOff w14:val="5000"/>
              </w14:schemeClr>
            </w14:solidFill>
          </w14:textFill>
        </w:rPr>
        <w:t>人民政府</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”网站发布，请各投标人及时登录平台查看，补充文件将作为招标文件的组成部分，并对投标人具有约束力。</w:t>
      </w:r>
    </w:p>
    <w:p w14:paraId="79300A27">
      <w:pPr>
        <w:spacing w:line="440" w:lineRule="exact"/>
        <w:ind w:left="-540" w:leftChars="-257" w:firstLine="2262" w:firstLineChars="1073"/>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三、投标文件的编制</w:t>
      </w:r>
    </w:p>
    <w:p w14:paraId="6EB1F35C">
      <w:pPr>
        <w:spacing w:line="440" w:lineRule="exact"/>
        <w:ind w:firstLine="420" w:firstLineChars="200"/>
        <w:jc w:val="left"/>
        <w:rPr>
          <w:rFonts w:asciiTheme="minorEastAsia" w:hAnsiTheme="minorEastAsia" w:eastAsiaTheme="minorEastAsia" w:cstheme="minorEastAsia"/>
          <w:color w:val="0D0D0D" w:themeColor="text1" w:themeTint="F2"/>
          <w:u w:val="singl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（一）投标文件应包括下列内容：</w:t>
      </w:r>
      <w:r>
        <w:rPr>
          <w:rFonts w:hint="eastAsia" w:asciiTheme="minorEastAsia" w:hAnsiTheme="minorEastAsia" w:eastAsiaTheme="minorEastAsia" w:cstheme="minorEastAsia"/>
          <w:b/>
          <w:color w:val="0D0D0D" w:themeColor="text1" w:themeTint="F2"/>
          <w:u w:val="single"/>
          <w14:textFill>
            <w14:solidFill>
              <w14:schemeClr w14:val="tx1">
                <w14:lumMod w14:val="95000"/>
                <w14:lumOff w14:val="5000"/>
              </w14:schemeClr>
            </w14:solidFill>
          </w14:textFill>
        </w:rPr>
        <w:t>资格审查文件、价格标文件</w:t>
      </w:r>
    </w:p>
    <w:p w14:paraId="19E46B3D">
      <w:pPr>
        <w:spacing w:line="440" w:lineRule="exact"/>
        <w:ind w:firstLine="422" w:firstLineChars="200"/>
        <w:jc w:val="left"/>
        <w:rPr>
          <w:rFonts w:asciiTheme="minorEastAsia" w:hAnsiTheme="minorEastAsia" w:eastAsiaTheme="minorEastAsia" w:cstheme="minorEastAsia"/>
          <w:b/>
          <w:bCs/>
          <w:color w:val="0D0D0D" w:themeColor="text1" w:themeTint="F2"/>
          <w:u w:val="singl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u w:val="single"/>
          <w14:textFill>
            <w14:solidFill>
              <w14:schemeClr w14:val="tx1">
                <w14:lumMod w14:val="95000"/>
                <w14:lumOff w14:val="5000"/>
              </w14:schemeClr>
            </w14:solidFill>
          </w14:textFill>
        </w:rPr>
        <w:t>资格审查文件（包括但不限于以下内容）：</w:t>
      </w:r>
    </w:p>
    <w:p w14:paraId="41A7178C">
      <w:pPr>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1、法定代表人身份证明书、法定代表人身份证；</w:t>
      </w:r>
    </w:p>
    <w:p w14:paraId="49ACE43A">
      <w:pPr>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2、授权委托书、授权委托人身份证；</w:t>
      </w:r>
    </w:p>
    <w:p w14:paraId="65858B01">
      <w:pPr>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3、有效的企业法人营业执照；</w:t>
      </w:r>
    </w:p>
    <w:p w14:paraId="68979169">
      <w:pPr>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4、有效的</w:t>
      </w:r>
      <w:r>
        <w:rPr>
          <w:rFonts w:hint="eastAsia" w:asciiTheme="minorEastAsia" w:hAnsiTheme="minorEastAsia" w:eastAsiaTheme="minorEastAsia" w:cstheme="minorEastAsia"/>
          <w:lang w:eastAsia="zh-CN"/>
        </w:rPr>
        <w:t>市政公用工程施工总承包叁</w:t>
      </w:r>
      <w:r>
        <w:rPr>
          <w:rFonts w:hint="eastAsia" w:asciiTheme="minorEastAsia" w:hAnsiTheme="minorEastAsia" w:eastAsiaTheme="minorEastAsia" w:cstheme="minorEastAsia"/>
        </w:rPr>
        <w:t>级及以上资质；</w:t>
      </w:r>
    </w:p>
    <w:p w14:paraId="012E693B">
      <w:pPr>
        <w:spacing w:line="44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5、有效的企业安全生产许可证；</w:t>
      </w:r>
    </w:p>
    <w:p w14:paraId="038EA6EA">
      <w:pPr>
        <w:spacing w:line="440" w:lineRule="exact"/>
        <w:ind w:firstLine="420" w:firstLineChars="20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6、项目负责人建筑工程专业贰级及以上注册建造师证书及安全考核合格B证；</w:t>
      </w:r>
    </w:p>
    <w:p w14:paraId="52A7F80D">
      <w:pPr>
        <w:spacing w:line="44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lang w:eastAsia="zh-CN"/>
        </w:rPr>
        <w:t>项目负责人</w:t>
      </w:r>
      <w:r>
        <w:rPr>
          <w:rFonts w:hint="eastAsia" w:asciiTheme="minorEastAsia" w:hAnsiTheme="minorEastAsia" w:eastAsiaTheme="minorEastAsia" w:cstheme="minorEastAsia"/>
        </w:rPr>
        <w:t>与投标人签订的有效劳动合同</w:t>
      </w:r>
      <w:r>
        <w:rPr>
          <w:rFonts w:hint="eastAsia" w:asciiTheme="minorEastAsia" w:hAnsiTheme="minorEastAsia" w:eastAsiaTheme="minorEastAsia" w:cstheme="minorEastAsia"/>
          <w:lang w:eastAsia="zh-CN"/>
        </w:rPr>
        <w:t>及</w:t>
      </w:r>
      <w:r>
        <w:rPr>
          <w:rFonts w:hint="eastAsia" w:asciiTheme="minorEastAsia" w:hAnsiTheme="minorEastAsia" w:eastAsiaTheme="minorEastAsia" w:cstheme="minorEastAsia"/>
        </w:rPr>
        <w:t>投标人为</w:t>
      </w:r>
      <w:r>
        <w:rPr>
          <w:rFonts w:hint="eastAsia" w:asciiTheme="minorEastAsia" w:hAnsiTheme="minorEastAsia" w:eastAsiaTheme="minorEastAsia" w:cstheme="minorEastAsia"/>
          <w:lang w:eastAsia="zh-CN"/>
        </w:rPr>
        <w:t>项目负责人</w:t>
      </w:r>
      <w:r>
        <w:rPr>
          <w:rFonts w:hint="eastAsia" w:asciiTheme="minorEastAsia" w:hAnsiTheme="minorEastAsia" w:eastAsiaTheme="minorEastAsia" w:cstheme="minorEastAsia"/>
        </w:rPr>
        <w:t>缴纳的202</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月至2025年</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月养老保险缴费证明</w:t>
      </w:r>
      <w:r>
        <w:rPr>
          <w:rFonts w:hint="eastAsia" w:asciiTheme="minorEastAsia" w:hAnsiTheme="minorEastAsia" w:eastAsiaTheme="minorEastAsia" w:cstheme="minorEastAsia"/>
          <w:lang w:eastAsia="zh-CN"/>
        </w:rPr>
        <w:t>；</w:t>
      </w:r>
    </w:p>
    <w:p w14:paraId="218A1B9E">
      <w:pPr>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、授权委托人（如有）与投标人签订的有效劳动合同</w:t>
      </w:r>
      <w:r>
        <w:rPr>
          <w:rFonts w:hint="eastAsia" w:asciiTheme="minorEastAsia" w:hAnsiTheme="minorEastAsia" w:eastAsiaTheme="minorEastAsia" w:cstheme="minorEastAsia"/>
          <w:lang w:eastAsia="zh-CN"/>
        </w:rPr>
        <w:t>及</w:t>
      </w:r>
      <w:r>
        <w:rPr>
          <w:rFonts w:hint="eastAsia" w:asciiTheme="minorEastAsia" w:hAnsiTheme="minorEastAsia" w:eastAsiaTheme="minorEastAsia" w:cstheme="minorEastAsia"/>
        </w:rPr>
        <w:t>投标人为授权委托人（如有）缴纳的202</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月至2025年</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月养老保险缴费证明（企业法定代表人参与投标，此项不需提供）；</w:t>
      </w:r>
    </w:p>
    <w:p w14:paraId="00D3F2A0">
      <w:pPr>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、投标声明函（格式见招标文件）。</w:t>
      </w:r>
    </w:p>
    <w:p w14:paraId="447F9092">
      <w:pPr>
        <w:pStyle w:val="18"/>
        <w:spacing w:after="0" w:line="440" w:lineRule="exact"/>
        <w:ind w:firstLine="422" w:firstLineChars="200"/>
        <w:rPr>
          <w:rFonts w:asciiTheme="minorEastAsia" w:hAnsiTheme="minorEastAsia" w:eastAsiaTheme="minorEastAsia" w:cstheme="minorEastAsia"/>
          <w:b/>
          <w:bCs/>
          <w:color w:val="0D0D0D" w:themeColor="text1" w:themeTint="F2"/>
          <w:kern w:val="0"/>
          <w:u w:val="singl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u w:val="single"/>
          <w14:textFill>
            <w14:solidFill>
              <w14:schemeClr w14:val="tx1">
                <w14:lumMod w14:val="95000"/>
                <w14:lumOff w14:val="5000"/>
              </w14:schemeClr>
            </w14:solidFill>
          </w14:textFill>
        </w:rPr>
        <w:t>价格标部分</w:t>
      </w:r>
      <w:r>
        <w:rPr>
          <w:rFonts w:hint="eastAsia" w:asciiTheme="minorEastAsia" w:hAnsiTheme="minorEastAsia" w:eastAsiaTheme="minorEastAsia" w:cstheme="minorEastAsia"/>
          <w:b/>
          <w:bCs/>
          <w:color w:val="0D0D0D" w:themeColor="text1" w:themeTint="F2"/>
          <w:u w:val="single"/>
          <w14:textFill>
            <w14:solidFill>
              <w14:schemeClr w14:val="tx1">
                <w14:lumMod w14:val="95000"/>
                <w14:lumOff w14:val="5000"/>
              </w14:schemeClr>
            </w14:solidFill>
          </w14:textFill>
        </w:rPr>
        <w:t>（包括但不限于以下内容）</w:t>
      </w:r>
      <w:r>
        <w:rPr>
          <w:rFonts w:hint="eastAsia" w:asciiTheme="minorEastAsia" w:hAnsiTheme="minorEastAsia" w:eastAsiaTheme="minorEastAsia" w:cstheme="minorEastAsia"/>
          <w:b/>
          <w:bCs/>
          <w:color w:val="0D0D0D" w:themeColor="text1" w:themeTint="F2"/>
          <w:kern w:val="0"/>
          <w:u w:val="single"/>
          <w14:textFill>
            <w14:solidFill>
              <w14:schemeClr w14:val="tx1">
                <w14:lumMod w14:val="95000"/>
                <w14:lumOff w14:val="5000"/>
              </w14:schemeClr>
            </w14:solidFill>
          </w14:textFill>
        </w:rPr>
        <w:t>:</w:t>
      </w:r>
    </w:p>
    <w:p w14:paraId="294A88CE">
      <w:pPr>
        <w:spacing w:line="44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1、投标函；</w:t>
      </w:r>
    </w:p>
    <w:p w14:paraId="1E95E894">
      <w:pPr>
        <w:spacing w:line="44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2、明细报价一览表。</w:t>
      </w:r>
    </w:p>
    <w:p w14:paraId="0167E002">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（二）投标人应当使用本招标文件提供的投标文件表式，表式可以按同样格式进行扩展。</w:t>
      </w:r>
    </w:p>
    <w:p w14:paraId="78CC0E8B">
      <w:pPr>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（三）投标报价</w:t>
      </w:r>
    </w:p>
    <w:p w14:paraId="362FE19E">
      <w:pPr>
        <w:adjustRightInd w:val="0"/>
        <w:snapToGrid w:val="0"/>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1、本项目不接受任何有选择的报价。</w:t>
      </w:r>
    </w:p>
    <w:p w14:paraId="070B5392">
      <w:pPr>
        <w:adjustRightInd w:val="0"/>
        <w:snapToGrid w:val="0"/>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2、投标报价均以人民币为报价的货币单位。</w:t>
      </w:r>
    </w:p>
    <w:p w14:paraId="25E31342">
      <w:pPr>
        <w:adjustRightInd w:val="0"/>
        <w:snapToGrid w:val="0"/>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3、报价表必须加盖投标人公章且必须经法定代表人或被委托授权人签署。</w:t>
      </w:r>
    </w:p>
    <w:p w14:paraId="0C8684DC">
      <w:pPr>
        <w:adjustRightInd w:val="0"/>
        <w:snapToGrid w:val="0"/>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4、报价出现前后不一致的，按照下列规定修正：</w:t>
      </w:r>
    </w:p>
    <w:p w14:paraId="06A3293A">
      <w:pPr>
        <w:adjustRightInd w:val="0"/>
        <w:snapToGrid w:val="0"/>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（1）投标文件中报价表（报价单）内容与投标文件技术响应中内容明细不一致的，以报价表（报价单）为准；</w:t>
      </w:r>
    </w:p>
    <w:p w14:paraId="62FFAF7A">
      <w:pPr>
        <w:adjustRightInd w:val="0"/>
        <w:snapToGrid w:val="0"/>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（2）投标文件中涉及大写金额和小写金额不一致的，以大写金额为准；</w:t>
      </w:r>
    </w:p>
    <w:p w14:paraId="62B356D5">
      <w:pPr>
        <w:adjustRightInd w:val="0"/>
        <w:snapToGrid w:val="0"/>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（3）单价金额小数点或者百分比有明显错位的，以报价表（报价单）的总价为准，</w:t>
      </w:r>
    </w:p>
    <w:p w14:paraId="4C12C44D">
      <w:pPr>
        <w:adjustRightInd w:val="0"/>
        <w:snapToGrid w:val="0"/>
        <w:spacing w:line="44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并修改单价；</w:t>
      </w:r>
    </w:p>
    <w:p w14:paraId="343EFF9D">
      <w:pPr>
        <w:adjustRightInd w:val="0"/>
        <w:snapToGrid w:val="0"/>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（4）总价金额与按单价汇总金额不一致的，以单价金额计算结果为准。</w:t>
      </w:r>
    </w:p>
    <w:p w14:paraId="69260562">
      <w:pPr>
        <w:adjustRightInd w:val="0"/>
        <w:snapToGrid w:val="0"/>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同时出现两种以上不一致的，按照前款规定的顺序修正。修正后的报价应当由投标人的法定代表人或其授权的代表签字确认后产生约束力，投标人不确认的，其投标无效。</w:t>
      </w:r>
    </w:p>
    <w:p w14:paraId="2CFA021F">
      <w:pPr>
        <w:spacing w:line="400" w:lineRule="exact"/>
        <w:ind w:firstLine="420" w:firstLineChars="200"/>
        <w:rPr>
          <w:rFonts w:asciiTheme="minorEastAsia" w:hAnsiTheme="minorEastAsia" w:eastAsiaTheme="minorEastAsia" w:cstheme="minorEastAsia"/>
          <w:b/>
          <w:bCs/>
          <w:kern w:val="0"/>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5、</w:t>
      </w:r>
      <w:r>
        <w:rPr>
          <w:rFonts w:hint="eastAsia" w:asciiTheme="minorEastAsia" w:hAnsiTheme="minorEastAsia" w:eastAsiaTheme="minorEastAsia" w:cstheme="minorEastAsia"/>
          <w:snapToGrid w:val="0"/>
          <w:color w:val="000000"/>
          <w:kern w:val="0"/>
        </w:rPr>
        <w:t>投标人应根据招标人提供的项目需求，结合企业实际情况进行报价。投标人任何漏项、漏报、少报、错报所产生的后果，均由投标人承担责任。报价在合同有效期内（含质保期）不作调整。在合同实施期间不因市场价格浮动因素或其他政策性因素调整，投标人报价时充分考虑风险因素。</w:t>
      </w:r>
      <w:r>
        <w:rPr>
          <w:rFonts w:hint="eastAsia" w:asciiTheme="minorEastAsia" w:hAnsiTheme="minorEastAsia" w:eastAsiaTheme="minorEastAsia" w:cstheme="minorEastAsia"/>
          <w:snapToGrid w:val="0"/>
          <w:color w:val="000000"/>
          <w:kern w:val="0"/>
          <w:lang w:val="en-US" w:eastAsia="zh-CN"/>
        </w:rPr>
        <w:t xml:space="preserve">    </w:t>
      </w:r>
      <w:r>
        <w:rPr>
          <w:rFonts w:hint="eastAsia" w:asciiTheme="minorEastAsia" w:hAnsiTheme="minorEastAsia" w:eastAsiaTheme="minorEastAsia" w:cstheme="minorEastAsia"/>
          <w:b/>
          <w:bCs/>
          <w:kern w:val="0"/>
        </w:rPr>
        <w:t>投标报价为响应及完成项目所需的全部费用，包含但不限于：卖方自制的或外购的全部设备、材料的价格，随货物提供的备品备件及专用工具的价格），包括设备成本（含备品备件费）、包装费、装卸费、运输费、劳务费、供销部门手续费、环保费、安装部件费、安装调试费、检验和试验费、保险、利润、税金（也含关税、增值税）、人员培训和质量保证（修）等售后服务费、政策性文件规定及合同包含的所有风险、责任等各项应有费用；该合同价格在合同实施期间不因市场变化因素而变动。</w:t>
      </w:r>
    </w:p>
    <w:p w14:paraId="3F48D02E">
      <w:pPr>
        <w:spacing w:line="440" w:lineRule="exact"/>
        <w:ind w:firstLine="420" w:firstLineChars="200"/>
        <w:rPr>
          <w:rFonts w:asciiTheme="minorEastAsia" w:hAnsiTheme="minorEastAsia" w:eastAsiaTheme="minorEastAsia" w:cstheme="minorEastAsia"/>
          <w:b/>
          <w:bCs/>
          <w:kern w:val="0"/>
        </w:rPr>
      </w:pPr>
      <w:r>
        <w:rPr>
          <w:rFonts w:hint="eastAsia" w:asciiTheme="minorEastAsia" w:hAnsiTheme="minorEastAsia" w:eastAsiaTheme="minorEastAsia" w:cstheme="minorEastAsia"/>
        </w:rPr>
        <w:t>6、报价以人民币计算，</w:t>
      </w:r>
      <w:r>
        <w:rPr>
          <w:rFonts w:hint="eastAsia" w:asciiTheme="minorEastAsia" w:hAnsiTheme="minorEastAsia" w:eastAsiaTheme="minorEastAsia" w:cstheme="minorEastAsia"/>
          <w:kern w:val="0"/>
        </w:rPr>
        <w:t>投标报价为含税报价，开据的票据为可抵扣的</w:t>
      </w:r>
      <w:r>
        <w:rPr>
          <w:rFonts w:hint="eastAsia" w:asciiTheme="minorEastAsia" w:hAnsiTheme="minorEastAsia" w:eastAsiaTheme="minorEastAsia" w:cstheme="minorEastAsia"/>
          <w:b/>
          <w:bCs/>
          <w:kern w:val="0"/>
        </w:rPr>
        <w:t>增值税专用发票。</w:t>
      </w:r>
    </w:p>
    <w:p w14:paraId="31BA3DC2">
      <w:pPr>
        <w:adjustRightInd w:val="0"/>
        <w:snapToGrid w:val="0"/>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7、本次招标设最高限价，低于最高限价的为有效报价，否则为废标。</w:t>
      </w:r>
    </w:p>
    <w:p w14:paraId="19D18848">
      <w:pPr>
        <w:adjustRightInd w:val="0"/>
        <w:snapToGrid w:val="0"/>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8、本次招标项目商务报价仅为一次报定商务价格，一旦中标即为成交价。</w:t>
      </w:r>
    </w:p>
    <w:p w14:paraId="7B95BEAB">
      <w:pPr>
        <w:adjustRightInd w:val="0"/>
        <w:snapToGrid w:val="0"/>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9、投标人在投标报价中未列入项目的价款，将被视为已包含在其他项目中；投标人明示未列入的报价项目，将被视为主动让利或优惠，一旦中标将来不得以此为由主张任何补偿或索赔。</w:t>
      </w:r>
    </w:p>
    <w:p w14:paraId="73C09934">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（四）投标担保</w:t>
      </w:r>
    </w:p>
    <w:p w14:paraId="7B069DC3">
      <w:pPr>
        <w:adjustRightInd w:val="0"/>
        <w:snapToGrid w:val="0"/>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1、投标人在递交投标文件的同时，应按规定的金额、形式递交投标保证金，并作为其投标文件的组成部分。</w:t>
      </w:r>
    </w:p>
    <w:p w14:paraId="0E3EF029">
      <w:pPr>
        <w:adjustRightInd w:val="0"/>
        <w:snapToGrid w:val="0"/>
        <w:spacing w:line="440" w:lineRule="exact"/>
        <w:ind w:firstLine="422" w:firstLineChars="200"/>
        <w:rPr>
          <w:rFonts w:asciiTheme="minorEastAsia" w:hAnsiTheme="minorEastAsia" w:eastAsiaTheme="minorEastAsia" w:cstheme="minorEastAsia"/>
          <w:b/>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14:textFill>
            <w14:solidFill>
              <w14:schemeClr w14:val="tx1">
                <w14:lumMod w14:val="95000"/>
                <w14:lumOff w14:val="5000"/>
              </w14:schemeClr>
            </w14:solidFill>
          </w14:textFill>
        </w:rPr>
        <w:t>2、本项目投标保证金数额</w:t>
      </w:r>
      <w:r>
        <w:rPr>
          <w:rFonts w:hint="eastAsia" w:asciiTheme="minorEastAsia" w:hAnsiTheme="minorEastAsia" w:eastAsiaTheme="minorEastAsia" w:cstheme="minorEastAsia"/>
          <w:b/>
          <w:color w:val="0D0D0D" w:themeColor="text1" w:themeTint="F2"/>
          <w:highlight w:val="none"/>
          <w14:textFill>
            <w14:solidFill>
              <w14:schemeClr w14:val="tx1">
                <w14:lumMod w14:val="95000"/>
                <w14:lumOff w14:val="5000"/>
              </w14:schemeClr>
            </w14:solidFill>
          </w14:textFill>
        </w:rPr>
        <w:t>为</w:t>
      </w:r>
      <w:r>
        <w:rPr>
          <w:rFonts w:hint="eastAsia" w:asciiTheme="minorEastAsia" w:hAnsiTheme="minorEastAsia" w:eastAsiaTheme="minorEastAsia" w:cstheme="minorEastAsia"/>
          <w:b/>
          <w:color w:val="0D0D0D" w:themeColor="text1" w:themeTint="F2"/>
          <w:highlight w:val="none"/>
          <w:u w:val="single"/>
          <w:lang w:val="en-US" w:eastAsia="zh-CN"/>
          <w14:textFill>
            <w14:solidFill>
              <w14:schemeClr w14:val="tx1">
                <w14:lumMod w14:val="95000"/>
                <w14:lumOff w14:val="5000"/>
              </w14:schemeClr>
            </w14:solidFill>
          </w14:textFill>
        </w:rPr>
        <w:t>6000</w:t>
      </w:r>
      <w:r>
        <w:rPr>
          <w:rFonts w:hint="eastAsia" w:asciiTheme="minorEastAsia" w:hAnsiTheme="minorEastAsia" w:eastAsiaTheme="minorEastAsia" w:cstheme="minorEastAsia"/>
          <w:b/>
          <w:color w:val="0D0D0D" w:themeColor="text1" w:themeTint="F2"/>
          <w:highlight w:val="none"/>
          <w14:textFill>
            <w14:solidFill>
              <w14:schemeClr w14:val="tx1">
                <w14:lumMod w14:val="95000"/>
                <w14:lumOff w14:val="5000"/>
              </w14:schemeClr>
            </w14:solidFill>
          </w14:textFill>
        </w:rPr>
        <w:t>元整（现金），未按</w:t>
      </w:r>
      <w:r>
        <w:rPr>
          <w:rFonts w:hint="eastAsia" w:asciiTheme="minorEastAsia" w:hAnsiTheme="minorEastAsia" w:eastAsiaTheme="minorEastAsia" w:cstheme="minorEastAsia"/>
          <w:b/>
          <w:color w:val="0D0D0D" w:themeColor="text1" w:themeTint="F2"/>
          <w14:textFill>
            <w14:solidFill>
              <w14:schemeClr w14:val="tx1">
                <w14:lumMod w14:val="95000"/>
                <w14:lumOff w14:val="5000"/>
              </w14:schemeClr>
            </w14:solidFill>
          </w14:textFill>
        </w:rPr>
        <w:t>规定提交投标保证金的投标文件，招标人将按不符合性投标而予以拒绝。</w:t>
      </w:r>
    </w:p>
    <w:p w14:paraId="3237DCBA">
      <w:pPr>
        <w:adjustRightInd w:val="0"/>
        <w:snapToGrid w:val="0"/>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3、保证金的退还：未中标的投标人的投标保证金将在开标结束后根据招投标实际情况予以退还（无息）；中标人的投标保证金，在签署合同后无息退还。</w:t>
      </w:r>
    </w:p>
    <w:p w14:paraId="59C00025">
      <w:pPr>
        <w:spacing w:line="440" w:lineRule="exact"/>
        <w:ind w:firstLine="525"/>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snapToGrid w:val="0"/>
          <w:color w:val="0D0D0D" w:themeColor="text1" w:themeTint="F2"/>
          <w:kern w:val="0"/>
          <w14:textFill>
            <w14:solidFill>
              <w14:schemeClr w14:val="tx1">
                <w14:lumMod w14:val="95000"/>
                <w14:lumOff w14:val="5000"/>
              </w14:schemeClr>
            </w14:solidFill>
          </w14:textFill>
        </w:rPr>
        <w:t>4、投标人出现下列情况，经评标委员会核实后，招标人有权取消其中标资格，并没收其投标保证金。</w:t>
      </w:r>
    </w:p>
    <w:p w14:paraId="2805786C">
      <w:pPr>
        <w:widowControl/>
        <w:tabs>
          <w:tab w:val="left" w:pos="0"/>
          <w:tab w:val="left" w:pos="993"/>
          <w:tab w:val="left" w:pos="1134"/>
        </w:tabs>
        <w:adjustRightInd w:val="0"/>
        <w:snapToGrid w:val="0"/>
        <w:spacing w:line="440" w:lineRule="exact"/>
        <w:ind w:firstLine="420" w:firstLineChars="200"/>
        <w:jc w:val="left"/>
        <w:rPr>
          <w:rFonts w:asciiTheme="minorEastAsia" w:hAnsiTheme="minorEastAsia" w:eastAsiaTheme="minorEastAsia" w:cstheme="minorEastAsia"/>
          <w:snapToGrid w:val="0"/>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snapToGrid w:val="0"/>
          <w:color w:val="0D0D0D" w:themeColor="text1" w:themeTint="F2"/>
          <w:kern w:val="0"/>
          <w14:textFill>
            <w14:solidFill>
              <w14:schemeClr w14:val="tx1">
                <w14:lumMod w14:val="95000"/>
                <w14:lumOff w14:val="5000"/>
              </w14:schemeClr>
            </w14:solidFill>
          </w14:textFill>
        </w:rPr>
        <w:t>（1）投标人在投标有效期内撤回其投标文件；</w:t>
      </w:r>
    </w:p>
    <w:p w14:paraId="261458C5">
      <w:pPr>
        <w:widowControl/>
        <w:tabs>
          <w:tab w:val="left" w:pos="0"/>
          <w:tab w:val="left" w:pos="993"/>
          <w:tab w:val="left" w:pos="1134"/>
        </w:tabs>
        <w:adjustRightInd w:val="0"/>
        <w:snapToGrid w:val="0"/>
        <w:spacing w:line="440" w:lineRule="exact"/>
        <w:ind w:firstLine="420" w:firstLineChars="200"/>
        <w:jc w:val="left"/>
        <w:rPr>
          <w:rFonts w:asciiTheme="minorEastAsia" w:hAnsiTheme="minorEastAsia" w:eastAsiaTheme="minorEastAsia" w:cstheme="minorEastAsia"/>
          <w:snapToGrid w:val="0"/>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snapToGrid w:val="0"/>
          <w:color w:val="0D0D0D" w:themeColor="text1" w:themeTint="F2"/>
          <w:kern w:val="0"/>
          <w14:textFill>
            <w14:solidFill>
              <w14:schemeClr w14:val="tx1">
                <w14:lumMod w14:val="95000"/>
                <w14:lumOff w14:val="5000"/>
              </w14:schemeClr>
            </w14:solidFill>
          </w14:textFill>
        </w:rPr>
        <w:t>（2）中标人无正当理由拒绝签订合同；</w:t>
      </w:r>
    </w:p>
    <w:p w14:paraId="11491030">
      <w:pPr>
        <w:widowControl/>
        <w:tabs>
          <w:tab w:val="left" w:pos="0"/>
          <w:tab w:val="left" w:pos="993"/>
          <w:tab w:val="left" w:pos="1134"/>
        </w:tabs>
        <w:adjustRightInd w:val="0"/>
        <w:snapToGrid w:val="0"/>
        <w:spacing w:line="440" w:lineRule="exact"/>
        <w:ind w:firstLine="420" w:firstLineChars="200"/>
        <w:jc w:val="left"/>
        <w:rPr>
          <w:rFonts w:asciiTheme="minorEastAsia" w:hAnsiTheme="minorEastAsia" w:eastAsiaTheme="minorEastAsia" w:cstheme="minorEastAsia"/>
          <w:snapToGrid w:val="0"/>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snapToGrid w:val="0"/>
          <w:color w:val="0D0D0D" w:themeColor="text1" w:themeTint="F2"/>
          <w:kern w:val="0"/>
          <w14:textFill>
            <w14:solidFill>
              <w14:schemeClr w14:val="tx1">
                <w14:lumMod w14:val="95000"/>
                <w14:lumOff w14:val="5000"/>
              </w14:schemeClr>
            </w14:solidFill>
          </w14:textFill>
        </w:rPr>
        <w:t>（3）中标人未能在招标文件规定的期限内提交履约担保。</w:t>
      </w:r>
    </w:p>
    <w:p w14:paraId="09B19441">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（五）投标文件的份数和签署</w:t>
      </w:r>
    </w:p>
    <w:p w14:paraId="20C62B0F">
      <w:pPr>
        <w:spacing w:line="440" w:lineRule="exact"/>
        <w:ind w:firstLine="420" w:firstLineChars="200"/>
        <w:jc w:val="left"/>
        <w:rPr>
          <w:rFonts w:asciiTheme="minorEastAsia" w:hAnsiTheme="minorEastAsia" w:eastAsiaTheme="minorEastAsia" w:cstheme="minorEastAsia"/>
          <w:b/>
          <w:color w:val="0D0D0D" w:themeColor="text1" w:themeTint="F2"/>
          <w:u w:val="singl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1、投标人应按招标文件的规定，向招标单位提交</w:t>
      </w:r>
      <w:r>
        <w:rPr>
          <w:rFonts w:hint="eastAsia" w:asciiTheme="minorEastAsia" w:hAnsiTheme="minorEastAsia" w:eastAsiaTheme="minorEastAsia" w:cstheme="minorEastAsia"/>
          <w:b/>
          <w:color w:val="0D0D0D" w:themeColor="text1" w:themeTint="F2"/>
          <w:u w:val="single"/>
          <w14:textFill>
            <w14:solidFill>
              <w14:schemeClr w14:val="tx1">
                <w14:lumMod w14:val="95000"/>
                <w14:lumOff w14:val="5000"/>
              </w14:schemeClr>
            </w14:solidFill>
          </w14:textFill>
        </w:rPr>
        <w:t>三份纸质投标文件</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w:t>
      </w:r>
      <w:r>
        <w:rPr>
          <w:rFonts w:hint="eastAsia" w:asciiTheme="minorEastAsia" w:hAnsiTheme="minorEastAsia" w:eastAsiaTheme="minorEastAsia" w:cstheme="minorEastAsia"/>
          <w:b/>
          <w:bCs/>
          <w:color w:val="0D0D0D" w:themeColor="text1" w:themeTint="F2"/>
          <w:u w:val="single"/>
          <w14:textFill>
            <w14:solidFill>
              <w14:schemeClr w14:val="tx1">
                <w14:lumMod w14:val="95000"/>
                <w14:lumOff w14:val="5000"/>
              </w14:schemeClr>
            </w14:solidFill>
          </w14:textFill>
        </w:rPr>
        <w:t>包括资格审查文件、价格标文件</w:t>
      </w:r>
      <w:r>
        <w:rPr>
          <w:rFonts w:hint="eastAsia" w:asciiTheme="minorEastAsia" w:hAnsiTheme="minorEastAsia" w:eastAsiaTheme="minorEastAsia" w:cstheme="minorEastAsia"/>
          <w:color w:val="0D0D0D" w:themeColor="text1" w:themeTint="F2"/>
          <w:u w:val="singl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，其中正本一份、副本二份，并在（</w:t>
      </w:r>
      <w:r>
        <w:rPr>
          <w:rFonts w:hint="eastAsia" w:asciiTheme="minorEastAsia" w:hAnsiTheme="minorEastAsia" w:eastAsiaTheme="minorEastAsia" w:cstheme="minorEastAsia"/>
          <w:b/>
          <w:bCs/>
          <w:color w:val="0D0D0D" w:themeColor="text1" w:themeTint="F2"/>
          <w:u w:val="single"/>
          <w14:textFill>
            <w14:solidFill>
              <w14:schemeClr w14:val="tx1">
                <w14:lumMod w14:val="95000"/>
                <w14:lumOff w14:val="5000"/>
              </w14:schemeClr>
            </w14:solidFill>
          </w14:textFill>
        </w:rPr>
        <w:t>资格审查文件、价格标文件</w:t>
      </w:r>
      <w:r>
        <w:rPr>
          <w:rFonts w:hint="eastAsia" w:asciiTheme="minorEastAsia" w:hAnsiTheme="minorEastAsia" w:eastAsiaTheme="minorEastAsia" w:cstheme="minorEastAsia"/>
          <w:color w:val="0D0D0D" w:themeColor="text1" w:themeTint="F2"/>
          <w:u w:val="singl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封面上注明“正本”或“副本”字样，当正本与副本不一致时，以正本为准；</w:t>
      </w:r>
      <w:r>
        <w:rPr>
          <w:rFonts w:hint="eastAsia" w:asciiTheme="minorEastAsia" w:hAnsiTheme="minorEastAsia" w:eastAsiaTheme="minorEastAsia" w:cstheme="minorEastAsia"/>
          <w:b/>
          <w:color w:val="0D0D0D" w:themeColor="text1" w:themeTint="F2"/>
          <w:u w:val="single"/>
          <w14:textFill>
            <w14:solidFill>
              <w14:schemeClr w14:val="tx1">
                <w14:lumMod w14:val="95000"/>
                <w14:lumOff w14:val="5000"/>
              </w14:schemeClr>
            </w14:solidFill>
          </w14:textFill>
        </w:rPr>
        <w:t>（</w:t>
      </w:r>
      <w:r>
        <w:rPr>
          <w:rFonts w:hint="eastAsia" w:asciiTheme="minorEastAsia" w:hAnsiTheme="minorEastAsia" w:eastAsiaTheme="minorEastAsia" w:cstheme="minorEastAsia"/>
          <w:b/>
          <w:bCs/>
          <w:color w:val="0D0D0D" w:themeColor="text1" w:themeTint="F2"/>
          <w:u w:val="single"/>
          <w14:textFill>
            <w14:solidFill>
              <w14:schemeClr w14:val="tx1">
                <w14:lumMod w14:val="95000"/>
                <w14:lumOff w14:val="5000"/>
              </w14:schemeClr>
            </w14:solidFill>
          </w14:textFill>
        </w:rPr>
        <w:t>资格审查文件、价格标文件</w:t>
      </w:r>
      <w:r>
        <w:rPr>
          <w:rFonts w:hint="eastAsia" w:asciiTheme="minorEastAsia" w:hAnsiTheme="minorEastAsia" w:eastAsiaTheme="minorEastAsia" w:cstheme="minorEastAsia"/>
          <w:b/>
          <w:color w:val="0D0D0D" w:themeColor="text1" w:themeTint="F2"/>
          <w:u w:val="single"/>
          <w14:textFill>
            <w14:solidFill>
              <w14:schemeClr w14:val="tx1">
                <w14:lumMod w14:val="95000"/>
                <w14:lumOff w14:val="5000"/>
              </w14:schemeClr>
            </w14:solidFill>
          </w14:textFill>
        </w:rPr>
        <w:t>）封面上还应注明项目名称并加盖投标单位公章、法定代表人签字或印鉴或委托代理人签字。</w:t>
      </w:r>
    </w:p>
    <w:p w14:paraId="7506C43E">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2、投标文件正副本均应使用A4纸统一装订，且均应使用不能擦去的墨水书写或打印，按要求在投标文件上加盖投标人单位公章并由法定代表人签字或盖章或由委托代理人签字。</w:t>
      </w:r>
    </w:p>
    <w:p w14:paraId="69C91682">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3、全套投标文件应无修改和行间插字，除非这些修改是根据“招标文件修改通知”的要求进行的，或者是投标人明显笔误必须修改的。不论何种原因造成涂改、插字和删除，都应由投标文件签署人加盖印鉴。</w:t>
      </w:r>
    </w:p>
    <w:p w14:paraId="22FB6985">
      <w:pPr>
        <w:spacing w:line="440" w:lineRule="exact"/>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四、投标文件的递交</w:t>
      </w:r>
    </w:p>
    <w:p w14:paraId="0783C328">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（一）投标文件的密封与标志</w:t>
      </w:r>
    </w:p>
    <w:p w14:paraId="3EA9C17C">
      <w:pPr>
        <w:spacing w:line="440" w:lineRule="exact"/>
        <w:ind w:firstLine="422"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u w:val="single"/>
          <w14:textFill>
            <w14:solidFill>
              <w14:schemeClr w14:val="tx1">
                <w14:lumMod w14:val="95000"/>
                <w14:lumOff w14:val="5000"/>
              </w14:schemeClr>
            </w14:solidFill>
          </w14:textFill>
        </w:rPr>
        <w:t>投标文件中的资格审查文件、价格标文件两部分必须分开单独密封；“正本”或“副本”可分开密封，也可统一密封；所有封袋上</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都应写明项目名称、投标单位名称，</w:t>
      </w:r>
      <w:r>
        <w:rPr>
          <w:rFonts w:hint="eastAsia" w:asciiTheme="minorEastAsia" w:hAnsiTheme="minorEastAsia" w:eastAsiaTheme="minorEastAsia" w:cstheme="minorEastAsia"/>
          <w:b/>
          <w:bCs/>
          <w:color w:val="0D0D0D" w:themeColor="text1" w:themeTint="F2"/>
          <w:u w:val="single"/>
          <w14:textFill>
            <w14:solidFill>
              <w14:schemeClr w14:val="tx1">
                <w14:lumMod w14:val="95000"/>
                <w14:lumOff w14:val="5000"/>
              </w14:schemeClr>
            </w14:solidFill>
          </w14:textFill>
        </w:rPr>
        <w:t>并注明“资格审查文件”或 “价格标文件”</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并加盖投标单位公章、法定代表人签字或印鉴或委托代理人签字。</w:t>
      </w:r>
    </w:p>
    <w:p w14:paraId="15883B70">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（二）投标截止期</w:t>
      </w:r>
    </w:p>
    <w:p w14:paraId="1AC0D904">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1、投标人应在投标须知前附表中规定的投标截止时间之前将投标文件递交到指定地点并在登记表上签字。招标人在接到投标文件时将投标文件注明收到的日期和时间。</w:t>
      </w:r>
    </w:p>
    <w:p w14:paraId="6C5B9569">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招标人可以按本文件第（七）条规定以修改通知的方式，酌情延长递交投标文件的截止日期。在上述情况下，招标人与投标人以前的投标截止期方面的全部权力、责任和义务，将适用于延长后新的投标截止期。</w:t>
      </w:r>
    </w:p>
    <w:p w14:paraId="1E42822C">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3、超过投标截止期送达的投标文件将被拒绝并原封退给投标人。</w:t>
      </w:r>
    </w:p>
    <w:p w14:paraId="072C66F9">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4、提交投标文件的投标人少于三个的，招标人将依法重新招标。</w:t>
      </w:r>
    </w:p>
    <w:p w14:paraId="743D23DD">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（三）投标文件的修改与撤回</w:t>
      </w:r>
    </w:p>
    <w:p w14:paraId="716508A1">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1、投标人可以在递交投标文件以后，在规定的投标截止期之前，以书面形式向招标人递交修改或撤回其投标文件的通知。在投标截止期以后，不得更改投标文件。</w:t>
      </w:r>
    </w:p>
    <w:p w14:paraId="4970C452">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2、投标人的修改或撤回通知，应按本文件第一、二条规定的要求编制、密封、标志和递交（密封袋上应标明“修改”或“撤回”字样）。</w:t>
      </w:r>
    </w:p>
    <w:p w14:paraId="2DD593F4">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3、投标截止以后，在投标有效期内，投标人不得撤回投标文件，否则其投标保证金将被没收。</w:t>
      </w:r>
    </w:p>
    <w:p w14:paraId="74477DBE">
      <w:pPr>
        <w:spacing w:line="440" w:lineRule="exact"/>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五、开标、评标、定标</w:t>
      </w:r>
    </w:p>
    <w:p w14:paraId="42A84773">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（一）开标</w:t>
      </w:r>
    </w:p>
    <w:p w14:paraId="772E2D34">
      <w:pPr>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1、开标由招标人或招标代理机构主持，邀请所有投标人参加。</w:t>
      </w:r>
    </w:p>
    <w:p w14:paraId="2466B926">
      <w:pPr>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2、法人代表或授权委托人须在本招标文件规定的时间、地点准时参加开标会，并出示身份证原件后签名以示出席，否则，其投标将被拒绝。</w:t>
      </w:r>
    </w:p>
    <w:p w14:paraId="6E988254">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3、开标时，由投标人推选的代表或招标人委托的监督机构检查投标文件的密封情况，经确认无误后，由工作人员当众拆封，宣读投标人名称、投标价和其他招标人认为有必要的内容。投标文件未按照招标文件的要求予以密封的，将作为无效投标文件，退回投标人。</w:t>
      </w:r>
    </w:p>
    <w:p w14:paraId="19B92964">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4、招标人在招标文件要求提交投标文件的截止时间前收到的投标文件，开标时都将当众予以拆封、宣读、记录。</w:t>
      </w:r>
    </w:p>
    <w:p w14:paraId="50EB16F0">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5、在开标时，投标文件出现下列情况之一的，将作为无效投标文件，不得进入评标：</w:t>
      </w:r>
    </w:p>
    <w:p w14:paraId="12F5D873">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（1）投标文件未按照招标文件要求予以密封和标志的；</w:t>
      </w:r>
    </w:p>
    <w:p w14:paraId="75F58840">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（2）投标文件中的投标书未加盖投标人的企业公章及企业法定代表人或授权委托人签字的，或者企业法定代表人的委托代理人没有合法、有效的委托书（原件）的；</w:t>
      </w:r>
    </w:p>
    <w:p w14:paraId="3DD0278E">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（3）投标文件的关键内容字迹模糊、无法辨认的；</w:t>
      </w:r>
    </w:p>
    <w:p w14:paraId="73BB05CD">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（4）投标人未按照招标文件的要求提供投标保证金的；</w:t>
      </w:r>
    </w:p>
    <w:p w14:paraId="623EDF43">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（5）投标截止时间以后送达的投标文件。</w:t>
      </w:r>
    </w:p>
    <w:p w14:paraId="6ADEB830">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（二）评标</w:t>
      </w:r>
    </w:p>
    <w:p w14:paraId="47503615">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1、评标工作</w:t>
      </w:r>
    </w:p>
    <w:p w14:paraId="0BA67144">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评标工作由招标人依法组建的评标委员会组织进行。</w:t>
      </w:r>
    </w:p>
    <w:p w14:paraId="7EBFB55B">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2、评标标准与方法：</w:t>
      </w:r>
      <w:r>
        <w:rPr>
          <w:rFonts w:hint="eastAsia" w:asciiTheme="minorEastAsia" w:hAnsiTheme="minorEastAsia" w:eastAsiaTheme="minorEastAsia" w:cstheme="minorEastAsia"/>
          <w:b/>
        </w:rPr>
        <w:t>最低</w:t>
      </w:r>
      <w:r>
        <w:rPr>
          <w:rFonts w:hint="eastAsia" w:asciiTheme="minorEastAsia" w:hAnsiTheme="minorEastAsia" w:eastAsiaTheme="minorEastAsia" w:cstheme="minorEastAsia"/>
          <w:b/>
          <w:lang w:eastAsia="zh-CN"/>
        </w:rPr>
        <w:t>评</w:t>
      </w:r>
      <w:r>
        <w:rPr>
          <w:rFonts w:hint="eastAsia" w:asciiTheme="minorEastAsia" w:hAnsiTheme="minorEastAsia" w:eastAsiaTheme="minorEastAsia" w:cstheme="minorEastAsia"/>
          <w:b/>
        </w:rPr>
        <w:t>标价法</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w:t>
      </w:r>
    </w:p>
    <w:p w14:paraId="38DC5570">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（三）投标文件的澄清</w:t>
      </w:r>
    </w:p>
    <w:p w14:paraId="659A28CE">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为了有助于投标文件的审查、评价和比较，评标委员会可以书面方式要求投标人对投标文件中含义的不明确、以及同类问题表述不一致或者有明显文字和计算错误的内容作必要的澄清、说明或者补正。投标人的澄清、说明或者补正应以书面方式进行，并不得超出投标文件的范围或者改变投标文件的实质性内容。</w:t>
      </w:r>
    </w:p>
    <w:p w14:paraId="285593EB">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2、投标文件中的大写金额和小写金额不一致时，以大写金额为准；总价金额与单价金额不一致时，以单价金额为准，但单价金额小数点有明显错误的除外。</w:t>
      </w:r>
    </w:p>
    <w:p w14:paraId="3DFE772D">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（四）在评标过程中，评标委员会若发现投标人以他人名义投标、串通投标、以行贿手段谋取中标或者以其他弄虚作假方式投标的，该投标人的投标将作无效标处理。</w:t>
      </w:r>
    </w:p>
    <w:p w14:paraId="3A3E94DF">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（五）投标人资格条件不符合国家有关规定和招标文件要求的，或者拒不按照要求对投标文件进行澄清、说明或补正的，评标委员会可以否决其投标。</w:t>
      </w:r>
    </w:p>
    <w:p w14:paraId="7C73649B">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（六）评标委员会将审查每一投标文件是否对招标文件提出的所有实质性要求和条件做出响应。未能在实质上响应的投标，将作无效标处理。</w:t>
      </w:r>
    </w:p>
    <w:p w14:paraId="25802CC3">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（七）投标文件有下列情形之一的，属于重大偏差，视为未能对招标文件做出实质性响应，并按前条规定作无效标处理：</w:t>
      </w:r>
    </w:p>
    <w:p w14:paraId="3A606757">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1、投标文件没有投标单位法定代表人或委托代理人签字或加盖印鉴；</w:t>
      </w:r>
    </w:p>
    <w:p w14:paraId="0A887CBE">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2、投标文件载明的招标项目完成期限超过招标文件规定的期限；</w:t>
      </w:r>
    </w:p>
    <w:p w14:paraId="11979A76">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3、明显不符合技术规格、技术标准的要求；</w:t>
      </w:r>
    </w:p>
    <w:p w14:paraId="3A99CBD6">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4、投标文件载明的检验标准和方法等不符合招标文件的要求；</w:t>
      </w:r>
    </w:p>
    <w:p w14:paraId="63676447">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5、投标文件附有招标人不能接受的条件；</w:t>
      </w:r>
    </w:p>
    <w:p w14:paraId="0FE2BB01">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6、不符合招标文件中规定的其他实质性要求；</w:t>
      </w:r>
    </w:p>
    <w:p w14:paraId="26759AC5">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7、投标报价超过招标控制价的。</w:t>
      </w:r>
    </w:p>
    <w:p w14:paraId="69CD303E">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评标委员会根据规定否决不合格投标或界定为废标后，因有效投标不足三个使得投标明显缺乏竞争的，评标委员会可以否决全部投标。所有投标被否决的，招标人依法重新招标。</w:t>
      </w:r>
    </w:p>
    <w:p w14:paraId="7EECC82D">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八）评标和定标将在投标有效期结束日前完成。不能在投标有效期结束日前完成评标和定标的，招标人将通知所有投标人延长投标有效期。拒绝延长投标有效期的投标人有权收回投标保证金。同意延长投标有效期的投标人应当相应延长其投标担保的有效期，但不得修改投标文件的实质性内容。因延长投标有效期造成投标人损失的，招标人将给予补偿，但因不可抗力需延长投标有效期的除外。</w:t>
      </w:r>
    </w:p>
    <w:p w14:paraId="4CD772A1">
      <w:pPr>
        <w:spacing w:line="440" w:lineRule="exact"/>
        <w:ind w:left="-540" w:leftChars="-257" w:firstLine="474" w:firstLineChars="225"/>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六、授予合同</w:t>
      </w:r>
    </w:p>
    <w:p w14:paraId="46507965">
      <w:pPr>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（一）中标</w:t>
      </w:r>
    </w:p>
    <w:p w14:paraId="14739D9A">
      <w:pPr>
        <w:spacing w:line="440" w:lineRule="exact"/>
        <w:ind w:left="-61" w:leftChars="-29" w:firstLine="472" w:firstLineChars="225"/>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1、确定中标单位后，招标人向中标单位发出中标通知书，并同时将中标结果通知所有未中标的投标人，中标通知书将成为合同的组成部分。</w:t>
      </w:r>
    </w:p>
    <w:p w14:paraId="3C136F5A">
      <w:pPr>
        <w:spacing w:line="440" w:lineRule="exact"/>
        <w:ind w:left="-61" w:leftChars="-29" w:right="-334" w:rightChars="-159"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中标单位收到中标通知书后，应在中标通知书规定的时间内与招标人签订合同。中标人不按前规定与招标人订立合同的，投标保证金不予退还并取消中标资格，给招标人造成的损失超过投标保证金数额的，应当对超过部分予以赔偿。</w:t>
      </w:r>
    </w:p>
    <w:p w14:paraId="2056EEAE">
      <w:pPr>
        <w:snapToGrid w:val="0"/>
        <w:spacing w:line="440" w:lineRule="exact"/>
        <w:ind w:firstLine="422" w:firstLineChars="200"/>
        <w:contextualSpacing/>
        <w:outlineLvl w:val="1"/>
        <w:rPr>
          <w:rFonts w:asciiTheme="minorEastAsia" w:hAnsiTheme="minorEastAsia" w:eastAsiaTheme="minorEastAsia" w:cstheme="minorEastAsia"/>
          <w:b/>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14:textFill>
            <w14:solidFill>
              <w14:schemeClr w14:val="tx1">
                <w14:lumMod w14:val="95000"/>
                <w14:lumOff w14:val="5000"/>
              </w14:schemeClr>
            </w14:solidFill>
          </w14:textFill>
        </w:rPr>
        <w:t>（二）履约保证金</w:t>
      </w:r>
    </w:p>
    <w:p w14:paraId="12C653EF">
      <w:pPr>
        <w:snapToGrid w:val="0"/>
        <w:spacing w:line="440" w:lineRule="exact"/>
        <w:ind w:firstLine="420" w:firstLineChars="200"/>
        <w:rPr>
          <w:rFonts w:asciiTheme="minorEastAsia" w:hAnsiTheme="minorEastAsia" w:eastAsiaTheme="minorEastAsia" w:cstheme="minorEastAsia"/>
          <w:bCs/>
          <w:color w:val="0D0D0D" w:themeColor="text1" w:themeTint="F2"/>
          <w:lang w:val="zh-CN"/>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lang w:val="zh-CN"/>
          <w14:textFill>
            <w14:solidFill>
              <w14:schemeClr w14:val="tx1">
                <w14:lumMod w14:val="95000"/>
                <w14:lumOff w14:val="5000"/>
              </w14:schemeClr>
            </w14:solidFill>
          </w14:textFill>
        </w:rPr>
        <w:t>1、本项目中标后的履约</w:t>
      </w:r>
      <w:r>
        <w:rPr>
          <w:rFonts w:hint="eastAsia" w:asciiTheme="minorEastAsia" w:hAnsiTheme="minorEastAsia" w:eastAsiaTheme="minorEastAsia" w:cstheme="minorEastAsia"/>
          <w:bCs/>
          <w:color w:val="0D0D0D" w:themeColor="text1" w:themeTint="F2"/>
          <w14:textFill>
            <w14:solidFill>
              <w14:schemeClr w14:val="tx1">
                <w14:lumMod w14:val="95000"/>
                <w14:lumOff w14:val="5000"/>
              </w14:schemeClr>
            </w14:solidFill>
          </w14:textFill>
        </w:rPr>
        <w:t>保证金</w:t>
      </w:r>
      <w:r>
        <w:rPr>
          <w:rFonts w:hint="eastAsia" w:asciiTheme="minorEastAsia" w:hAnsiTheme="minorEastAsia" w:eastAsiaTheme="minorEastAsia" w:cstheme="minorEastAsia"/>
          <w:bCs/>
          <w:color w:val="0D0D0D" w:themeColor="text1" w:themeTint="F2"/>
          <w:lang w:val="zh-CN"/>
          <w14:textFill>
            <w14:solidFill>
              <w14:schemeClr w14:val="tx1">
                <w14:lumMod w14:val="95000"/>
                <w14:lumOff w14:val="5000"/>
              </w14:schemeClr>
            </w14:solidFill>
          </w14:textFill>
        </w:rPr>
        <w:t>为</w:t>
      </w:r>
      <w:r>
        <w:rPr>
          <w:rFonts w:hint="eastAsia" w:asciiTheme="minorEastAsia" w:hAnsiTheme="minorEastAsia" w:eastAsiaTheme="minorEastAsia" w:cstheme="minorEastAsia"/>
          <w:bCs/>
          <w:color w:val="0D0D0D" w:themeColor="text1" w:themeTint="F2"/>
          <w:u w:val="single"/>
          <w14:textFill>
            <w14:solidFill>
              <w14:schemeClr w14:val="tx1">
                <w14:lumMod w14:val="95000"/>
                <w14:lumOff w14:val="5000"/>
              </w14:schemeClr>
            </w14:solidFill>
          </w14:textFill>
        </w:rPr>
        <w:t>合同价款的10%</w:t>
      </w:r>
      <w:r>
        <w:rPr>
          <w:rFonts w:hint="eastAsia" w:asciiTheme="minorEastAsia" w:hAnsiTheme="minorEastAsia" w:eastAsiaTheme="minorEastAsia" w:cstheme="minorEastAsia"/>
          <w:bCs/>
          <w:color w:val="0D0D0D" w:themeColor="text1" w:themeTint="F2"/>
          <w:lang w:val="zh-CN"/>
          <w14:textFill>
            <w14:solidFill>
              <w14:schemeClr w14:val="tx1">
                <w14:lumMod w14:val="95000"/>
                <w14:lumOff w14:val="5000"/>
              </w14:schemeClr>
            </w14:solidFill>
          </w14:textFill>
        </w:rPr>
        <w:t>。</w:t>
      </w:r>
    </w:p>
    <w:p w14:paraId="68653B46">
      <w:pPr>
        <w:snapToGrid w:val="0"/>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lang w:val="zh-CN"/>
          <w14:textFill>
            <w14:solidFill>
              <w14:schemeClr w14:val="tx1">
                <w14:lumMod w14:val="95000"/>
                <w14:lumOff w14:val="5000"/>
              </w14:schemeClr>
            </w14:solidFill>
          </w14:textFill>
        </w:rPr>
        <w:t>2、在中标通知书发出签收后30日内，中标人凭“中标通知书”和已经汇至招标人账上的“履约保证金”凭证，与招标人签订合同，超期或未有协商，则视为自动放弃中标资格。</w:t>
      </w:r>
    </w:p>
    <w:p w14:paraId="6F18B495">
      <w:pPr>
        <w:snapToGrid w:val="0"/>
        <w:spacing w:line="440" w:lineRule="exact"/>
        <w:ind w:firstLine="420" w:firstLineChars="200"/>
        <w:rPr>
          <w:rFonts w:asciiTheme="minorEastAsia" w:hAnsiTheme="minorEastAsia" w:eastAsiaTheme="minorEastAsia" w:cstheme="minorEastAsia"/>
          <w:bCs/>
          <w:color w:val="0D0D0D" w:themeColor="text1" w:themeTint="F2"/>
          <w:lang w:val="zh-CN"/>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lang w:val="zh-CN"/>
          <w14:textFill>
            <w14:solidFill>
              <w14:schemeClr w14:val="tx1">
                <w14:lumMod w14:val="95000"/>
                <w14:lumOff w14:val="5000"/>
              </w14:schemeClr>
            </w14:solidFill>
          </w14:textFill>
        </w:rPr>
        <w:t>3、履约保证金的退还按合同条款。</w:t>
      </w:r>
    </w:p>
    <w:p w14:paraId="35E6234B">
      <w:pPr>
        <w:snapToGrid w:val="0"/>
        <w:spacing w:line="440" w:lineRule="exact"/>
        <w:ind w:firstLine="420" w:firstLineChars="200"/>
        <w:rPr>
          <w:rFonts w:asciiTheme="minorEastAsia" w:hAnsiTheme="minorEastAsia" w:eastAsiaTheme="minorEastAsia" w:cstheme="minorEastAsia"/>
          <w:bCs/>
          <w:color w:val="0D0D0D" w:themeColor="text1" w:themeTint="F2"/>
          <w:lang w:val="zh-CN"/>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lang w:val="zh-CN"/>
          <w14:textFill>
            <w14:solidFill>
              <w14:schemeClr w14:val="tx1">
                <w14:lumMod w14:val="95000"/>
                <w14:lumOff w14:val="5000"/>
              </w14:schemeClr>
            </w14:solidFill>
          </w14:textFill>
        </w:rPr>
        <w:t>4、由于中标人原因，在签订合同后出现不按合同履约的情况，招标人有权将履约保证金作为违约金，全额扣除并不予退还，同时招标人亦有权终止合同，中标人还须依法承担相应的赔偿责任。</w:t>
      </w:r>
    </w:p>
    <w:p w14:paraId="0334E522">
      <w:pPr>
        <w:snapToGrid w:val="0"/>
        <w:spacing w:line="440" w:lineRule="exact"/>
        <w:ind w:firstLine="420" w:firstLineChars="200"/>
        <w:rPr>
          <w:rFonts w:asciiTheme="minorEastAsia" w:hAnsiTheme="minorEastAsia" w:eastAsiaTheme="minorEastAsia" w:cstheme="minorEastAsia"/>
          <w:bCs/>
          <w:color w:val="0D0D0D" w:themeColor="text1" w:themeTint="F2"/>
          <w:lang w:val="zh-CN"/>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lang w:val="zh-CN"/>
          <w14:textFill>
            <w14:solidFill>
              <w14:schemeClr w14:val="tx1">
                <w14:lumMod w14:val="95000"/>
                <w14:lumOff w14:val="5000"/>
              </w14:schemeClr>
            </w14:solidFill>
          </w14:textFill>
        </w:rPr>
        <w:t>（三）合同签订</w:t>
      </w:r>
    </w:p>
    <w:p w14:paraId="0E03ACCB">
      <w:pPr>
        <w:snapToGrid w:val="0"/>
        <w:spacing w:line="440" w:lineRule="exact"/>
        <w:ind w:firstLine="420" w:firstLineChars="200"/>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lang w:val="zh-CN"/>
          <w14:textFill>
            <w14:solidFill>
              <w14:schemeClr w14:val="tx1">
                <w14:lumMod w14:val="95000"/>
                <w14:lumOff w14:val="5000"/>
              </w14:schemeClr>
            </w14:solidFill>
          </w14:textFill>
        </w:rPr>
        <w:t>招标人与中标人将根据《中华人民共和国民法典》的规定，依据中标通知书及投标文件、标准合同文本订立合同，招标人保留根据需要对合同文本进行进一步修改完善的权利，投标人必须对招标单位合同文本的修改完善认可。</w:t>
      </w:r>
    </w:p>
    <w:p w14:paraId="0E737533">
      <w:pPr>
        <w:spacing w:line="360" w:lineRule="auto"/>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p>
    <w:p w14:paraId="7A071A14">
      <w:pPr>
        <w:spacing w:line="360" w:lineRule="auto"/>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p>
    <w:p w14:paraId="2DE5551F">
      <w:pPr>
        <w:spacing w:line="360" w:lineRule="auto"/>
        <w:jc w:val="center"/>
        <w:rPr>
          <w:rFonts w:asciiTheme="minorEastAsia" w:hAnsiTheme="minorEastAsia" w:eastAsiaTheme="minorEastAsia" w:cstheme="minorEastAsia"/>
          <w:b/>
          <w:bCs/>
          <w:color w:val="0D0D0D" w:themeColor="text1" w:themeTint="F2"/>
          <w:sz w:val="28"/>
          <w:szCs w:val="28"/>
          <w14:textFill>
            <w14:solidFill>
              <w14:schemeClr w14:val="tx1">
                <w14:lumMod w14:val="95000"/>
                <w14:lumOff w14:val="5000"/>
              </w14:schemeClr>
            </w14:solidFill>
          </w14:textFill>
        </w:rPr>
      </w:pPr>
    </w:p>
    <w:p w14:paraId="77D4BCA9">
      <w:pPr>
        <w:spacing w:line="360" w:lineRule="auto"/>
        <w:jc w:val="center"/>
        <w:rPr>
          <w:rFonts w:asciiTheme="minorEastAsia" w:hAnsiTheme="minorEastAsia" w:eastAsiaTheme="minorEastAsia" w:cstheme="minorEastAsia"/>
          <w:b/>
          <w:bCs/>
          <w:color w:val="0D0D0D" w:themeColor="text1" w:themeTint="F2"/>
          <w:sz w:val="28"/>
          <w:szCs w:val="28"/>
          <w14:textFill>
            <w14:solidFill>
              <w14:schemeClr w14:val="tx1">
                <w14:lumMod w14:val="95000"/>
                <w14:lumOff w14:val="5000"/>
              </w14:schemeClr>
            </w14:solidFill>
          </w14:textFill>
        </w:rPr>
      </w:pPr>
    </w:p>
    <w:p w14:paraId="617FA297">
      <w:pPr>
        <w:spacing w:line="360" w:lineRule="auto"/>
        <w:jc w:val="center"/>
        <w:rPr>
          <w:rFonts w:asciiTheme="minorEastAsia" w:hAnsiTheme="minorEastAsia" w:eastAsiaTheme="minorEastAsia" w:cstheme="minorEastAsia"/>
          <w:b/>
          <w:bCs/>
          <w:color w:val="0D0D0D" w:themeColor="text1" w:themeTint="F2"/>
          <w:sz w:val="28"/>
          <w:szCs w:val="28"/>
          <w14:textFill>
            <w14:solidFill>
              <w14:schemeClr w14:val="tx1">
                <w14:lumMod w14:val="95000"/>
                <w14:lumOff w14:val="5000"/>
              </w14:schemeClr>
            </w14:solidFill>
          </w14:textFill>
        </w:rPr>
      </w:pPr>
    </w:p>
    <w:p w14:paraId="042F841F">
      <w:pPr>
        <w:spacing w:line="360" w:lineRule="auto"/>
        <w:jc w:val="center"/>
        <w:rPr>
          <w:rFonts w:asciiTheme="minorEastAsia" w:hAnsiTheme="minorEastAsia" w:eastAsiaTheme="minorEastAsia" w:cstheme="minorEastAsia"/>
          <w:b/>
          <w:bCs/>
          <w:color w:val="0D0D0D" w:themeColor="text1" w:themeTint="F2"/>
          <w:sz w:val="28"/>
          <w:szCs w:val="28"/>
          <w14:textFill>
            <w14:solidFill>
              <w14:schemeClr w14:val="tx1">
                <w14:lumMod w14:val="95000"/>
                <w14:lumOff w14:val="5000"/>
              </w14:schemeClr>
            </w14:solidFill>
          </w14:textFill>
        </w:rPr>
      </w:pPr>
    </w:p>
    <w:p w14:paraId="1181974B">
      <w:pPr>
        <w:spacing w:line="360" w:lineRule="auto"/>
        <w:jc w:val="center"/>
        <w:rPr>
          <w:rFonts w:asciiTheme="minorEastAsia" w:hAnsiTheme="minorEastAsia" w:eastAsiaTheme="minorEastAsia" w:cstheme="minorEastAsia"/>
          <w:b/>
          <w:bCs/>
          <w:color w:val="0D0D0D" w:themeColor="text1" w:themeTint="F2"/>
          <w:sz w:val="28"/>
          <w:szCs w:val="28"/>
          <w14:textFill>
            <w14:solidFill>
              <w14:schemeClr w14:val="tx1">
                <w14:lumMod w14:val="95000"/>
                <w14:lumOff w14:val="5000"/>
              </w14:schemeClr>
            </w14:solidFill>
          </w14:textFill>
        </w:rPr>
      </w:pPr>
    </w:p>
    <w:p w14:paraId="510E7308">
      <w:pPr>
        <w:spacing w:line="360" w:lineRule="auto"/>
        <w:jc w:val="center"/>
        <w:rPr>
          <w:rFonts w:asciiTheme="minorEastAsia" w:hAnsiTheme="minorEastAsia" w:eastAsiaTheme="minorEastAsia" w:cstheme="minorEastAsia"/>
          <w:b/>
          <w:bCs/>
          <w:color w:val="0D0D0D" w:themeColor="text1" w:themeTint="F2"/>
          <w:sz w:val="28"/>
          <w:szCs w:val="28"/>
          <w14:textFill>
            <w14:solidFill>
              <w14:schemeClr w14:val="tx1">
                <w14:lumMod w14:val="95000"/>
                <w14:lumOff w14:val="5000"/>
              </w14:schemeClr>
            </w14:solidFill>
          </w14:textFill>
        </w:rPr>
      </w:pPr>
    </w:p>
    <w:p w14:paraId="0207FD29">
      <w:pPr>
        <w:spacing w:line="360" w:lineRule="auto"/>
        <w:jc w:val="cente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pPr>
    </w:p>
    <w:p w14:paraId="1A74A479">
      <w:pPr>
        <w:spacing w:line="360" w:lineRule="auto"/>
        <w:jc w:val="cente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pPr>
    </w:p>
    <w:p w14:paraId="79ECD682">
      <w:pPr>
        <w:spacing w:line="360" w:lineRule="auto"/>
        <w:jc w:val="center"/>
        <w:rPr>
          <w:rFonts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第三章　评标办法</w:t>
      </w:r>
    </w:p>
    <w:p w14:paraId="4C398FF1">
      <w:pPr>
        <w:widowControl/>
        <w:tabs>
          <w:tab w:val="left" w:pos="0"/>
          <w:tab w:val="left" w:pos="993"/>
          <w:tab w:val="left" w:pos="1134"/>
        </w:tabs>
        <w:adjustRightInd w:val="0"/>
        <w:snapToGrid w:val="0"/>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bCs/>
        </w:rPr>
        <w:t>（一）评标程序</w:t>
      </w:r>
    </w:p>
    <w:p w14:paraId="4BBA10E7">
      <w:pPr>
        <w:widowControl/>
        <w:tabs>
          <w:tab w:val="left" w:pos="0"/>
          <w:tab w:val="left" w:pos="993"/>
          <w:tab w:val="left" w:pos="1134"/>
        </w:tabs>
        <w:adjustRightInd w:val="0"/>
        <w:snapToGrid w:val="0"/>
        <w:spacing w:line="440" w:lineRule="exact"/>
        <w:ind w:firstLine="42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1资格审查——2价格标文件评审——3确定中标候选人。</w:t>
      </w:r>
    </w:p>
    <w:p w14:paraId="6C44922F">
      <w:pPr>
        <w:spacing w:line="440" w:lineRule="exact"/>
        <w:ind w:firstLine="42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（二）评标委员会根据参加资格审查的投标人递交的资格审查文件，按照本招标文件《资格审查标准》对投标人的资格进行审查。</w:t>
      </w:r>
    </w:p>
    <w:p w14:paraId="62299A8C">
      <w:pPr>
        <w:widowControl/>
        <w:tabs>
          <w:tab w:val="left" w:pos="0"/>
          <w:tab w:val="left" w:pos="993"/>
          <w:tab w:val="left" w:pos="1134"/>
        </w:tabs>
        <w:adjustRightInd w:val="0"/>
        <w:snapToGrid w:val="0"/>
        <w:spacing w:line="440" w:lineRule="exact"/>
        <w:ind w:firstLine="42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本次资格审查采用合格制，各投标人资格审查通过后方能进入价格标文件评审。</w:t>
      </w:r>
    </w:p>
    <w:p w14:paraId="1B2F792F">
      <w:pPr>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 xml:space="preserve">一、资格审查标准： </w:t>
      </w:r>
    </w:p>
    <w:tbl>
      <w:tblPr>
        <w:tblStyle w:val="23"/>
        <w:tblW w:w="9040" w:type="dxa"/>
        <w:tblCellSpacing w:w="0"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47"/>
        <w:gridCol w:w="2263"/>
        <w:gridCol w:w="4380"/>
        <w:gridCol w:w="1850"/>
      </w:tblGrid>
      <w:tr w14:paraId="7502F4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47" w:type="dxa"/>
            <w:tcBorders>
              <w:top w:val="outset" w:color="auto" w:sz="6" w:space="0"/>
              <w:left w:val="outset" w:color="auto" w:sz="6" w:space="0"/>
              <w:bottom w:val="outset" w:color="auto" w:sz="6" w:space="0"/>
              <w:right w:val="outset" w:color="auto" w:sz="6" w:space="0"/>
            </w:tcBorders>
            <w:vAlign w:val="center"/>
          </w:tcPr>
          <w:p w14:paraId="581CB973">
            <w:pPr>
              <w:widowControl/>
              <w:spacing w:line="440" w:lineRule="exact"/>
              <w:jc w:val="center"/>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序号</w:t>
            </w:r>
          </w:p>
        </w:tc>
        <w:tc>
          <w:tcPr>
            <w:tcW w:w="2263" w:type="dxa"/>
            <w:tcBorders>
              <w:top w:val="outset" w:color="auto" w:sz="6" w:space="0"/>
              <w:left w:val="outset" w:color="auto" w:sz="6" w:space="0"/>
              <w:bottom w:val="outset" w:color="auto" w:sz="6" w:space="0"/>
              <w:right w:val="outset" w:color="auto" w:sz="6" w:space="0"/>
            </w:tcBorders>
            <w:vAlign w:val="center"/>
          </w:tcPr>
          <w:p w14:paraId="372AEBCF">
            <w:pPr>
              <w:widowControl/>
              <w:spacing w:line="440" w:lineRule="exact"/>
              <w:jc w:val="center"/>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项目内容</w:t>
            </w:r>
          </w:p>
        </w:tc>
        <w:tc>
          <w:tcPr>
            <w:tcW w:w="4380" w:type="dxa"/>
            <w:tcBorders>
              <w:top w:val="outset" w:color="auto" w:sz="6" w:space="0"/>
              <w:left w:val="outset" w:color="auto" w:sz="6" w:space="0"/>
              <w:bottom w:val="outset" w:color="auto" w:sz="6" w:space="0"/>
              <w:right w:val="outset" w:color="auto" w:sz="6" w:space="0"/>
            </w:tcBorders>
            <w:vAlign w:val="center"/>
          </w:tcPr>
          <w:p w14:paraId="189D3EB1">
            <w:pPr>
              <w:widowControl/>
              <w:spacing w:line="440" w:lineRule="exact"/>
              <w:jc w:val="center"/>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合格条件</w:t>
            </w:r>
          </w:p>
        </w:tc>
        <w:tc>
          <w:tcPr>
            <w:tcW w:w="1850" w:type="dxa"/>
            <w:tcBorders>
              <w:top w:val="outset" w:color="auto" w:sz="6" w:space="0"/>
              <w:left w:val="outset" w:color="auto" w:sz="6" w:space="0"/>
              <w:bottom w:val="outset" w:color="auto" w:sz="6" w:space="0"/>
              <w:right w:val="outset" w:color="auto" w:sz="6" w:space="0"/>
            </w:tcBorders>
            <w:vAlign w:val="center"/>
          </w:tcPr>
          <w:p w14:paraId="59DDAE4F">
            <w:pPr>
              <w:widowControl/>
              <w:spacing w:line="440" w:lineRule="exact"/>
              <w:jc w:val="center"/>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投标申请人具备</w:t>
            </w:r>
          </w:p>
          <w:p w14:paraId="195C25D5">
            <w:pPr>
              <w:widowControl/>
              <w:spacing w:line="440" w:lineRule="exact"/>
              <w:jc w:val="center"/>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的条件或说明</w:t>
            </w:r>
          </w:p>
        </w:tc>
      </w:tr>
      <w:tr w14:paraId="7A12E8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9" w:hRule="atLeast"/>
          <w:tblCellSpacing w:w="0" w:type="dxa"/>
        </w:trPr>
        <w:tc>
          <w:tcPr>
            <w:tcW w:w="547" w:type="dxa"/>
            <w:tcBorders>
              <w:top w:val="outset" w:color="auto" w:sz="6" w:space="0"/>
              <w:left w:val="outset" w:color="auto" w:sz="6" w:space="0"/>
              <w:bottom w:val="outset" w:color="auto" w:sz="6" w:space="0"/>
              <w:right w:val="outset" w:color="auto" w:sz="6" w:space="0"/>
            </w:tcBorders>
            <w:vAlign w:val="center"/>
          </w:tcPr>
          <w:p w14:paraId="53EFA824">
            <w:pPr>
              <w:widowControl/>
              <w:spacing w:line="44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w:t>
            </w:r>
          </w:p>
        </w:tc>
        <w:tc>
          <w:tcPr>
            <w:tcW w:w="2263" w:type="dxa"/>
            <w:tcBorders>
              <w:top w:val="outset" w:color="auto" w:sz="6" w:space="0"/>
              <w:left w:val="outset" w:color="auto" w:sz="6" w:space="0"/>
              <w:bottom w:val="outset" w:color="auto" w:sz="6" w:space="0"/>
              <w:right w:val="outset" w:color="auto" w:sz="6" w:space="0"/>
            </w:tcBorders>
            <w:vAlign w:val="center"/>
          </w:tcPr>
          <w:p w14:paraId="37004700">
            <w:pPr>
              <w:spacing w:line="44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法人身份证明书或法人的授权委托书</w:t>
            </w:r>
          </w:p>
        </w:tc>
        <w:tc>
          <w:tcPr>
            <w:tcW w:w="4380" w:type="dxa"/>
            <w:tcBorders>
              <w:top w:val="outset" w:color="auto" w:sz="6" w:space="0"/>
              <w:left w:val="outset" w:color="auto" w:sz="6" w:space="0"/>
              <w:bottom w:val="outset" w:color="auto" w:sz="6" w:space="0"/>
              <w:right w:val="outset" w:color="auto" w:sz="6" w:space="0"/>
            </w:tcBorders>
            <w:vAlign w:val="center"/>
          </w:tcPr>
          <w:p w14:paraId="1D42AB0E">
            <w:pPr>
              <w:widowControl/>
              <w:spacing w:line="44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法定代表人身份证明书、授权委托书原件并提供授权委托人的身份证复印件加盖单位公章；如企业法定代表人参与投标，无需授权委托书，请提供法定代表人身份证明书及法定代表人身份证复印件加盖单位公章</w:t>
            </w:r>
          </w:p>
        </w:tc>
        <w:tc>
          <w:tcPr>
            <w:tcW w:w="1850" w:type="dxa"/>
            <w:tcBorders>
              <w:top w:val="outset" w:color="auto" w:sz="6" w:space="0"/>
              <w:left w:val="outset" w:color="auto" w:sz="6" w:space="0"/>
              <w:bottom w:val="outset" w:color="auto" w:sz="6" w:space="0"/>
              <w:right w:val="outset" w:color="auto" w:sz="6" w:space="0"/>
            </w:tcBorders>
            <w:vAlign w:val="center"/>
          </w:tcPr>
          <w:p w14:paraId="7CE60BC7">
            <w:pPr>
              <w:widowControl/>
              <w:spacing w:line="44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检查有效性</w:t>
            </w:r>
          </w:p>
        </w:tc>
      </w:tr>
      <w:tr w14:paraId="3E1D87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515" w:hRule="atLeast"/>
          <w:tblCellSpacing w:w="0" w:type="dxa"/>
        </w:trPr>
        <w:tc>
          <w:tcPr>
            <w:tcW w:w="547" w:type="dxa"/>
            <w:tcBorders>
              <w:top w:val="outset" w:color="auto" w:sz="6" w:space="0"/>
              <w:left w:val="outset" w:color="auto" w:sz="6" w:space="0"/>
              <w:right w:val="outset" w:color="auto" w:sz="6" w:space="0"/>
            </w:tcBorders>
            <w:vAlign w:val="center"/>
          </w:tcPr>
          <w:p w14:paraId="072C5AC8">
            <w:pPr>
              <w:widowControl/>
              <w:spacing w:line="440" w:lineRule="exact"/>
              <w:jc w:val="center"/>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2</w:t>
            </w:r>
          </w:p>
        </w:tc>
        <w:tc>
          <w:tcPr>
            <w:tcW w:w="2263" w:type="dxa"/>
            <w:tcBorders>
              <w:top w:val="outset" w:color="auto" w:sz="6" w:space="0"/>
              <w:left w:val="outset" w:color="auto" w:sz="6" w:space="0"/>
              <w:right w:val="outset" w:color="auto" w:sz="6" w:space="0"/>
            </w:tcBorders>
            <w:vAlign w:val="center"/>
          </w:tcPr>
          <w:p w14:paraId="5CA9F1F9">
            <w:pPr>
              <w:widowControl/>
              <w:spacing w:line="440" w:lineRule="exact"/>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法人营业执照</w:t>
            </w:r>
          </w:p>
        </w:tc>
        <w:tc>
          <w:tcPr>
            <w:tcW w:w="4380" w:type="dxa"/>
            <w:tcBorders>
              <w:top w:val="outset" w:color="auto" w:sz="6" w:space="0"/>
              <w:left w:val="outset" w:color="auto" w:sz="6" w:space="0"/>
              <w:right w:val="outset" w:color="auto" w:sz="6" w:space="0"/>
            </w:tcBorders>
            <w:vAlign w:val="center"/>
          </w:tcPr>
          <w:p w14:paraId="7DAA0A46">
            <w:pPr>
              <w:widowControl/>
              <w:spacing w:line="440" w:lineRule="exact"/>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企业法人营业执照复印件加盖单位公章</w:t>
            </w:r>
          </w:p>
        </w:tc>
        <w:tc>
          <w:tcPr>
            <w:tcW w:w="1850" w:type="dxa"/>
            <w:tcBorders>
              <w:top w:val="outset" w:color="auto" w:sz="6" w:space="0"/>
              <w:left w:val="outset" w:color="auto" w:sz="6" w:space="0"/>
              <w:right w:val="outset" w:color="auto" w:sz="6" w:space="0"/>
            </w:tcBorders>
            <w:vAlign w:val="center"/>
          </w:tcPr>
          <w:p w14:paraId="76EEACDB">
            <w:pPr>
              <w:widowControl/>
              <w:spacing w:line="440" w:lineRule="exact"/>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真实有效</w:t>
            </w:r>
          </w:p>
        </w:tc>
      </w:tr>
      <w:tr w14:paraId="4BD6D9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515" w:hRule="atLeast"/>
          <w:tblCellSpacing w:w="0" w:type="dxa"/>
        </w:trPr>
        <w:tc>
          <w:tcPr>
            <w:tcW w:w="547" w:type="dxa"/>
            <w:tcBorders>
              <w:top w:val="outset" w:color="auto" w:sz="6" w:space="0"/>
              <w:left w:val="outset" w:color="auto" w:sz="6" w:space="0"/>
              <w:right w:val="outset" w:color="auto" w:sz="6" w:space="0"/>
            </w:tcBorders>
            <w:vAlign w:val="center"/>
          </w:tcPr>
          <w:p w14:paraId="099443D5">
            <w:pPr>
              <w:widowControl/>
              <w:spacing w:line="440" w:lineRule="exact"/>
              <w:jc w:val="center"/>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3</w:t>
            </w:r>
          </w:p>
        </w:tc>
        <w:tc>
          <w:tcPr>
            <w:tcW w:w="2263" w:type="dxa"/>
            <w:tcBorders>
              <w:top w:val="outset" w:color="auto" w:sz="6" w:space="0"/>
              <w:left w:val="outset" w:color="auto" w:sz="6" w:space="0"/>
              <w:right w:val="outset" w:color="auto" w:sz="6" w:space="0"/>
            </w:tcBorders>
            <w:vAlign w:val="center"/>
          </w:tcPr>
          <w:p w14:paraId="5D0B6A6F">
            <w:pPr>
              <w:widowControl/>
              <w:spacing w:line="440" w:lineRule="exact"/>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资质证书</w:t>
            </w:r>
          </w:p>
        </w:tc>
        <w:tc>
          <w:tcPr>
            <w:tcW w:w="4380" w:type="dxa"/>
            <w:tcBorders>
              <w:top w:val="outset" w:color="auto" w:sz="6" w:space="0"/>
              <w:left w:val="outset" w:color="auto" w:sz="6" w:space="0"/>
              <w:right w:val="outset" w:color="auto" w:sz="6" w:space="0"/>
            </w:tcBorders>
            <w:vAlign w:val="center"/>
          </w:tcPr>
          <w:p w14:paraId="0618A84B">
            <w:pPr>
              <w:widowControl/>
              <w:spacing w:line="440" w:lineRule="exact"/>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highlight w:val="none"/>
                <w:lang w:eastAsia="zh-CN"/>
              </w:rPr>
              <w:t>市政公用工程施工总承包叁</w:t>
            </w:r>
            <w:r>
              <w:rPr>
                <w:rFonts w:hint="eastAsia" w:asciiTheme="minorEastAsia" w:hAnsiTheme="minorEastAsia" w:eastAsiaTheme="minorEastAsia" w:cstheme="minorEastAsia"/>
                <w:highlight w:val="none"/>
              </w:rPr>
              <w:t>级及以上资质复印件加盖单位公章</w:t>
            </w:r>
          </w:p>
        </w:tc>
        <w:tc>
          <w:tcPr>
            <w:tcW w:w="1850" w:type="dxa"/>
            <w:tcBorders>
              <w:top w:val="outset" w:color="auto" w:sz="6" w:space="0"/>
              <w:left w:val="outset" w:color="auto" w:sz="6" w:space="0"/>
              <w:right w:val="outset" w:color="auto" w:sz="6" w:space="0"/>
            </w:tcBorders>
            <w:vAlign w:val="center"/>
          </w:tcPr>
          <w:p w14:paraId="09ECD68C">
            <w:pPr>
              <w:widowControl/>
              <w:spacing w:line="440" w:lineRule="exact"/>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真实有效</w:t>
            </w:r>
          </w:p>
        </w:tc>
      </w:tr>
      <w:tr w14:paraId="148023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515" w:hRule="atLeast"/>
          <w:tblCellSpacing w:w="0" w:type="dxa"/>
        </w:trPr>
        <w:tc>
          <w:tcPr>
            <w:tcW w:w="547" w:type="dxa"/>
            <w:tcBorders>
              <w:top w:val="outset" w:color="auto" w:sz="6" w:space="0"/>
              <w:left w:val="outset" w:color="auto" w:sz="6" w:space="0"/>
              <w:right w:val="outset" w:color="auto" w:sz="6" w:space="0"/>
            </w:tcBorders>
            <w:vAlign w:val="center"/>
          </w:tcPr>
          <w:p w14:paraId="00BC82B0">
            <w:pPr>
              <w:widowControl/>
              <w:spacing w:line="440" w:lineRule="exact"/>
              <w:jc w:val="center"/>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4</w:t>
            </w:r>
          </w:p>
        </w:tc>
        <w:tc>
          <w:tcPr>
            <w:tcW w:w="2263" w:type="dxa"/>
            <w:tcBorders>
              <w:top w:val="outset" w:color="auto" w:sz="6" w:space="0"/>
              <w:left w:val="outset" w:color="auto" w:sz="6" w:space="0"/>
              <w:right w:val="outset" w:color="auto" w:sz="6" w:space="0"/>
            </w:tcBorders>
            <w:vAlign w:val="center"/>
          </w:tcPr>
          <w:p w14:paraId="07D10D34">
            <w:pPr>
              <w:widowControl/>
              <w:spacing w:line="440" w:lineRule="exact"/>
              <w:jc w:val="left"/>
              <w:rPr>
                <w:rFonts w:hint="eastAsia" w:asciiTheme="minorEastAsia" w:hAnsiTheme="minorEastAsia" w:eastAsiaTheme="minorEastAsia" w:cstheme="minorEastAsia"/>
                <w:color w:val="0D0D0D" w:themeColor="text1" w:themeTint="F2"/>
                <w:kern w:val="0"/>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lang w:eastAsia="zh-CN"/>
                <w14:textFill>
                  <w14:solidFill>
                    <w14:schemeClr w14:val="tx1">
                      <w14:lumMod w14:val="95000"/>
                      <w14:lumOff w14:val="5000"/>
                    </w14:schemeClr>
                  </w14:solidFill>
                </w14:textFill>
              </w:rPr>
              <w:t>安全生产许可证</w:t>
            </w:r>
          </w:p>
        </w:tc>
        <w:tc>
          <w:tcPr>
            <w:tcW w:w="4380" w:type="dxa"/>
            <w:tcBorders>
              <w:top w:val="outset" w:color="auto" w:sz="6" w:space="0"/>
              <w:left w:val="outset" w:color="auto" w:sz="6" w:space="0"/>
              <w:right w:val="outset" w:color="auto" w:sz="6" w:space="0"/>
            </w:tcBorders>
            <w:vAlign w:val="center"/>
          </w:tcPr>
          <w:p w14:paraId="664B73B5">
            <w:pPr>
              <w:widowControl/>
              <w:spacing w:line="440" w:lineRule="exact"/>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有效的企业安全生产许可证复印件加盖单位公章</w:t>
            </w:r>
          </w:p>
        </w:tc>
        <w:tc>
          <w:tcPr>
            <w:tcW w:w="1850" w:type="dxa"/>
            <w:tcBorders>
              <w:top w:val="outset" w:color="auto" w:sz="6" w:space="0"/>
              <w:left w:val="outset" w:color="auto" w:sz="6" w:space="0"/>
              <w:right w:val="outset" w:color="auto" w:sz="6" w:space="0"/>
            </w:tcBorders>
            <w:vAlign w:val="center"/>
          </w:tcPr>
          <w:p w14:paraId="4DFA2354">
            <w:pPr>
              <w:widowControl/>
              <w:spacing w:line="440" w:lineRule="exact"/>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真实有效</w:t>
            </w:r>
          </w:p>
        </w:tc>
      </w:tr>
      <w:tr w14:paraId="529587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515" w:hRule="atLeast"/>
          <w:tblCellSpacing w:w="0" w:type="dxa"/>
        </w:trPr>
        <w:tc>
          <w:tcPr>
            <w:tcW w:w="547" w:type="dxa"/>
            <w:tcBorders>
              <w:top w:val="outset" w:color="auto" w:sz="6" w:space="0"/>
              <w:left w:val="outset" w:color="auto" w:sz="6" w:space="0"/>
              <w:right w:val="outset" w:color="auto" w:sz="6" w:space="0"/>
            </w:tcBorders>
            <w:vAlign w:val="center"/>
          </w:tcPr>
          <w:p w14:paraId="6BA238A5">
            <w:pPr>
              <w:widowControl/>
              <w:spacing w:line="440" w:lineRule="exact"/>
              <w:jc w:val="center"/>
              <w:rPr>
                <w:rFonts w:hint="eastAsia" w:asciiTheme="minorEastAsia" w:hAnsiTheme="minorEastAsia" w:eastAsiaTheme="minorEastAsia" w:cstheme="minorEastAsia"/>
                <w:color w:val="0D0D0D" w:themeColor="text1" w:themeTint="F2"/>
                <w:kern w:val="0"/>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lang w:val="en-US" w:eastAsia="zh-CN"/>
                <w14:textFill>
                  <w14:solidFill>
                    <w14:schemeClr w14:val="tx1">
                      <w14:lumMod w14:val="95000"/>
                      <w14:lumOff w14:val="5000"/>
                    </w14:schemeClr>
                  </w14:solidFill>
                </w14:textFill>
              </w:rPr>
              <w:t>5</w:t>
            </w:r>
          </w:p>
        </w:tc>
        <w:tc>
          <w:tcPr>
            <w:tcW w:w="2263" w:type="dxa"/>
            <w:tcBorders>
              <w:top w:val="outset" w:color="auto" w:sz="6" w:space="0"/>
              <w:left w:val="outset" w:color="auto" w:sz="6" w:space="0"/>
              <w:right w:val="outset" w:color="auto" w:sz="6" w:space="0"/>
            </w:tcBorders>
            <w:vAlign w:val="center"/>
          </w:tcPr>
          <w:p w14:paraId="5DD5E978">
            <w:pPr>
              <w:widowControl/>
              <w:spacing w:line="440" w:lineRule="exact"/>
              <w:jc w:val="left"/>
              <w:rPr>
                <w:rFonts w:hint="eastAsia" w:asciiTheme="minorEastAsia" w:hAnsiTheme="minorEastAsia" w:eastAsiaTheme="minorEastAsia" w:cstheme="minorEastAsia"/>
                <w:color w:val="0D0D0D" w:themeColor="text1" w:themeTint="F2"/>
                <w:kern w:val="0"/>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lang w:eastAsia="zh-CN"/>
                <w14:textFill>
                  <w14:solidFill>
                    <w14:schemeClr w14:val="tx1">
                      <w14:lumMod w14:val="95000"/>
                      <w14:lumOff w14:val="5000"/>
                    </w14:schemeClr>
                  </w14:solidFill>
                </w14:textFill>
              </w:rPr>
              <w:t>拟派项目负责人资格</w:t>
            </w:r>
          </w:p>
        </w:tc>
        <w:tc>
          <w:tcPr>
            <w:tcW w:w="4380" w:type="dxa"/>
            <w:tcBorders>
              <w:top w:val="outset" w:color="auto" w:sz="6" w:space="0"/>
              <w:left w:val="outset" w:color="auto" w:sz="6" w:space="0"/>
              <w:right w:val="outset" w:color="auto" w:sz="6" w:space="0"/>
            </w:tcBorders>
            <w:vAlign w:val="center"/>
          </w:tcPr>
          <w:p w14:paraId="7521647E">
            <w:pPr>
              <w:widowControl/>
              <w:spacing w:line="440" w:lineRule="exact"/>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highlight w:val="none"/>
                <w:lang w:val="en-US" w:eastAsia="zh-CN"/>
              </w:rPr>
              <w:t>拟派项目负责人建筑工程专业贰级及以上注册建造师证书及安全考核合格B证复印件加盖单位公章</w:t>
            </w:r>
          </w:p>
        </w:tc>
        <w:tc>
          <w:tcPr>
            <w:tcW w:w="1850" w:type="dxa"/>
            <w:tcBorders>
              <w:top w:val="outset" w:color="auto" w:sz="6" w:space="0"/>
              <w:left w:val="outset" w:color="auto" w:sz="6" w:space="0"/>
              <w:right w:val="outset" w:color="auto" w:sz="6" w:space="0"/>
            </w:tcBorders>
            <w:vAlign w:val="center"/>
          </w:tcPr>
          <w:p w14:paraId="6959C6C2">
            <w:pPr>
              <w:widowControl/>
              <w:spacing w:line="440" w:lineRule="exact"/>
              <w:jc w:val="left"/>
              <w:rPr>
                <w:rFonts w:hint="eastAsia" w:asciiTheme="minorEastAsia" w:hAnsiTheme="minorEastAsia" w:eastAsiaTheme="minorEastAsia" w:cstheme="minorEastAsia"/>
                <w:color w:val="0D0D0D" w:themeColor="text1" w:themeTint="F2"/>
                <w:kern w:val="0"/>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lang w:eastAsia="zh-CN"/>
                <w14:textFill>
                  <w14:solidFill>
                    <w14:schemeClr w14:val="tx1">
                      <w14:lumMod w14:val="95000"/>
                      <w14:lumOff w14:val="5000"/>
                    </w14:schemeClr>
                  </w14:solidFill>
                </w14:textFill>
              </w:rPr>
              <w:t>真实有效</w:t>
            </w:r>
          </w:p>
        </w:tc>
      </w:tr>
      <w:tr w14:paraId="2EEF42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515" w:hRule="atLeast"/>
          <w:tblCellSpacing w:w="0" w:type="dxa"/>
        </w:trPr>
        <w:tc>
          <w:tcPr>
            <w:tcW w:w="547" w:type="dxa"/>
            <w:tcBorders>
              <w:top w:val="outset" w:color="auto" w:sz="6" w:space="0"/>
              <w:left w:val="outset" w:color="auto" w:sz="6" w:space="0"/>
              <w:right w:val="outset" w:color="auto" w:sz="6" w:space="0"/>
            </w:tcBorders>
            <w:vAlign w:val="center"/>
          </w:tcPr>
          <w:p w14:paraId="4FA09CAA">
            <w:pPr>
              <w:widowControl/>
              <w:spacing w:line="440" w:lineRule="exact"/>
              <w:jc w:val="center"/>
              <w:rPr>
                <w:rFonts w:hint="eastAsia" w:asciiTheme="minorEastAsia" w:hAnsiTheme="minorEastAsia" w:eastAsiaTheme="minorEastAsia" w:cstheme="minorEastAsia"/>
                <w:color w:val="0D0D0D" w:themeColor="text1" w:themeTint="F2"/>
                <w:kern w:val="0"/>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lang w:val="en-US" w:eastAsia="zh-CN"/>
                <w14:textFill>
                  <w14:solidFill>
                    <w14:schemeClr w14:val="tx1">
                      <w14:lumMod w14:val="95000"/>
                      <w14:lumOff w14:val="5000"/>
                    </w14:schemeClr>
                  </w14:solidFill>
                </w14:textFill>
              </w:rPr>
              <w:t>6</w:t>
            </w:r>
          </w:p>
        </w:tc>
        <w:tc>
          <w:tcPr>
            <w:tcW w:w="2263" w:type="dxa"/>
            <w:tcBorders>
              <w:top w:val="outset" w:color="auto" w:sz="6" w:space="0"/>
              <w:left w:val="outset" w:color="auto" w:sz="6" w:space="0"/>
              <w:right w:val="outset" w:color="auto" w:sz="6" w:space="0"/>
            </w:tcBorders>
            <w:vAlign w:val="center"/>
          </w:tcPr>
          <w:p w14:paraId="1BA333C4">
            <w:pPr>
              <w:widowControl/>
              <w:spacing w:line="440" w:lineRule="exact"/>
              <w:jc w:val="left"/>
              <w:rPr>
                <w:rFonts w:hint="eastAsia" w:asciiTheme="minorEastAsia" w:hAnsiTheme="minorEastAsia" w:eastAsiaTheme="minorEastAsia" w:cstheme="minorEastAsia"/>
                <w:color w:val="0D0D0D" w:themeColor="text1" w:themeTint="F2"/>
                <w:kern w:val="0"/>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lang w:eastAsia="zh-CN"/>
                <w14:textFill>
                  <w14:solidFill>
                    <w14:schemeClr w14:val="tx1">
                      <w14:lumMod w14:val="95000"/>
                      <w14:lumOff w14:val="5000"/>
                    </w14:schemeClr>
                  </w14:solidFill>
                </w14:textFill>
              </w:rPr>
              <w:t>拟派项目负责人劳动合同及养老保险</w:t>
            </w:r>
          </w:p>
        </w:tc>
        <w:tc>
          <w:tcPr>
            <w:tcW w:w="4380" w:type="dxa"/>
            <w:tcBorders>
              <w:top w:val="outset" w:color="auto" w:sz="6" w:space="0"/>
              <w:left w:val="outset" w:color="auto" w:sz="6" w:space="0"/>
              <w:right w:val="outset" w:color="auto" w:sz="6" w:space="0"/>
            </w:tcBorders>
            <w:vAlign w:val="center"/>
          </w:tcPr>
          <w:p w14:paraId="5F2E7549">
            <w:pPr>
              <w:widowControl/>
              <w:spacing w:line="440" w:lineRule="exact"/>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拟派项目负责人与</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投标人签订的有效劳动合同</w:t>
            </w:r>
            <w:r>
              <w:rPr>
                <w:rFonts w:hint="eastAsia" w:asciiTheme="minorEastAsia" w:hAnsiTheme="minorEastAsia" w:eastAsiaTheme="minorEastAsia" w:cstheme="minorEastAsia"/>
                <w:color w:val="0D0D0D" w:themeColor="text1" w:themeTint="F2"/>
                <w:lang w:eastAsia="zh-CN"/>
                <w14:textFill>
                  <w14:solidFill>
                    <w14:schemeClr w14:val="tx1">
                      <w14:lumMod w14:val="95000"/>
                      <w14:lumOff w14:val="5000"/>
                    </w14:schemeClr>
                  </w14:solidFill>
                </w14:textFill>
              </w:rPr>
              <w:t>及</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投标人为</w:t>
            </w:r>
            <w:r>
              <w:rPr>
                <w:rFonts w:hint="eastAsia" w:asciiTheme="minorEastAsia" w:hAnsiTheme="minorEastAsia" w:eastAsiaTheme="minorEastAsia" w:cstheme="minorEastAsia"/>
                <w:color w:val="0D0D0D" w:themeColor="text1" w:themeTint="F2"/>
                <w:lang w:eastAsia="zh-CN"/>
                <w14:textFill>
                  <w14:solidFill>
                    <w14:schemeClr w14:val="tx1">
                      <w14:lumMod w14:val="95000"/>
                      <w14:lumOff w14:val="5000"/>
                    </w14:schemeClr>
                  </w14:solidFill>
                </w14:textFill>
              </w:rPr>
              <w:t>项目负责人</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缴纳的202</w:t>
            </w:r>
            <w:r>
              <w:rPr>
                <w:rFonts w:hint="eastAsia" w:asciiTheme="minorEastAsia" w:hAnsiTheme="minorEastAsia" w:eastAsiaTheme="minorEastAsia" w:cstheme="minorEastAsia"/>
                <w:color w:val="0D0D0D" w:themeColor="text1" w:themeTint="F2"/>
                <w:lang w:val="en-US" w:eastAsia="zh-CN"/>
                <w14:textFill>
                  <w14:solidFill>
                    <w14:schemeClr w14:val="tx1">
                      <w14:lumMod w14:val="95000"/>
                      <w14:lumOff w14:val="5000"/>
                    </w14:schemeClr>
                  </w14:solidFill>
                </w14:textFill>
              </w:rPr>
              <w:t>5</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年</w:t>
            </w:r>
            <w:r>
              <w:rPr>
                <w:rFonts w:hint="eastAsia" w:asciiTheme="minorEastAsia" w:hAnsiTheme="minorEastAsia" w:eastAsiaTheme="minorEastAsia" w:cstheme="minorEastAsia"/>
                <w:color w:val="0D0D0D" w:themeColor="text1" w:themeTint="F2"/>
                <w:lang w:val="en-US" w:eastAsia="zh-CN"/>
                <w14:textFill>
                  <w14:solidFill>
                    <w14:schemeClr w14:val="tx1">
                      <w14:lumMod w14:val="95000"/>
                      <w14:lumOff w14:val="5000"/>
                    </w14:schemeClr>
                  </w14:solidFill>
                </w14:textFill>
              </w:rPr>
              <w:t>5</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月至2025年</w:t>
            </w:r>
            <w:r>
              <w:rPr>
                <w:rFonts w:hint="eastAsia" w:asciiTheme="minorEastAsia" w:hAnsiTheme="minorEastAsia" w:eastAsiaTheme="minorEastAsia" w:cstheme="minorEastAsia"/>
                <w:color w:val="0D0D0D" w:themeColor="text1" w:themeTint="F2"/>
                <w:lang w:val="en-US" w:eastAsia="zh-CN"/>
                <w14:textFill>
                  <w14:solidFill>
                    <w14:schemeClr w14:val="tx1">
                      <w14:lumMod w14:val="95000"/>
                      <w14:lumOff w14:val="5000"/>
                    </w14:schemeClr>
                  </w14:solidFill>
                </w14:textFill>
              </w:rPr>
              <w:t>7</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月养老保险缴费证明</w:t>
            </w:r>
          </w:p>
        </w:tc>
        <w:tc>
          <w:tcPr>
            <w:tcW w:w="1850" w:type="dxa"/>
            <w:tcBorders>
              <w:top w:val="outset" w:color="auto" w:sz="6" w:space="0"/>
              <w:left w:val="outset" w:color="auto" w:sz="6" w:space="0"/>
              <w:right w:val="outset" w:color="auto" w:sz="6" w:space="0"/>
            </w:tcBorders>
            <w:vAlign w:val="center"/>
          </w:tcPr>
          <w:p w14:paraId="160E77D1">
            <w:pPr>
              <w:widowControl/>
              <w:spacing w:line="440" w:lineRule="exact"/>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劳动合同书</w:t>
            </w:r>
            <w:r>
              <w:rPr>
                <w:rFonts w:hint="eastAsia" w:asciiTheme="minorEastAsia" w:hAnsiTheme="minorEastAsia" w:eastAsiaTheme="minorEastAsia" w:cstheme="minorEastAsia"/>
                <w:color w:val="0D0D0D" w:themeColor="text1" w:themeTint="F2"/>
                <w:lang w:eastAsia="zh-CN"/>
                <w14:textFill>
                  <w14:solidFill>
                    <w14:schemeClr w14:val="tx1">
                      <w14:lumMod w14:val="95000"/>
                      <w14:lumOff w14:val="5000"/>
                    </w14:schemeClr>
                  </w14:solidFill>
                </w14:textFill>
              </w:rPr>
              <w:t>及</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养老保险缴费证明</w:t>
            </w:r>
          </w:p>
        </w:tc>
      </w:tr>
      <w:tr w14:paraId="17557E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577" w:hRule="atLeast"/>
          <w:tblCellSpacing w:w="0" w:type="dxa"/>
        </w:trPr>
        <w:tc>
          <w:tcPr>
            <w:tcW w:w="547" w:type="dxa"/>
            <w:tcBorders>
              <w:top w:val="outset" w:color="auto" w:sz="6" w:space="0"/>
              <w:left w:val="outset" w:color="auto" w:sz="6" w:space="0"/>
              <w:bottom w:val="outset" w:color="auto" w:sz="6" w:space="0"/>
              <w:right w:val="outset" w:color="auto" w:sz="6" w:space="0"/>
            </w:tcBorders>
            <w:vAlign w:val="center"/>
          </w:tcPr>
          <w:p w14:paraId="5E68885F">
            <w:pPr>
              <w:widowControl/>
              <w:spacing w:line="440" w:lineRule="exact"/>
              <w:jc w:val="center"/>
              <w:rPr>
                <w:rFonts w:hint="eastAsia" w:asciiTheme="minorEastAsia" w:hAnsiTheme="minorEastAsia" w:eastAsiaTheme="minorEastAsia" w:cstheme="minorEastAsia"/>
                <w:color w:val="0D0D0D" w:themeColor="text1" w:themeTint="F2"/>
                <w:kern w:val="0"/>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lang w:val="en-US" w:eastAsia="zh-CN"/>
                <w14:textFill>
                  <w14:solidFill>
                    <w14:schemeClr w14:val="tx1">
                      <w14:lumMod w14:val="95000"/>
                      <w14:lumOff w14:val="5000"/>
                    </w14:schemeClr>
                  </w14:solidFill>
                </w14:textFill>
              </w:rPr>
              <w:t>7</w:t>
            </w:r>
          </w:p>
        </w:tc>
        <w:tc>
          <w:tcPr>
            <w:tcW w:w="2263" w:type="dxa"/>
            <w:tcBorders>
              <w:top w:val="outset" w:color="auto" w:sz="6" w:space="0"/>
              <w:left w:val="outset" w:color="auto" w:sz="6" w:space="0"/>
              <w:bottom w:val="outset" w:color="auto" w:sz="6" w:space="0"/>
              <w:right w:val="outset" w:color="auto" w:sz="6" w:space="0"/>
            </w:tcBorders>
            <w:vAlign w:val="center"/>
          </w:tcPr>
          <w:p w14:paraId="59CE9262">
            <w:pPr>
              <w:widowControl/>
              <w:spacing w:line="440" w:lineRule="exac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授权委托人（如有）劳动合同</w:t>
            </w:r>
            <w:r>
              <w:rPr>
                <w:rFonts w:hint="eastAsia" w:asciiTheme="minorEastAsia" w:hAnsiTheme="minorEastAsia" w:eastAsiaTheme="minorEastAsia" w:cstheme="minorEastAsia"/>
                <w:color w:val="0D0D0D" w:themeColor="text1" w:themeTint="F2"/>
                <w:lang w:eastAsia="zh-CN"/>
                <w14:textFill>
                  <w14:solidFill>
                    <w14:schemeClr w14:val="tx1">
                      <w14:lumMod w14:val="95000"/>
                      <w14:lumOff w14:val="5000"/>
                    </w14:schemeClr>
                  </w14:solidFill>
                </w14:textFill>
              </w:rPr>
              <w:t>及</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社会保险</w:t>
            </w:r>
          </w:p>
        </w:tc>
        <w:tc>
          <w:tcPr>
            <w:tcW w:w="4380" w:type="dxa"/>
            <w:tcBorders>
              <w:top w:val="outset" w:color="auto" w:sz="6" w:space="0"/>
              <w:left w:val="outset" w:color="auto" w:sz="6" w:space="0"/>
              <w:bottom w:val="outset" w:color="auto" w:sz="6" w:space="0"/>
              <w:right w:val="outset" w:color="auto" w:sz="6" w:space="0"/>
            </w:tcBorders>
            <w:vAlign w:val="center"/>
          </w:tcPr>
          <w:p w14:paraId="09EB9CAF">
            <w:pPr>
              <w:widowControl/>
              <w:spacing w:line="440" w:lineRule="exac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授权委托人（如有）与投标人签订的有效劳动合同</w:t>
            </w:r>
            <w:r>
              <w:rPr>
                <w:rFonts w:hint="eastAsia" w:asciiTheme="minorEastAsia" w:hAnsiTheme="minorEastAsia" w:eastAsiaTheme="minorEastAsia" w:cstheme="minorEastAsia"/>
                <w:color w:val="0D0D0D" w:themeColor="text1" w:themeTint="F2"/>
                <w:lang w:eastAsia="zh-CN"/>
                <w14:textFill>
                  <w14:solidFill>
                    <w14:schemeClr w14:val="tx1">
                      <w14:lumMod w14:val="95000"/>
                      <w14:lumOff w14:val="5000"/>
                    </w14:schemeClr>
                  </w14:solidFill>
                </w14:textFill>
              </w:rPr>
              <w:t>及</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投标人为委托代理人缴纳的202</w:t>
            </w:r>
            <w:r>
              <w:rPr>
                <w:rFonts w:hint="eastAsia" w:asciiTheme="minorEastAsia" w:hAnsiTheme="minorEastAsia" w:eastAsiaTheme="minorEastAsia" w:cstheme="minorEastAsia"/>
                <w:color w:val="0D0D0D" w:themeColor="text1" w:themeTint="F2"/>
                <w:lang w:val="en-US" w:eastAsia="zh-CN"/>
                <w14:textFill>
                  <w14:solidFill>
                    <w14:schemeClr w14:val="tx1">
                      <w14:lumMod w14:val="95000"/>
                      <w14:lumOff w14:val="5000"/>
                    </w14:schemeClr>
                  </w14:solidFill>
                </w14:textFill>
              </w:rPr>
              <w:t>5</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年</w:t>
            </w:r>
            <w:r>
              <w:rPr>
                <w:rFonts w:hint="eastAsia" w:asciiTheme="minorEastAsia" w:hAnsiTheme="minorEastAsia" w:eastAsiaTheme="minorEastAsia" w:cstheme="minorEastAsia"/>
                <w:color w:val="0D0D0D" w:themeColor="text1" w:themeTint="F2"/>
                <w:lang w:val="en-US" w:eastAsia="zh-CN"/>
                <w14:textFill>
                  <w14:solidFill>
                    <w14:schemeClr w14:val="tx1">
                      <w14:lumMod w14:val="95000"/>
                      <w14:lumOff w14:val="5000"/>
                    </w14:schemeClr>
                  </w14:solidFill>
                </w14:textFill>
              </w:rPr>
              <w:t>5</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月至2025年</w:t>
            </w:r>
            <w:r>
              <w:rPr>
                <w:rFonts w:hint="eastAsia" w:asciiTheme="minorEastAsia" w:hAnsiTheme="minorEastAsia" w:eastAsiaTheme="minorEastAsia" w:cstheme="minorEastAsia"/>
                <w:color w:val="0D0D0D" w:themeColor="text1" w:themeTint="F2"/>
                <w:lang w:val="en-US" w:eastAsia="zh-CN"/>
                <w14:textFill>
                  <w14:solidFill>
                    <w14:schemeClr w14:val="tx1">
                      <w14:lumMod w14:val="95000"/>
                      <w14:lumOff w14:val="5000"/>
                    </w14:schemeClr>
                  </w14:solidFill>
                </w14:textFill>
              </w:rPr>
              <w:t>7</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月养老保险缴费证明复印件加盖单位公章（养老保险缴费证明需由社保机构出具）</w:t>
            </w:r>
          </w:p>
        </w:tc>
        <w:tc>
          <w:tcPr>
            <w:tcW w:w="1850" w:type="dxa"/>
            <w:tcBorders>
              <w:top w:val="outset" w:color="auto" w:sz="6" w:space="0"/>
              <w:left w:val="outset" w:color="auto" w:sz="6" w:space="0"/>
              <w:bottom w:val="outset" w:color="auto" w:sz="6" w:space="0"/>
              <w:right w:val="outset" w:color="auto" w:sz="6" w:space="0"/>
            </w:tcBorders>
            <w:vAlign w:val="center"/>
          </w:tcPr>
          <w:p w14:paraId="3F8C9F4B">
            <w:pPr>
              <w:widowControl/>
              <w:spacing w:line="44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劳动合同书</w:t>
            </w:r>
            <w:r>
              <w:rPr>
                <w:rFonts w:hint="eastAsia" w:asciiTheme="minorEastAsia" w:hAnsiTheme="minorEastAsia" w:eastAsiaTheme="minorEastAsia" w:cstheme="minorEastAsia"/>
                <w:color w:val="0D0D0D" w:themeColor="text1" w:themeTint="F2"/>
                <w:lang w:eastAsia="zh-CN"/>
                <w14:textFill>
                  <w14:solidFill>
                    <w14:schemeClr w14:val="tx1">
                      <w14:lumMod w14:val="95000"/>
                      <w14:lumOff w14:val="5000"/>
                    </w14:schemeClr>
                  </w14:solidFill>
                </w14:textFill>
              </w:rPr>
              <w:t>及</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养老保险缴费证明</w:t>
            </w:r>
          </w:p>
          <w:p w14:paraId="4691008D">
            <w:pPr>
              <w:widowControl/>
              <w:spacing w:line="440" w:lineRule="exac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企业法定代表人参加，此项不需提供</w:t>
            </w:r>
          </w:p>
        </w:tc>
      </w:tr>
      <w:tr w14:paraId="5E374F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trPr>
        <w:tc>
          <w:tcPr>
            <w:tcW w:w="547" w:type="dxa"/>
            <w:tcBorders>
              <w:top w:val="outset" w:color="auto" w:sz="6" w:space="0"/>
              <w:left w:val="outset" w:color="auto" w:sz="6" w:space="0"/>
              <w:bottom w:val="outset" w:color="auto" w:sz="6" w:space="0"/>
              <w:right w:val="outset" w:color="auto" w:sz="6" w:space="0"/>
            </w:tcBorders>
            <w:vAlign w:val="center"/>
          </w:tcPr>
          <w:p w14:paraId="66CB48B5">
            <w:pPr>
              <w:widowControl/>
              <w:spacing w:line="440" w:lineRule="exact"/>
              <w:jc w:val="center"/>
              <w:rPr>
                <w:rFonts w:hint="eastAsia" w:asciiTheme="minorEastAsia" w:hAnsiTheme="minorEastAsia" w:eastAsiaTheme="minorEastAsia" w:cstheme="minorEastAsia"/>
                <w:color w:val="0D0D0D" w:themeColor="text1" w:themeTint="F2"/>
                <w:kern w:val="0"/>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lang w:val="en-US" w:eastAsia="zh-CN"/>
                <w14:textFill>
                  <w14:solidFill>
                    <w14:schemeClr w14:val="tx1">
                      <w14:lumMod w14:val="95000"/>
                      <w14:lumOff w14:val="5000"/>
                    </w14:schemeClr>
                  </w14:solidFill>
                </w14:textFill>
              </w:rPr>
              <w:t>8</w:t>
            </w:r>
          </w:p>
        </w:tc>
        <w:tc>
          <w:tcPr>
            <w:tcW w:w="2263" w:type="dxa"/>
            <w:tcBorders>
              <w:top w:val="outset" w:color="auto" w:sz="6" w:space="0"/>
              <w:left w:val="outset" w:color="auto" w:sz="6" w:space="0"/>
              <w:bottom w:val="outset" w:color="auto" w:sz="6" w:space="0"/>
              <w:right w:val="outset" w:color="auto" w:sz="6" w:space="0"/>
            </w:tcBorders>
            <w:vAlign w:val="center"/>
          </w:tcPr>
          <w:p w14:paraId="792A42AC">
            <w:pPr>
              <w:spacing w:line="44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hd w:val="clear" w:color="auto" w:fill="FFFFFF"/>
                <w14:textFill>
                  <w14:solidFill>
                    <w14:schemeClr w14:val="tx1">
                      <w14:lumMod w14:val="95000"/>
                      <w14:lumOff w14:val="5000"/>
                    </w14:schemeClr>
                  </w14:solidFill>
                </w14:textFill>
              </w:rPr>
              <w:t>投标声明函</w:t>
            </w:r>
          </w:p>
        </w:tc>
        <w:tc>
          <w:tcPr>
            <w:tcW w:w="4380" w:type="dxa"/>
            <w:tcBorders>
              <w:top w:val="outset" w:color="auto" w:sz="6" w:space="0"/>
              <w:left w:val="outset" w:color="auto" w:sz="6" w:space="0"/>
              <w:bottom w:val="outset" w:color="auto" w:sz="6" w:space="0"/>
              <w:right w:val="outset" w:color="auto" w:sz="6" w:space="0"/>
            </w:tcBorders>
            <w:vAlign w:val="center"/>
          </w:tcPr>
          <w:p w14:paraId="355CF0F9">
            <w:pPr>
              <w:spacing w:line="440" w:lineRule="exact"/>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格式详见第五章投标文件格式</w:t>
            </w:r>
          </w:p>
        </w:tc>
        <w:tc>
          <w:tcPr>
            <w:tcW w:w="1850" w:type="dxa"/>
            <w:tcBorders>
              <w:top w:val="outset" w:color="auto" w:sz="6" w:space="0"/>
              <w:left w:val="outset" w:color="auto" w:sz="6" w:space="0"/>
              <w:bottom w:val="outset" w:color="auto" w:sz="6" w:space="0"/>
              <w:right w:val="outset" w:color="auto" w:sz="6" w:space="0"/>
            </w:tcBorders>
            <w:vAlign w:val="center"/>
          </w:tcPr>
          <w:p w14:paraId="6F6E4916">
            <w:pPr>
              <w:widowControl/>
              <w:spacing w:line="44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检查有效性</w:t>
            </w:r>
          </w:p>
        </w:tc>
      </w:tr>
      <w:tr w14:paraId="0A716C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411" w:hRule="atLeast"/>
          <w:tblCellSpacing w:w="0" w:type="dxa"/>
        </w:trPr>
        <w:tc>
          <w:tcPr>
            <w:tcW w:w="547" w:type="dxa"/>
            <w:tcBorders>
              <w:top w:val="outset" w:color="auto" w:sz="6" w:space="0"/>
              <w:left w:val="outset" w:color="auto" w:sz="6" w:space="0"/>
              <w:bottom w:val="outset" w:color="ACA899" w:sz="6" w:space="0"/>
              <w:right w:val="outset" w:color="auto" w:sz="6" w:space="0"/>
            </w:tcBorders>
            <w:vAlign w:val="center"/>
          </w:tcPr>
          <w:p w14:paraId="4C576B15">
            <w:pPr>
              <w:spacing w:line="440" w:lineRule="exact"/>
              <w:jc w:val="center"/>
              <w:rPr>
                <w:rFonts w:hint="eastAsia" w:asciiTheme="minorEastAsia" w:hAnsiTheme="minorEastAsia" w:eastAsiaTheme="minorEastAsia" w:cstheme="minorEastAsia"/>
                <w:color w:val="0D0D0D" w:themeColor="text1" w:themeTint="F2"/>
                <w:kern w:val="0"/>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kern w:val="0"/>
                <w:lang w:val="en-US" w:eastAsia="zh-CN"/>
                <w14:textFill>
                  <w14:solidFill>
                    <w14:schemeClr w14:val="tx1">
                      <w14:lumMod w14:val="95000"/>
                      <w14:lumOff w14:val="5000"/>
                    </w14:schemeClr>
                  </w14:solidFill>
                </w14:textFill>
              </w:rPr>
              <w:t>9</w:t>
            </w:r>
          </w:p>
        </w:tc>
        <w:tc>
          <w:tcPr>
            <w:tcW w:w="8493" w:type="dxa"/>
            <w:gridSpan w:val="3"/>
            <w:tcBorders>
              <w:top w:val="outset" w:color="auto" w:sz="6" w:space="0"/>
              <w:left w:val="outset" w:color="auto" w:sz="6" w:space="0"/>
              <w:bottom w:val="outset" w:color="ACA899" w:sz="6" w:space="0"/>
              <w:right w:val="outset" w:color="auto" w:sz="6" w:space="0"/>
            </w:tcBorders>
            <w:vAlign w:val="center"/>
          </w:tcPr>
          <w:p w14:paraId="6C7663E6">
            <w:pPr>
              <w:spacing w:line="440" w:lineRule="exact"/>
              <w:jc w:val="left"/>
              <w:rPr>
                <w:rFonts w:asciiTheme="minorEastAsia" w:hAnsiTheme="minorEastAsia" w:eastAsiaTheme="minorEastAsia" w:cstheme="minorEastAsia"/>
                <w:b/>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kern w:val="0"/>
                <w14:textFill>
                  <w14:solidFill>
                    <w14:schemeClr w14:val="tx1">
                      <w14:lumMod w14:val="95000"/>
                      <w14:lumOff w14:val="5000"/>
                    </w14:schemeClr>
                  </w14:solidFill>
                </w14:textFill>
              </w:rPr>
              <w:t>备注：上述（1）～（</w:t>
            </w:r>
            <w:r>
              <w:rPr>
                <w:rFonts w:hint="eastAsia" w:asciiTheme="minorEastAsia" w:hAnsiTheme="minorEastAsia" w:eastAsiaTheme="minorEastAsia" w:cstheme="minorEastAsia"/>
                <w:b/>
                <w:color w:val="0D0D0D" w:themeColor="text1" w:themeTint="F2"/>
                <w:kern w:val="0"/>
                <w:lang w:val="en-US" w:eastAsia="zh-CN"/>
                <w14:textFill>
                  <w14:solidFill>
                    <w14:schemeClr w14:val="tx1">
                      <w14:lumMod w14:val="95000"/>
                      <w14:lumOff w14:val="5000"/>
                    </w14:schemeClr>
                  </w14:solidFill>
                </w14:textFill>
              </w:rPr>
              <w:t>8</w:t>
            </w:r>
            <w:r>
              <w:rPr>
                <w:rFonts w:hint="eastAsia" w:asciiTheme="minorEastAsia" w:hAnsiTheme="minorEastAsia" w:eastAsiaTheme="minorEastAsia" w:cstheme="minorEastAsia"/>
                <w:b/>
                <w:color w:val="0D0D0D" w:themeColor="text1" w:themeTint="F2"/>
                <w:kern w:val="0"/>
                <w14:textFill>
                  <w14:solidFill>
                    <w14:schemeClr w14:val="tx1">
                      <w14:lumMod w14:val="95000"/>
                      <w14:lumOff w14:val="5000"/>
                    </w14:schemeClr>
                  </w14:solidFill>
                </w14:textFill>
              </w:rPr>
              <w:t>）中任何一条不符合要求 ，则资格审查不通过。</w:t>
            </w:r>
          </w:p>
        </w:tc>
      </w:tr>
    </w:tbl>
    <w:p w14:paraId="7FA21E96">
      <w:pPr>
        <w:pStyle w:val="58"/>
        <w:spacing w:line="440" w:lineRule="exact"/>
        <w:ind w:firstLine="47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二、评分细则</w:t>
      </w:r>
    </w:p>
    <w:p w14:paraId="61063867">
      <w:pPr>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1、评标办法：本次招标采用最低</w:t>
      </w:r>
      <w:r>
        <w:rPr>
          <w:rFonts w:hint="eastAsia" w:asciiTheme="minorEastAsia" w:hAnsiTheme="minorEastAsia" w:eastAsiaTheme="minorEastAsia" w:cstheme="minorEastAsia"/>
          <w:lang w:eastAsia="zh-CN"/>
        </w:rPr>
        <w:t>评</w:t>
      </w:r>
      <w:r>
        <w:rPr>
          <w:rFonts w:hint="eastAsia" w:asciiTheme="minorEastAsia" w:hAnsiTheme="minorEastAsia" w:eastAsiaTheme="minorEastAsia" w:cstheme="minorEastAsia"/>
        </w:rPr>
        <w:t>标价法，满足招标文件要求且有效投标报价最低的投标人为第一中标候选人。经评审投标报价相同的，通过抽签方式确定第一中标候选人。</w:t>
      </w:r>
    </w:p>
    <w:p w14:paraId="2E993086">
      <w:pPr>
        <w:spacing w:line="440" w:lineRule="exact"/>
        <w:ind w:firstLine="482"/>
        <w:rPr>
          <w:rFonts w:ascii="宋体" w:hAnsi="宋体"/>
          <w:color w:val="000000"/>
        </w:rPr>
      </w:pPr>
      <w:r>
        <w:rPr>
          <w:rFonts w:hint="eastAsia" w:asciiTheme="minorEastAsia" w:hAnsiTheme="minorEastAsia" w:eastAsiaTheme="minorEastAsia" w:cstheme="minorEastAsia"/>
        </w:rPr>
        <w:t>2、</w:t>
      </w:r>
      <w:r>
        <w:rPr>
          <w:rFonts w:hint="eastAsia" w:ascii="宋体" w:hAnsi="宋体"/>
          <w:color w:val="000000"/>
        </w:rPr>
        <w:t>定标原则</w:t>
      </w:r>
    </w:p>
    <w:p w14:paraId="6D52F91F">
      <w:pPr>
        <w:spacing w:line="440" w:lineRule="exact"/>
        <w:ind w:firstLine="482"/>
        <w:rPr>
          <w:rFonts w:ascii="宋体" w:hAnsi="宋体"/>
        </w:rPr>
      </w:pPr>
      <w:r>
        <w:rPr>
          <w:rFonts w:hint="eastAsia" w:ascii="宋体" w:hAnsi="宋体"/>
        </w:rPr>
        <w:t>（1）评标委员会将向招标人推荐报价最低的前三名投标人为中标候选人，并标明排列顺序；</w:t>
      </w:r>
    </w:p>
    <w:p w14:paraId="6B55701B">
      <w:pPr>
        <w:spacing w:line="440" w:lineRule="exact"/>
        <w:ind w:firstLine="482"/>
        <w:rPr>
          <w:rFonts w:ascii="宋体" w:hAnsi="宋体"/>
        </w:rPr>
      </w:pPr>
      <w:r>
        <w:rPr>
          <w:rFonts w:hint="eastAsia" w:ascii="宋体" w:hAnsi="宋体"/>
        </w:rPr>
        <w:t xml:space="preserve">（2）由招标人根据中标候选人排序确定第一中标候选人为中标人。 </w:t>
      </w:r>
    </w:p>
    <w:p w14:paraId="3A7BDA67">
      <w:pPr>
        <w:spacing w:line="440" w:lineRule="exact"/>
        <w:ind w:firstLine="420" w:firstLineChars="200"/>
        <w:rPr>
          <w:rFonts w:ascii="宋体" w:hAnsi="宋体"/>
        </w:rPr>
      </w:pPr>
      <w:r>
        <w:rPr>
          <w:rFonts w:hint="eastAsia" w:ascii="宋体" w:hAnsi="宋体"/>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5D994E02">
      <w:pPr>
        <w:spacing w:line="440" w:lineRule="exact"/>
        <w:ind w:firstLine="420" w:firstLineChars="200"/>
        <w:rPr>
          <w:rFonts w:ascii="宋体" w:hAnsi="宋体"/>
        </w:rPr>
      </w:pPr>
      <w:r>
        <w:rPr>
          <w:rFonts w:hint="eastAsia" w:ascii="宋体" w:hAnsi="宋体"/>
        </w:rPr>
        <w:t>（4）中标单位在取得《中标通知书》后，在中标通知书规定的时间内，凭中标通知书由法定代表人或授权委托人前往招标方签订合同。</w:t>
      </w:r>
    </w:p>
    <w:p w14:paraId="7025E30B">
      <w:pPr>
        <w:spacing w:line="360" w:lineRule="exact"/>
        <w:ind w:firstLine="482"/>
        <w:rPr>
          <w:rFonts w:ascii="宋体" w:hAnsi="宋体"/>
        </w:rPr>
      </w:pPr>
    </w:p>
    <w:p w14:paraId="1C295602">
      <w:pPr>
        <w:spacing w:line="360" w:lineRule="auto"/>
        <w:jc w:val="center"/>
        <w:rPr>
          <w:rFonts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br w:type="page"/>
      </w: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第四章　合同条款</w:t>
      </w:r>
    </w:p>
    <w:p w14:paraId="2A957F99">
      <w:pPr>
        <w:spacing w:line="360" w:lineRule="auto"/>
        <w:ind w:left="720" w:hanging="720" w:hangingChars="150"/>
        <w:jc w:val="center"/>
        <w:rPr>
          <w:rFonts w:hint="eastAsia" w:ascii="Calibri" w:hAnsi="Calibri"/>
          <w:sz w:val="48"/>
          <w:szCs w:val="48"/>
        </w:rPr>
      </w:pPr>
    </w:p>
    <w:p w14:paraId="13C7F08D">
      <w:pPr>
        <w:spacing w:line="360" w:lineRule="auto"/>
        <w:ind w:left="720" w:hanging="720" w:hangingChars="150"/>
        <w:jc w:val="center"/>
        <w:rPr>
          <w:rFonts w:hint="eastAsia" w:ascii="Calibri" w:hAnsi="Calibri"/>
          <w:sz w:val="48"/>
          <w:szCs w:val="48"/>
        </w:rPr>
      </w:pPr>
    </w:p>
    <w:p w14:paraId="1DB7E582">
      <w:pPr>
        <w:spacing w:line="360" w:lineRule="auto"/>
        <w:jc w:val="both"/>
        <w:rPr>
          <w:rFonts w:ascii="Calibri" w:hAnsi="Calibri"/>
          <w:sz w:val="48"/>
          <w:szCs w:val="48"/>
        </w:rPr>
      </w:pPr>
    </w:p>
    <w:p w14:paraId="4403679C">
      <w:pPr>
        <w:spacing w:line="360" w:lineRule="auto"/>
        <w:ind w:left="720" w:hanging="720" w:hangingChars="150"/>
        <w:jc w:val="center"/>
        <w:rPr>
          <w:rFonts w:hint="eastAsia" w:ascii="Calibri" w:hAnsi="Calibri"/>
          <w:sz w:val="48"/>
          <w:szCs w:val="48"/>
          <w:lang w:val="en-US" w:eastAsia="zh-CN"/>
        </w:rPr>
      </w:pPr>
      <w:r>
        <w:rPr>
          <w:rFonts w:hint="eastAsia" w:ascii="Calibri" w:hAnsi="Calibri"/>
          <w:sz w:val="48"/>
          <w:szCs w:val="48"/>
          <w:lang w:val="en-US" w:eastAsia="zh-CN"/>
        </w:rPr>
        <w:t>通州城区应急水源地供水设施改扩建</w:t>
      </w:r>
    </w:p>
    <w:p w14:paraId="485CBB8B">
      <w:pPr>
        <w:spacing w:line="360" w:lineRule="auto"/>
        <w:ind w:left="720" w:hanging="720" w:hangingChars="150"/>
        <w:jc w:val="center"/>
        <w:rPr>
          <w:rFonts w:ascii="Calibri" w:hAnsi="Calibri" w:eastAsia="方正魏碑简体"/>
          <w:bCs/>
          <w:w w:val="96"/>
          <w:sz w:val="48"/>
          <w:szCs w:val="48"/>
        </w:rPr>
      </w:pPr>
      <w:r>
        <w:rPr>
          <w:rFonts w:hint="eastAsia" w:ascii="Calibri" w:hAnsi="Calibri"/>
          <w:sz w:val="48"/>
          <w:szCs w:val="48"/>
          <w:lang w:val="en-US" w:eastAsia="zh-CN"/>
        </w:rPr>
        <w:t>和技术改造</w:t>
      </w:r>
      <w:r>
        <w:rPr>
          <w:rFonts w:hint="eastAsia" w:ascii="Calibri" w:hAnsi="Calibri"/>
          <w:sz w:val="48"/>
          <w:szCs w:val="48"/>
        </w:rPr>
        <w:t>采购及安装项目</w:t>
      </w:r>
    </w:p>
    <w:p w14:paraId="67394142">
      <w:pPr>
        <w:spacing w:line="360" w:lineRule="auto"/>
        <w:ind w:left="629" w:hanging="633" w:hangingChars="150"/>
        <w:jc w:val="center"/>
        <w:rPr>
          <w:rFonts w:ascii="Calibri" w:hAnsi="Calibri" w:eastAsia="方正魏碑简体"/>
          <w:bCs/>
          <w:w w:val="96"/>
          <w:sz w:val="44"/>
          <w:szCs w:val="44"/>
        </w:rPr>
      </w:pPr>
    </w:p>
    <w:p w14:paraId="3BAC800B">
      <w:pPr>
        <w:spacing w:line="360" w:lineRule="auto"/>
        <w:ind w:left="629" w:hanging="633" w:hangingChars="150"/>
        <w:jc w:val="center"/>
        <w:rPr>
          <w:rFonts w:ascii="Calibri" w:hAnsi="Calibri" w:eastAsia="方正魏碑简体"/>
          <w:bCs/>
          <w:w w:val="96"/>
          <w:sz w:val="44"/>
          <w:szCs w:val="44"/>
        </w:rPr>
      </w:pPr>
    </w:p>
    <w:p w14:paraId="3F1E00AE">
      <w:pPr>
        <w:spacing w:line="360" w:lineRule="auto"/>
        <w:ind w:left="629" w:hanging="633" w:hangingChars="150"/>
        <w:jc w:val="center"/>
        <w:rPr>
          <w:rFonts w:ascii="Calibri" w:hAnsi="Calibri" w:eastAsia="方正魏碑简体"/>
          <w:bCs/>
          <w:w w:val="96"/>
          <w:sz w:val="44"/>
          <w:szCs w:val="44"/>
        </w:rPr>
      </w:pPr>
    </w:p>
    <w:p w14:paraId="580C716B">
      <w:pPr>
        <w:spacing w:line="360" w:lineRule="auto"/>
        <w:ind w:left="1029" w:hanging="1036" w:hangingChars="150"/>
        <w:jc w:val="center"/>
        <w:rPr>
          <w:rFonts w:ascii="Calibri" w:hAnsi="Calibri" w:eastAsia="方正魏碑简体"/>
          <w:bCs/>
          <w:w w:val="96"/>
          <w:sz w:val="72"/>
          <w:szCs w:val="72"/>
        </w:rPr>
      </w:pPr>
      <w:r>
        <w:rPr>
          <w:rFonts w:hint="eastAsia" w:ascii="Calibri" w:hAnsi="Calibri" w:eastAsia="方正魏碑简体"/>
          <w:bCs/>
          <w:w w:val="96"/>
          <w:sz w:val="72"/>
          <w:szCs w:val="72"/>
        </w:rPr>
        <w:t>合</w:t>
      </w:r>
    </w:p>
    <w:p w14:paraId="6AAE9ECF">
      <w:pPr>
        <w:spacing w:line="360" w:lineRule="auto"/>
        <w:ind w:left="1029" w:hanging="1036" w:hangingChars="150"/>
        <w:jc w:val="center"/>
        <w:rPr>
          <w:rFonts w:ascii="Calibri" w:hAnsi="Calibri" w:eastAsia="方正魏碑简体"/>
          <w:bCs/>
          <w:w w:val="96"/>
          <w:sz w:val="72"/>
          <w:szCs w:val="72"/>
        </w:rPr>
      </w:pPr>
      <w:r>
        <w:rPr>
          <w:rFonts w:hint="eastAsia" w:ascii="Calibri" w:hAnsi="Calibri" w:eastAsia="方正魏碑简体"/>
          <w:bCs/>
          <w:w w:val="96"/>
          <w:sz w:val="72"/>
          <w:szCs w:val="72"/>
        </w:rPr>
        <w:t>同</w:t>
      </w:r>
    </w:p>
    <w:p w14:paraId="38B8283C">
      <w:pPr>
        <w:spacing w:line="360" w:lineRule="auto"/>
        <w:ind w:left="1029" w:hanging="1036" w:hangingChars="150"/>
        <w:jc w:val="center"/>
        <w:rPr>
          <w:rFonts w:ascii="Calibri" w:hAnsi="Calibri" w:eastAsia="方正魏碑简体"/>
          <w:bCs/>
          <w:w w:val="96"/>
          <w:sz w:val="72"/>
          <w:szCs w:val="72"/>
        </w:rPr>
      </w:pPr>
      <w:r>
        <w:rPr>
          <w:rFonts w:hint="eastAsia" w:ascii="Calibri" w:hAnsi="Calibri" w:eastAsia="方正魏碑简体"/>
          <w:bCs/>
          <w:w w:val="96"/>
          <w:sz w:val="72"/>
          <w:szCs w:val="72"/>
        </w:rPr>
        <w:t>书</w:t>
      </w:r>
    </w:p>
    <w:p w14:paraId="3E8D7E7A">
      <w:pPr>
        <w:spacing w:line="360" w:lineRule="auto"/>
        <w:ind w:left="540" w:hanging="540" w:hangingChars="150"/>
        <w:jc w:val="center"/>
        <w:rPr>
          <w:rFonts w:ascii="隶书" w:hAnsi="Calibri" w:eastAsia="隶书"/>
          <w:sz w:val="36"/>
          <w:szCs w:val="24"/>
        </w:rPr>
      </w:pPr>
    </w:p>
    <w:p w14:paraId="4C797E3C">
      <w:pPr>
        <w:spacing w:line="360" w:lineRule="auto"/>
        <w:ind w:left="540" w:hanging="540" w:hangingChars="150"/>
        <w:jc w:val="center"/>
        <w:rPr>
          <w:rFonts w:ascii="隶书" w:hAnsi="Calibri" w:eastAsia="隶书"/>
          <w:sz w:val="36"/>
          <w:szCs w:val="24"/>
        </w:rPr>
      </w:pPr>
    </w:p>
    <w:p w14:paraId="5B826109">
      <w:pPr>
        <w:spacing w:line="360" w:lineRule="auto"/>
        <w:ind w:left="540" w:hanging="540" w:hangingChars="150"/>
        <w:jc w:val="center"/>
        <w:rPr>
          <w:rFonts w:ascii="隶书" w:hAnsi="Calibri" w:eastAsia="隶书"/>
          <w:sz w:val="36"/>
          <w:szCs w:val="24"/>
        </w:rPr>
      </w:pPr>
    </w:p>
    <w:p w14:paraId="7C6A2A1D">
      <w:pPr>
        <w:spacing w:line="360" w:lineRule="auto"/>
        <w:rPr>
          <w:rFonts w:ascii="隶书" w:hAnsi="Calibri" w:eastAsia="隶书"/>
          <w:sz w:val="36"/>
          <w:szCs w:val="24"/>
        </w:rPr>
      </w:pPr>
    </w:p>
    <w:p w14:paraId="4E294D35">
      <w:pPr>
        <w:spacing w:line="360" w:lineRule="auto"/>
        <w:ind w:firstLine="1242" w:firstLineChars="345"/>
        <w:rPr>
          <w:rFonts w:ascii="宋体" w:hAnsi="宋体"/>
          <w:sz w:val="36"/>
          <w:szCs w:val="24"/>
        </w:rPr>
      </w:pPr>
      <w:r>
        <w:rPr>
          <w:rFonts w:hint="eastAsia" w:ascii="宋体" w:hAnsi="宋体"/>
          <w:sz w:val="36"/>
          <w:szCs w:val="24"/>
        </w:rPr>
        <w:t>买方：南通市通州区水务有限公司</w:t>
      </w:r>
    </w:p>
    <w:p w14:paraId="2F1AD55B">
      <w:pPr>
        <w:spacing w:line="360" w:lineRule="auto"/>
        <w:ind w:firstLine="1242" w:firstLineChars="345"/>
        <w:rPr>
          <w:rFonts w:ascii="宋体" w:hAnsi="宋体"/>
          <w:sz w:val="36"/>
          <w:szCs w:val="24"/>
          <w:u w:val="single"/>
        </w:rPr>
      </w:pPr>
      <w:r>
        <w:rPr>
          <w:rFonts w:hint="eastAsia" w:ascii="宋体" w:hAnsi="宋体"/>
          <w:sz w:val="36"/>
          <w:szCs w:val="24"/>
        </w:rPr>
        <w:t>卖方：</w:t>
      </w:r>
    </w:p>
    <w:p w14:paraId="08D2109A">
      <w:pPr>
        <w:spacing w:line="360" w:lineRule="auto"/>
        <w:ind w:firstLine="1242" w:firstLineChars="345"/>
        <w:rPr>
          <w:rFonts w:ascii="宋体" w:hAnsi="宋体"/>
          <w:sz w:val="36"/>
          <w:szCs w:val="24"/>
        </w:rPr>
      </w:pPr>
    </w:p>
    <w:p w14:paraId="1F9EB400">
      <w:pPr>
        <w:spacing w:line="360" w:lineRule="auto"/>
        <w:jc w:val="center"/>
        <w:rPr>
          <w:rFonts w:ascii="宋体" w:hAnsi="宋体"/>
          <w:sz w:val="36"/>
          <w:szCs w:val="24"/>
        </w:rPr>
      </w:pPr>
      <w:r>
        <w:rPr>
          <w:rFonts w:hint="eastAsia" w:ascii="宋体" w:hAnsi="宋体"/>
          <w:sz w:val="36"/>
          <w:szCs w:val="24"/>
        </w:rPr>
        <w:t>签订日期：</w:t>
      </w:r>
      <w:r>
        <w:rPr>
          <w:rFonts w:hint="eastAsia" w:ascii="宋体" w:hAnsi="宋体"/>
          <w:sz w:val="36"/>
          <w:szCs w:val="24"/>
          <w:u w:val="single"/>
        </w:rPr>
        <w:t>2025</w:t>
      </w:r>
      <w:r>
        <w:rPr>
          <w:rFonts w:hint="eastAsia" w:ascii="宋体" w:hAnsi="宋体"/>
          <w:sz w:val="36"/>
          <w:szCs w:val="24"/>
        </w:rPr>
        <w:t>年月日</w:t>
      </w:r>
    </w:p>
    <w:p w14:paraId="297CCB73">
      <w:pPr>
        <w:spacing w:line="360" w:lineRule="auto"/>
        <w:ind w:left="358" w:hanging="358" w:hangingChars="112"/>
        <w:jc w:val="center"/>
        <w:rPr>
          <w:rFonts w:ascii="Calibri" w:hAnsi="Calibri" w:eastAsia="黑体"/>
          <w:sz w:val="32"/>
          <w:szCs w:val="24"/>
        </w:rPr>
      </w:pPr>
      <w:r>
        <w:rPr>
          <w:rFonts w:ascii="Calibri" w:hAnsi="Calibri" w:eastAsia="黑体"/>
          <w:sz w:val="32"/>
          <w:szCs w:val="24"/>
        </w:rPr>
        <w:br w:type="page"/>
      </w:r>
    </w:p>
    <w:p w14:paraId="4BC9613B">
      <w:pPr>
        <w:spacing w:line="360" w:lineRule="auto"/>
        <w:ind w:left="358" w:hanging="358" w:hangingChars="112"/>
        <w:jc w:val="center"/>
        <w:rPr>
          <w:rFonts w:ascii="Calibri" w:hAnsi="Calibri" w:eastAsia="黑体"/>
          <w:sz w:val="32"/>
          <w:szCs w:val="24"/>
        </w:rPr>
      </w:pPr>
      <w:r>
        <w:rPr>
          <w:rFonts w:hint="eastAsia" w:ascii="Calibri" w:hAnsi="Calibri" w:eastAsia="黑体"/>
          <w:sz w:val="32"/>
          <w:szCs w:val="24"/>
        </w:rPr>
        <w:t>合同条款前附表</w:t>
      </w:r>
    </w:p>
    <w:tbl>
      <w:tblPr>
        <w:tblStyle w:val="23"/>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953"/>
        <w:gridCol w:w="6848"/>
      </w:tblGrid>
      <w:tr w14:paraId="5E49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5" w:type="dxa"/>
            <w:vAlign w:val="center"/>
          </w:tcPr>
          <w:p w14:paraId="0A073D2D">
            <w:pPr>
              <w:spacing w:line="520" w:lineRule="exact"/>
              <w:jc w:val="center"/>
              <w:rPr>
                <w:rFonts w:ascii="Calibri" w:hAnsi="Calibri"/>
                <w:sz w:val="24"/>
                <w:szCs w:val="24"/>
              </w:rPr>
            </w:pPr>
            <w:r>
              <w:rPr>
                <w:rFonts w:hint="eastAsia" w:ascii="Calibri" w:hAnsi="Calibri"/>
                <w:sz w:val="24"/>
                <w:szCs w:val="24"/>
              </w:rPr>
              <w:t>序号</w:t>
            </w:r>
          </w:p>
        </w:tc>
        <w:tc>
          <w:tcPr>
            <w:tcW w:w="953" w:type="dxa"/>
            <w:vAlign w:val="center"/>
          </w:tcPr>
          <w:p w14:paraId="0C1E69E9">
            <w:pPr>
              <w:spacing w:line="520" w:lineRule="exact"/>
              <w:jc w:val="center"/>
              <w:rPr>
                <w:rFonts w:ascii="Calibri" w:hAnsi="Calibri"/>
                <w:sz w:val="24"/>
                <w:szCs w:val="24"/>
              </w:rPr>
            </w:pPr>
            <w:r>
              <w:rPr>
                <w:rFonts w:hint="eastAsia" w:ascii="Calibri" w:hAnsi="Calibri"/>
                <w:sz w:val="24"/>
                <w:szCs w:val="24"/>
              </w:rPr>
              <w:t>条款号</w:t>
            </w:r>
          </w:p>
        </w:tc>
        <w:tc>
          <w:tcPr>
            <w:tcW w:w="6848" w:type="dxa"/>
            <w:vAlign w:val="center"/>
          </w:tcPr>
          <w:p w14:paraId="544A956B">
            <w:pPr>
              <w:spacing w:line="520" w:lineRule="exact"/>
              <w:jc w:val="center"/>
              <w:rPr>
                <w:rFonts w:ascii="Calibri" w:hAnsi="Calibri"/>
                <w:sz w:val="24"/>
                <w:szCs w:val="24"/>
              </w:rPr>
            </w:pPr>
            <w:r>
              <w:rPr>
                <w:rFonts w:hint="eastAsia" w:ascii="Calibri" w:hAnsi="Calibri"/>
                <w:sz w:val="24"/>
                <w:szCs w:val="24"/>
              </w:rPr>
              <w:t>内容</w:t>
            </w:r>
          </w:p>
        </w:tc>
      </w:tr>
      <w:tr w14:paraId="0401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5" w:type="dxa"/>
            <w:vAlign w:val="center"/>
          </w:tcPr>
          <w:p w14:paraId="2B04777A">
            <w:pPr>
              <w:spacing w:line="520" w:lineRule="exact"/>
              <w:jc w:val="center"/>
              <w:rPr>
                <w:rFonts w:ascii="Calibri" w:hAnsi="Calibri"/>
                <w:sz w:val="24"/>
                <w:szCs w:val="24"/>
              </w:rPr>
            </w:pPr>
            <w:r>
              <w:rPr>
                <w:rFonts w:hint="eastAsia" w:ascii="Calibri" w:hAnsi="Calibri"/>
                <w:sz w:val="24"/>
                <w:szCs w:val="24"/>
              </w:rPr>
              <w:t>1</w:t>
            </w:r>
          </w:p>
        </w:tc>
        <w:tc>
          <w:tcPr>
            <w:tcW w:w="953" w:type="dxa"/>
            <w:vAlign w:val="center"/>
          </w:tcPr>
          <w:p w14:paraId="0F18D0C0">
            <w:pPr>
              <w:spacing w:line="520" w:lineRule="exact"/>
              <w:jc w:val="center"/>
              <w:rPr>
                <w:rFonts w:ascii="Calibri" w:hAnsi="Calibri"/>
                <w:sz w:val="24"/>
                <w:szCs w:val="24"/>
              </w:rPr>
            </w:pPr>
            <w:r>
              <w:rPr>
                <w:rFonts w:hint="eastAsia" w:ascii="Calibri" w:hAnsi="Calibri"/>
                <w:sz w:val="24"/>
                <w:szCs w:val="24"/>
              </w:rPr>
              <w:t>1（5）</w:t>
            </w:r>
          </w:p>
        </w:tc>
        <w:tc>
          <w:tcPr>
            <w:tcW w:w="6848" w:type="dxa"/>
            <w:vAlign w:val="center"/>
          </w:tcPr>
          <w:p w14:paraId="6DE267F0">
            <w:pPr>
              <w:spacing w:line="520" w:lineRule="exact"/>
              <w:rPr>
                <w:rFonts w:ascii="Calibri" w:hAnsi="Calibri"/>
                <w:sz w:val="24"/>
                <w:szCs w:val="24"/>
              </w:rPr>
            </w:pPr>
            <w:r>
              <w:rPr>
                <w:rFonts w:hint="eastAsia" w:ascii="Calibri" w:hAnsi="Calibri"/>
                <w:sz w:val="24"/>
                <w:szCs w:val="24"/>
              </w:rPr>
              <w:t>买方名称：南通市通州区水务有限公司</w:t>
            </w:r>
          </w:p>
          <w:p w14:paraId="4108602B">
            <w:pPr>
              <w:spacing w:line="520" w:lineRule="exact"/>
              <w:rPr>
                <w:rFonts w:ascii="Calibri" w:hAnsi="Calibri"/>
                <w:sz w:val="24"/>
                <w:szCs w:val="24"/>
              </w:rPr>
            </w:pPr>
            <w:r>
              <w:rPr>
                <w:rFonts w:hint="eastAsia" w:ascii="Calibri" w:hAnsi="Calibri"/>
                <w:sz w:val="24"/>
                <w:szCs w:val="24"/>
              </w:rPr>
              <w:t>买方地址：</w:t>
            </w:r>
            <w:r>
              <w:rPr>
                <w:rFonts w:hint="eastAsia" w:ascii="仿宋_GB2312" w:hAnsi="Calibri"/>
                <w:sz w:val="24"/>
                <w:szCs w:val="24"/>
              </w:rPr>
              <w:t>南通市通州区金沙镇金通路18号</w:t>
            </w:r>
          </w:p>
          <w:p w14:paraId="78CBA9E1">
            <w:pPr>
              <w:spacing w:line="520" w:lineRule="exact"/>
              <w:rPr>
                <w:rFonts w:ascii="Calibri" w:hAnsi="Calibri"/>
                <w:sz w:val="24"/>
                <w:szCs w:val="24"/>
              </w:rPr>
            </w:pPr>
            <w:r>
              <w:rPr>
                <w:rFonts w:hint="eastAsia" w:ascii="Calibri" w:hAnsi="Calibri"/>
                <w:sz w:val="24"/>
                <w:szCs w:val="24"/>
              </w:rPr>
              <w:t xml:space="preserve">买方电话： </w:t>
            </w:r>
          </w:p>
          <w:p w14:paraId="637CE7B1">
            <w:pPr>
              <w:spacing w:line="520" w:lineRule="exact"/>
              <w:rPr>
                <w:rFonts w:ascii="Calibri" w:hAnsi="Calibri"/>
                <w:sz w:val="24"/>
                <w:szCs w:val="24"/>
              </w:rPr>
            </w:pPr>
            <w:r>
              <w:rPr>
                <w:rFonts w:hint="eastAsia" w:ascii="Calibri" w:hAnsi="Calibri"/>
                <w:sz w:val="24"/>
                <w:szCs w:val="24"/>
              </w:rPr>
              <w:t>买方联系人：</w:t>
            </w:r>
            <w:r>
              <w:rPr>
                <w:rFonts w:ascii="Calibri" w:hAnsi="Calibri"/>
                <w:sz w:val="24"/>
                <w:szCs w:val="24"/>
              </w:rPr>
              <w:t xml:space="preserve"> </w:t>
            </w:r>
          </w:p>
        </w:tc>
      </w:tr>
      <w:tr w14:paraId="58C0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775" w:type="dxa"/>
            <w:vAlign w:val="center"/>
          </w:tcPr>
          <w:p w14:paraId="1A721DF0">
            <w:pPr>
              <w:spacing w:line="520" w:lineRule="exact"/>
              <w:jc w:val="center"/>
              <w:rPr>
                <w:rFonts w:ascii="Calibri" w:hAnsi="Calibri"/>
                <w:sz w:val="24"/>
                <w:szCs w:val="24"/>
              </w:rPr>
            </w:pPr>
            <w:r>
              <w:rPr>
                <w:rFonts w:hint="eastAsia" w:ascii="Calibri" w:hAnsi="Calibri"/>
                <w:sz w:val="24"/>
                <w:szCs w:val="24"/>
              </w:rPr>
              <w:t>2</w:t>
            </w:r>
          </w:p>
        </w:tc>
        <w:tc>
          <w:tcPr>
            <w:tcW w:w="953" w:type="dxa"/>
            <w:vAlign w:val="center"/>
          </w:tcPr>
          <w:p w14:paraId="22DA4B41">
            <w:pPr>
              <w:spacing w:line="520" w:lineRule="exact"/>
              <w:jc w:val="center"/>
              <w:rPr>
                <w:rFonts w:ascii="Calibri" w:hAnsi="Calibri"/>
                <w:sz w:val="24"/>
                <w:szCs w:val="24"/>
              </w:rPr>
            </w:pPr>
            <w:r>
              <w:rPr>
                <w:rFonts w:hint="eastAsia" w:ascii="Calibri" w:hAnsi="Calibri"/>
                <w:sz w:val="24"/>
                <w:szCs w:val="24"/>
              </w:rPr>
              <w:t>1（6）</w:t>
            </w:r>
          </w:p>
        </w:tc>
        <w:tc>
          <w:tcPr>
            <w:tcW w:w="6848" w:type="dxa"/>
            <w:vAlign w:val="center"/>
          </w:tcPr>
          <w:p w14:paraId="4A49156F">
            <w:pPr>
              <w:spacing w:line="520" w:lineRule="exact"/>
              <w:rPr>
                <w:rFonts w:ascii="Calibri" w:hAnsi="Calibri"/>
                <w:sz w:val="24"/>
                <w:szCs w:val="24"/>
                <w:u w:val="single"/>
              </w:rPr>
            </w:pPr>
            <w:r>
              <w:rPr>
                <w:rFonts w:hint="eastAsia" w:ascii="Calibri" w:hAnsi="Calibri"/>
                <w:sz w:val="24"/>
                <w:szCs w:val="24"/>
              </w:rPr>
              <w:t>卖方名称：</w:t>
            </w:r>
          </w:p>
          <w:p w14:paraId="271F43CD">
            <w:pPr>
              <w:spacing w:line="520" w:lineRule="exact"/>
              <w:rPr>
                <w:rFonts w:ascii="Calibri" w:hAnsi="Calibri"/>
                <w:sz w:val="24"/>
                <w:szCs w:val="24"/>
                <w:u w:val="single"/>
              </w:rPr>
            </w:pPr>
            <w:r>
              <w:rPr>
                <w:rFonts w:hint="eastAsia" w:ascii="Calibri" w:hAnsi="Calibri"/>
                <w:sz w:val="24"/>
                <w:szCs w:val="24"/>
              </w:rPr>
              <w:t>卖方地址：</w:t>
            </w:r>
          </w:p>
          <w:p w14:paraId="21B25D90">
            <w:pPr>
              <w:spacing w:line="520" w:lineRule="exact"/>
              <w:rPr>
                <w:rFonts w:ascii="Calibri" w:hAnsi="Calibri"/>
                <w:sz w:val="24"/>
                <w:szCs w:val="24"/>
                <w:u w:val="single"/>
              </w:rPr>
            </w:pPr>
            <w:r>
              <w:rPr>
                <w:rFonts w:hint="eastAsia" w:ascii="Calibri" w:hAnsi="Calibri"/>
                <w:sz w:val="24"/>
                <w:szCs w:val="24"/>
              </w:rPr>
              <w:t>卖方电话：</w:t>
            </w:r>
          </w:p>
          <w:p w14:paraId="09754654">
            <w:pPr>
              <w:spacing w:line="520" w:lineRule="exact"/>
              <w:rPr>
                <w:rFonts w:ascii="Calibri" w:hAnsi="Calibri"/>
                <w:sz w:val="24"/>
                <w:szCs w:val="24"/>
                <w:u w:val="single"/>
              </w:rPr>
            </w:pPr>
            <w:r>
              <w:rPr>
                <w:rFonts w:hint="eastAsia" w:ascii="Calibri" w:hAnsi="Calibri"/>
                <w:sz w:val="24"/>
                <w:szCs w:val="24"/>
              </w:rPr>
              <w:t>卖方联系人：</w:t>
            </w:r>
          </w:p>
        </w:tc>
      </w:tr>
      <w:tr w14:paraId="5EB9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75" w:type="dxa"/>
            <w:vAlign w:val="center"/>
          </w:tcPr>
          <w:p w14:paraId="053B686D">
            <w:pPr>
              <w:spacing w:line="520" w:lineRule="exact"/>
              <w:jc w:val="center"/>
              <w:rPr>
                <w:rFonts w:ascii="Calibri" w:hAnsi="Calibri"/>
                <w:sz w:val="24"/>
                <w:szCs w:val="24"/>
              </w:rPr>
            </w:pPr>
            <w:r>
              <w:rPr>
                <w:rFonts w:hint="eastAsia" w:ascii="Calibri" w:hAnsi="Calibri"/>
                <w:sz w:val="24"/>
                <w:szCs w:val="24"/>
              </w:rPr>
              <w:t>3</w:t>
            </w:r>
          </w:p>
        </w:tc>
        <w:tc>
          <w:tcPr>
            <w:tcW w:w="953" w:type="dxa"/>
            <w:vAlign w:val="center"/>
          </w:tcPr>
          <w:p w14:paraId="5E3F965E">
            <w:pPr>
              <w:spacing w:line="520" w:lineRule="exact"/>
              <w:jc w:val="center"/>
              <w:rPr>
                <w:rFonts w:ascii="Calibri" w:hAnsi="Calibri"/>
                <w:sz w:val="24"/>
                <w:szCs w:val="24"/>
              </w:rPr>
            </w:pPr>
            <w:r>
              <w:rPr>
                <w:rFonts w:hint="eastAsia" w:ascii="Calibri" w:hAnsi="Calibri"/>
                <w:sz w:val="24"/>
                <w:szCs w:val="24"/>
              </w:rPr>
              <w:t>1（7）</w:t>
            </w:r>
          </w:p>
        </w:tc>
        <w:tc>
          <w:tcPr>
            <w:tcW w:w="6848" w:type="dxa"/>
            <w:vAlign w:val="center"/>
          </w:tcPr>
          <w:p w14:paraId="04958CD3">
            <w:pPr>
              <w:spacing w:line="520" w:lineRule="exact"/>
              <w:rPr>
                <w:rFonts w:ascii="Calibri" w:hAnsi="Calibri"/>
                <w:sz w:val="24"/>
                <w:szCs w:val="24"/>
                <w:u w:val="single"/>
              </w:rPr>
            </w:pPr>
            <w:r>
              <w:rPr>
                <w:rFonts w:hint="eastAsia" w:ascii="Calibri" w:hAnsi="Calibri"/>
                <w:sz w:val="24"/>
                <w:szCs w:val="24"/>
              </w:rPr>
              <w:t>项目现场：</w:t>
            </w:r>
            <w:r>
              <w:rPr>
                <w:rFonts w:hint="eastAsia" w:ascii="Calibri" w:hAnsi="Calibri"/>
                <w:sz w:val="24"/>
                <w:szCs w:val="24"/>
                <w:u w:val="single"/>
              </w:rPr>
              <w:t>通州区</w:t>
            </w:r>
          </w:p>
        </w:tc>
      </w:tr>
      <w:tr w14:paraId="0AF1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75" w:type="dxa"/>
            <w:vAlign w:val="center"/>
          </w:tcPr>
          <w:p w14:paraId="5EFBBA3E">
            <w:pPr>
              <w:spacing w:line="520" w:lineRule="exact"/>
              <w:jc w:val="center"/>
              <w:rPr>
                <w:rFonts w:ascii="Calibri" w:hAnsi="Calibri"/>
                <w:sz w:val="24"/>
                <w:szCs w:val="24"/>
              </w:rPr>
            </w:pPr>
            <w:r>
              <w:rPr>
                <w:rFonts w:hint="eastAsia" w:ascii="Calibri" w:hAnsi="Calibri"/>
                <w:sz w:val="24"/>
                <w:szCs w:val="24"/>
              </w:rPr>
              <w:t>4</w:t>
            </w:r>
          </w:p>
        </w:tc>
        <w:tc>
          <w:tcPr>
            <w:tcW w:w="953" w:type="dxa"/>
            <w:vAlign w:val="center"/>
          </w:tcPr>
          <w:p w14:paraId="0DDED417">
            <w:pPr>
              <w:spacing w:line="520" w:lineRule="exact"/>
              <w:jc w:val="center"/>
              <w:rPr>
                <w:rFonts w:ascii="Calibri" w:hAnsi="Calibri"/>
                <w:sz w:val="24"/>
                <w:szCs w:val="24"/>
              </w:rPr>
            </w:pPr>
            <w:r>
              <w:rPr>
                <w:rFonts w:hint="eastAsia" w:ascii="Calibri" w:hAnsi="Calibri"/>
                <w:sz w:val="24"/>
                <w:szCs w:val="24"/>
              </w:rPr>
              <w:t>8</w:t>
            </w:r>
          </w:p>
        </w:tc>
        <w:tc>
          <w:tcPr>
            <w:tcW w:w="6848" w:type="dxa"/>
            <w:vAlign w:val="center"/>
          </w:tcPr>
          <w:p w14:paraId="44C46887">
            <w:pPr>
              <w:spacing w:line="520" w:lineRule="exact"/>
              <w:rPr>
                <w:rFonts w:ascii="Calibri" w:hAnsi="Calibri"/>
                <w:sz w:val="24"/>
                <w:szCs w:val="24"/>
              </w:rPr>
            </w:pPr>
            <w:r>
              <w:rPr>
                <w:rFonts w:hint="eastAsia" w:ascii="Calibri" w:hAnsi="Calibri"/>
                <w:sz w:val="24"/>
                <w:szCs w:val="24"/>
              </w:rPr>
              <w:t>合同价格：人民币：（RMB：</w:t>
            </w:r>
            <w:r>
              <w:rPr>
                <w:rFonts w:hint="eastAsia" w:ascii="Calibri" w:hAnsi="Calibri"/>
                <w:sz w:val="24"/>
                <w:szCs w:val="24"/>
                <w:u w:val="single"/>
              </w:rPr>
              <w:t xml:space="preserve"> 元 </w:t>
            </w:r>
            <w:r>
              <w:rPr>
                <w:rFonts w:ascii="Calibri" w:hAnsi="Calibri"/>
                <w:sz w:val="24"/>
                <w:szCs w:val="24"/>
              </w:rPr>
              <w:t>）</w:t>
            </w:r>
          </w:p>
        </w:tc>
      </w:tr>
      <w:tr w14:paraId="50713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775" w:type="dxa"/>
            <w:vAlign w:val="center"/>
          </w:tcPr>
          <w:p w14:paraId="34065512">
            <w:pPr>
              <w:spacing w:line="520" w:lineRule="exact"/>
              <w:jc w:val="center"/>
              <w:rPr>
                <w:rFonts w:ascii="Calibri" w:hAnsi="Calibri"/>
                <w:sz w:val="24"/>
                <w:szCs w:val="24"/>
              </w:rPr>
            </w:pPr>
            <w:r>
              <w:rPr>
                <w:rFonts w:hint="eastAsia" w:ascii="Calibri" w:hAnsi="Calibri"/>
                <w:sz w:val="24"/>
                <w:szCs w:val="24"/>
              </w:rPr>
              <w:t>5</w:t>
            </w:r>
          </w:p>
        </w:tc>
        <w:tc>
          <w:tcPr>
            <w:tcW w:w="953" w:type="dxa"/>
            <w:vAlign w:val="center"/>
          </w:tcPr>
          <w:p w14:paraId="3D23E2E1">
            <w:pPr>
              <w:spacing w:line="520" w:lineRule="exact"/>
              <w:jc w:val="center"/>
              <w:rPr>
                <w:rFonts w:ascii="Calibri" w:hAnsi="Calibri"/>
                <w:sz w:val="24"/>
                <w:szCs w:val="24"/>
              </w:rPr>
            </w:pPr>
            <w:r>
              <w:rPr>
                <w:rFonts w:ascii="Calibri" w:hAnsi="Calibri"/>
                <w:sz w:val="24"/>
                <w:szCs w:val="24"/>
              </w:rPr>
              <w:t>15.2</w:t>
            </w:r>
          </w:p>
        </w:tc>
        <w:tc>
          <w:tcPr>
            <w:tcW w:w="6848" w:type="dxa"/>
            <w:vAlign w:val="center"/>
          </w:tcPr>
          <w:p w14:paraId="4D589B01">
            <w:pPr>
              <w:widowControl/>
              <w:tabs>
                <w:tab w:val="left" w:pos="1260"/>
              </w:tabs>
              <w:spacing w:line="440" w:lineRule="exact"/>
              <w:ind w:firstLine="480" w:firstLineChars="200"/>
              <w:jc w:val="left"/>
              <w:rPr>
                <w:rFonts w:ascii="Calibri" w:hAnsi="Calibri"/>
                <w:sz w:val="24"/>
                <w:szCs w:val="24"/>
              </w:rPr>
            </w:pPr>
            <w:r>
              <w:rPr>
                <w:rFonts w:hint="eastAsia" w:ascii="Calibri" w:hAnsi="Calibri"/>
                <w:sz w:val="24"/>
                <w:szCs w:val="24"/>
              </w:rPr>
              <w:t>付款计划：</w:t>
            </w:r>
            <w:r>
              <w:rPr>
                <w:rFonts w:hint="eastAsia" w:ascii="Calibri" w:hAnsi="Calibri"/>
                <w:b/>
                <w:sz w:val="24"/>
                <w:szCs w:val="24"/>
              </w:rPr>
              <w:t>经买方验收合格，</w:t>
            </w:r>
            <w:r>
              <w:rPr>
                <w:rFonts w:hint="eastAsia" w:ascii="Calibri" w:hAnsi="Calibri"/>
                <w:b/>
                <w:sz w:val="24"/>
                <w:szCs w:val="24"/>
                <w:lang w:val="en-US" w:eastAsia="zh-CN"/>
              </w:rPr>
              <w:t>卖方</w:t>
            </w:r>
            <w:r>
              <w:rPr>
                <w:rFonts w:hint="eastAsia" w:ascii="Calibri" w:hAnsi="Calibri"/>
                <w:b/>
                <w:sz w:val="24"/>
                <w:szCs w:val="24"/>
              </w:rPr>
              <w:t>全额开具</w:t>
            </w:r>
            <w:r>
              <w:rPr>
                <w:rFonts w:hint="eastAsia" w:ascii="Calibri" w:hAnsi="Calibri"/>
                <w:b/>
                <w:sz w:val="24"/>
                <w:szCs w:val="24"/>
                <w:highlight w:val="none"/>
              </w:rPr>
              <w:t>增值税专用发票</w:t>
            </w:r>
            <w:r>
              <w:rPr>
                <w:rFonts w:hint="eastAsia" w:ascii="Calibri" w:hAnsi="Calibri"/>
                <w:b/>
                <w:sz w:val="24"/>
                <w:szCs w:val="24"/>
              </w:rPr>
              <w:t>后，</w:t>
            </w:r>
            <w:r>
              <w:rPr>
                <w:rFonts w:hint="eastAsia" w:ascii="Calibri" w:hAnsi="Calibri"/>
                <w:b/>
                <w:sz w:val="24"/>
                <w:szCs w:val="24"/>
                <w:lang w:val="en-US" w:eastAsia="zh-CN"/>
              </w:rPr>
              <w:t>买方10日内</w:t>
            </w:r>
            <w:r>
              <w:rPr>
                <w:rFonts w:hint="eastAsia" w:ascii="Calibri" w:hAnsi="Calibri"/>
                <w:b/>
                <w:sz w:val="24"/>
                <w:szCs w:val="24"/>
              </w:rPr>
              <w:t>支付合同总额的</w:t>
            </w:r>
            <w:r>
              <w:rPr>
                <w:rFonts w:hint="eastAsia" w:ascii="Calibri" w:hAnsi="Calibri"/>
                <w:b/>
                <w:sz w:val="24"/>
                <w:szCs w:val="24"/>
                <w:highlight w:val="none"/>
                <w:lang w:val="en-US" w:eastAsia="zh-CN"/>
              </w:rPr>
              <w:t>80</w:t>
            </w:r>
            <w:r>
              <w:rPr>
                <w:rFonts w:hint="eastAsia" w:ascii="Calibri" w:hAnsi="Calibri"/>
                <w:b/>
                <w:sz w:val="24"/>
                <w:szCs w:val="24"/>
                <w:highlight w:val="none"/>
              </w:rPr>
              <w:t>%，</w:t>
            </w:r>
            <w:r>
              <w:rPr>
                <w:rFonts w:hint="eastAsia" w:ascii="Calibri" w:hAnsi="Calibri"/>
                <w:b/>
                <w:sz w:val="24"/>
                <w:szCs w:val="24"/>
              </w:rPr>
              <w:t>同时退还</w:t>
            </w:r>
            <w:r>
              <w:rPr>
                <w:rFonts w:hint="eastAsia" w:ascii="Calibri" w:hAnsi="Calibri"/>
                <w:b/>
                <w:sz w:val="24"/>
                <w:szCs w:val="24"/>
                <w:lang w:val="en-US" w:eastAsia="zh-CN"/>
              </w:rPr>
              <w:t>合同总额5％的</w:t>
            </w:r>
            <w:r>
              <w:rPr>
                <w:rFonts w:hint="eastAsia" w:ascii="Calibri" w:hAnsi="Calibri"/>
                <w:b/>
                <w:sz w:val="24"/>
                <w:szCs w:val="24"/>
              </w:rPr>
              <w:t>履约保证金</w:t>
            </w:r>
            <w:r>
              <w:rPr>
                <w:rFonts w:hint="eastAsia" w:ascii="Calibri" w:hAnsi="Calibri"/>
                <w:b/>
                <w:sz w:val="24"/>
                <w:szCs w:val="24"/>
                <w:lang w:eastAsia="zh-CN"/>
              </w:rPr>
              <w:t>（</w:t>
            </w:r>
            <w:r>
              <w:rPr>
                <w:rFonts w:hint="eastAsia" w:ascii="Calibri" w:hAnsi="Calibri"/>
                <w:b/>
                <w:sz w:val="24"/>
                <w:szCs w:val="24"/>
                <w:lang w:val="en-US" w:eastAsia="zh-CN"/>
              </w:rPr>
              <w:t>剩余合同总额5％的</w:t>
            </w:r>
            <w:r>
              <w:rPr>
                <w:rFonts w:hint="eastAsia" w:ascii="Calibri" w:hAnsi="Calibri"/>
                <w:b/>
                <w:sz w:val="24"/>
                <w:szCs w:val="24"/>
              </w:rPr>
              <w:t>履约保证金</w:t>
            </w:r>
            <w:r>
              <w:rPr>
                <w:rFonts w:hint="eastAsia" w:ascii="Calibri" w:hAnsi="Calibri"/>
                <w:b/>
                <w:sz w:val="24"/>
                <w:szCs w:val="24"/>
                <w:lang w:val="en-US" w:eastAsia="zh-CN"/>
              </w:rPr>
              <w:t>自动转为质保金）</w:t>
            </w:r>
            <w:r>
              <w:rPr>
                <w:rFonts w:hint="eastAsia" w:ascii="Calibri" w:hAnsi="Calibri"/>
                <w:b/>
                <w:sz w:val="24"/>
                <w:szCs w:val="24"/>
                <w:lang w:eastAsia="zh-CN"/>
              </w:rPr>
              <w:t>。</w:t>
            </w:r>
            <w:r>
              <w:rPr>
                <w:rFonts w:hint="eastAsia" w:ascii="Calibri" w:hAnsi="Calibri"/>
                <w:b/>
                <w:sz w:val="24"/>
                <w:szCs w:val="24"/>
                <w:lang w:val="en-US" w:eastAsia="zh-CN"/>
              </w:rPr>
              <w:t>验收合格满一年后，10日内支付合同总额的20%；</w:t>
            </w:r>
            <w:r>
              <w:rPr>
                <w:rFonts w:hint="eastAsia" w:ascii="Calibri" w:hAnsi="Calibri"/>
                <w:b/>
                <w:sz w:val="24"/>
                <w:szCs w:val="24"/>
              </w:rPr>
              <w:t>质保金</w:t>
            </w:r>
            <w:r>
              <w:rPr>
                <w:rFonts w:hint="eastAsia" w:ascii="Calibri" w:hAnsi="Calibri"/>
                <w:b/>
                <w:sz w:val="24"/>
                <w:szCs w:val="24"/>
                <w:lang w:eastAsia="zh-CN"/>
              </w:rPr>
              <w:t>（</w:t>
            </w:r>
            <w:r>
              <w:rPr>
                <w:rFonts w:hint="eastAsia" w:ascii="Calibri" w:hAnsi="Calibri"/>
                <w:b/>
                <w:sz w:val="24"/>
                <w:szCs w:val="24"/>
                <w:lang w:val="en-US" w:eastAsia="zh-CN"/>
              </w:rPr>
              <w:t>合同总额5％的</w:t>
            </w:r>
            <w:r>
              <w:rPr>
                <w:rFonts w:hint="eastAsia" w:ascii="Calibri" w:hAnsi="Calibri"/>
                <w:b/>
                <w:sz w:val="24"/>
                <w:szCs w:val="24"/>
              </w:rPr>
              <w:t>履约保证金</w:t>
            </w:r>
            <w:r>
              <w:rPr>
                <w:rFonts w:hint="eastAsia" w:ascii="Calibri" w:hAnsi="Calibri"/>
                <w:b/>
                <w:sz w:val="24"/>
                <w:szCs w:val="24"/>
                <w:lang w:val="en-US" w:eastAsia="zh-CN"/>
              </w:rPr>
              <w:t>）</w:t>
            </w:r>
            <w:r>
              <w:rPr>
                <w:rFonts w:hint="eastAsia" w:ascii="Calibri" w:hAnsi="Calibri"/>
                <w:b/>
                <w:sz w:val="24"/>
                <w:szCs w:val="24"/>
              </w:rPr>
              <w:t>待</w:t>
            </w:r>
            <w:r>
              <w:rPr>
                <w:rFonts w:hint="eastAsia" w:ascii="Calibri" w:hAnsi="Calibri"/>
                <w:b/>
                <w:sz w:val="24"/>
                <w:szCs w:val="24"/>
                <w:lang w:val="en-US" w:eastAsia="zh-CN"/>
              </w:rPr>
              <w:t>两年</w:t>
            </w:r>
            <w:r>
              <w:rPr>
                <w:rFonts w:hint="eastAsia" w:ascii="Calibri" w:hAnsi="Calibri"/>
                <w:b/>
                <w:sz w:val="24"/>
                <w:szCs w:val="24"/>
              </w:rPr>
              <w:t>质保期</w:t>
            </w:r>
            <w:r>
              <w:rPr>
                <w:rFonts w:hint="eastAsia" w:ascii="Calibri" w:hAnsi="Calibri"/>
                <w:b/>
                <w:sz w:val="24"/>
                <w:szCs w:val="24"/>
                <w:lang w:val="en-US" w:eastAsia="zh-CN"/>
              </w:rPr>
              <w:t>满</w:t>
            </w:r>
            <w:r>
              <w:rPr>
                <w:rFonts w:hint="eastAsia" w:ascii="Calibri" w:hAnsi="Calibri"/>
                <w:b/>
                <w:sz w:val="24"/>
                <w:szCs w:val="24"/>
              </w:rPr>
              <w:t>后</w:t>
            </w:r>
            <w:r>
              <w:rPr>
                <w:rFonts w:hint="eastAsia" w:ascii="Calibri" w:hAnsi="Calibri"/>
                <w:b/>
                <w:sz w:val="24"/>
                <w:szCs w:val="24"/>
                <w:lang w:val="en-US" w:eastAsia="zh-CN"/>
              </w:rPr>
              <w:t>10日内</w:t>
            </w:r>
            <w:r>
              <w:rPr>
                <w:rFonts w:hint="eastAsia" w:ascii="Calibri" w:hAnsi="Calibri"/>
                <w:b/>
                <w:sz w:val="24"/>
                <w:szCs w:val="24"/>
              </w:rPr>
              <w:t>付清。</w:t>
            </w:r>
          </w:p>
        </w:tc>
      </w:tr>
      <w:tr w14:paraId="77C4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75" w:type="dxa"/>
            <w:vAlign w:val="center"/>
          </w:tcPr>
          <w:p w14:paraId="5B4F7897">
            <w:pPr>
              <w:spacing w:line="360" w:lineRule="exact"/>
              <w:jc w:val="center"/>
              <w:rPr>
                <w:rFonts w:ascii="Calibri" w:hAnsi="Calibri"/>
                <w:sz w:val="24"/>
                <w:szCs w:val="24"/>
              </w:rPr>
            </w:pPr>
            <w:r>
              <w:rPr>
                <w:rFonts w:hint="eastAsia" w:ascii="Calibri" w:hAnsi="Calibri"/>
                <w:sz w:val="24"/>
                <w:szCs w:val="24"/>
              </w:rPr>
              <w:t>6</w:t>
            </w:r>
          </w:p>
        </w:tc>
        <w:tc>
          <w:tcPr>
            <w:tcW w:w="953" w:type="dxa"/>
            <w:vAlign w:val="center"/>
          </w:tcPr>
          <w:p w14:paraId="7EEE93BC">
            <w:pPr>
              <w:spacing w:line="360" w:lineRule="exact"/>
              <w:jc w:val="center"/>
              <w:rPr>
                <w:rFonts w:ascii="Calibri" w:hAnsi="Calibri"/>
                <w:sz w:val="24"/>
                <w:szCs w:val="24"/>
              </w:rPr>
            </w:pPr>
            <w:r>
              <w:rPr>
                <w:rFonts w:ascii="Calibri" w:hAnsi="Calibri"/>
                <w:sz w:val="24"/>
                <w:szCs w:val="24"/>
              </w:rPr>
              <w:t>17</w:t>
            </w:r>
          </w:p>
        </w:tc>
        <w:tc>
          <w:tcPr>
            <w:tcW w:w="6848" w:type="dxa"/>
            <w:vAlign w:val="center"/>
          </w:tcPr>
          <w:p w14:paraId="3D87D116">
            <w:pPr>
              <w:widowControl/>
              <w:tabs>
                <w:tab w:val="left" w:pos="1260"/>
              </w:tabs>
              <w:spacing w:line="440" w:lineRule="exact"/>
              <w:ind w:firstLine="480" w:firstLineChars="200"/>
              <w:jc w:val="left"/>
              <w:rPr>
                <w:rFonts w:ascii="Calibri" w:hAnsi="Calibri"/>
                <w:sz w:val="24"/>
                <w:szCs w:val="24"/>
              </w:rPr>
            </w:pPr>
            <w:r>
              <w:rPr>
                <w:rFonts w:hint="eastAsia" w:ascii="Calibri" w:hAnsi="Calibri"/>
                <w:sz w:val="24"/>
                <w:szCs w:val="24"/>
              </w:rPr>
              <w:t>质量保证（修）期：质保期为</w:t>
            </w:r>
            <w:r>
              <w:rPr>
                <w:rFonts w:hint="eastAsia" w:ascii="Calibri" w:hAnsi="Calibri"/>
                <w:sz w:val="24"/>
                <w:szCs w:val="24"/>
                <w:lang w:val="en-US" w:eastAsia="zh-CN"/>
              </w:rPr>
              <w:t>两</w:t>
            </w:r>
            <w:r>
              <w:rPr>
                <w:rFonts w:hint="eastAsia" w:ascii="Calibri" w:hAnsi="Calibri"/>
                <w:sz w:val="24"/>
                <w:szCs w:val="24"/>
              </w:rPr>
              <w:t>年，自项目整体内所有产品验收通过之日起开始计算。在质保期内，同一产品、同一质量问题连续两次维修仍无法正常使用，卖方无条件给予全套更换或退货。</w:t>
            </w:r>
          </w:p>
        </w:tc>
      </w:tr>
    </w:tbl>
    <w:p w14:paraId="691455F1">
      <w:pPr>
        <w:spacing w:line="380" w:lineRule="exact"/>
        <w:ind w:left="358" w:hanging="358" w:hangingChars="112"/>
        <w:rPr>
          <w:rFonts w:ascii="Calibri" w:hAnsi="Calibri" w:eastAsia="黑体"/>
          <w:sz w:val="32"/>
          <w:szCs w:val="24"/>
        </w:rPr>
      </w:pPr>
      <w:bookmarkStart w:id="15" w:name="_Toc106779883"/>
    </w:p>
    <w:p w14:paraId="6BEEA6B3">
      <w:pPr>
        <w:spacing w:line="420" w:lineRule="exact"/>
        <w:ind w:left="358" w:hanging="358" w:hangingChars="112"/>
        <w:jc w:val="center"/>
        <w:rPr>
          <w:rFonts w:ascii="Calibri" w:hAnsi="Calibri" w:eastAsia="黑体"/>
          <w:b/>
          <w:sz w:val="24"/>
          <w:szCs w:val="24"/>
        </w:rPr>
      </w:pPr>
      <w:r>
        <w:rPr>
          <w:rFonts w:ascii="Calibri" w:hAnsi="Calibri" w:eastAsia="黑体"/>
          <w:sz w:val="32"/>
          <w:szCs w:val="24"/>
        </w:rPr>
        <w:br w:type="page"/>
      </w:r>
      <w:r>
        <w:rPr>
          <w:rFonts w:hint="eastAsia" w:ascii="Calibri" w:hAnsi="Calibri" w:eastAsia="黑体"/>
          <w:b/>
          <w:sz w:val="32"/>
          <w:szCs w:val="24"/>
        </w:rPr>
        <w:t>合  同  条  款</w:t>
      </w:r>
      <w:bookmarkEnd w:id="15"/>
    </w:p>
    <w:p w14:paraId="2A25D73F">
      <w:pPr>
        <w:spacing w:line="420" w:lineRule="exact"/>
        <w:ind w:firstLine="480" w:firstLineChars="200"/>
        <w:rPr>
          <w:rFonts w:ascii="黑体" w:hAnsi="Calibri" w:eastAsia="黑体"/>
          <w:sz w:val="24"/>
          <w:szCs w:val="24"/>
        </w:rPr>
      </w:pPr>
      <w:r>
        <w:rPr>
          <w:rFonts w:ascii="黑体" w:hAnsi="Calibri" w:eastAsia="黑体"/>
          <w:sz w:val="24"/>
          <w:szCs w:val="24"/>
        </w:rPr>
        <w:t xml:space="preserve">1  </w:t>
      </w:r>
      <w:r>
        <w:rPr>
          <w:rFonts w:hint="eastAsia" w:ascii="黑体" w:hAnsi="Calibri" w:eastAsia="黑体"/>
          <w:sz w:val="24"/>
          <w:szCs w:val="24"/>
        </w:rPr>
        <w:t>定义</w:t>
      </w:r>
    </w:p>
    <w:p w14:paraId="62085760">
      <w:pPr>
        <w:spacing w:line="420" w:lineRule="exact"/>
        <w:ind w:firstLine="480" w:firstLineChars="200"/>
        <w:rPr>
          <w:rFonts w:ascii="Calibri" w:hAnsi="Calibri"/>
          <w:sz w:val="24"/>
          <w:szCs w:val="24"/>
        </w:rPr>
      </w:pPr>
      <w:r>
        <w:rPr>
          <w:rFonts w:hint="eastAsia" w:ascii="Calibri" w:hAnsi="Calibri"/>
          <w:sz w:val="24"/>
          <w:szCs w:val="24"/>
        </w:rPr>
        <w:t>本合同中的下列术语应解释为：</w:t>
      </w:r>
    </w:p>
    <w:p w14:paraId="19EFBDF4">
      <w:pPr>
        <w:spacing w:line="420" w:lineRule="exact"/>
        <w:ind w:firstLine="480" w:firstLineChars="200"/>
        <w:rPr>
          <w:rFonts w:ascii="Calibri" w:hAnsi="Calibri"/>
          <w:sz w:val="24"/>
          <w:szCs w:val="24"/>
        </w:rPr>
      </w:pPr>
      <w:r>
        <w:rPr>
          <w:rFonts w:ascii="Calibri" w:hAnsi="Calibri"/>
          <w:sz w:val="24"/>
          <w:szCs w:val="24"/>
        </w:rPr>
        <w:t>(</w:t>
      </w:r>
      <w:r>
        <w:rPr>
          <w:rFonts w:hint="eastAsia" w:ascii="Calibri" w:hAnsi="Calibri"/>
          <w:sz w:val="24"/>
          <w:szCs w:val="24"/>
        </w:rPr>
        <w:t>1</w:t>
      </w:r>
      <w:r>
        <w:rPr>
          <w:rFonts w:ascii="Calibri" w:hAnsi="Calibri"/>
          <w:sz w:val="24"/>
          <w:szCs w:val="24"/>
        </w:rPr>
        <w:t>)</w:t>
      </w:r>
      <w:r>
        <w:rPr>
          <w:rFonts w:hint="eastAsia" w:ascii="Calibri" w:hAnsi="Calibri"/>
          <w:sz w:val="24"/>
          <w:szCs w:val="24"/>
        </w:rPr>
        <w:t xml:space="preserve"> 合同系指合同各方共同签署的、载明各方权利义务的协议，包括所有的附件、附录以及上述文件中提到的构成合同的所有文件。</w:t>
      </w:r>
    </w:p>
    <w:p w14:paraId="4741B0B3">
      <w:pPr>
        <w:spacing w:line="420" w:lineRule="exact"/>
        <w:ind w:firstLine="480" w:firstLineChars="200"/>
        <w:rPr>
          <w:rFonts w:ascii="Calibri" w:hAnsi="Calibri"/>
          <w:sz w:val="24"/>
          <w:szCs w:val="24"/>
        </w:rPr>
      </w:pPr>
      <w:r>
        <w:rPr>
          <w:rFonts w:ascii="Calibri" w:hAnsi="Calibri"/>
          <w:sz w:val="24"/>
          <w:szCs w:val="24"/>
        </w:rPr>
        <w:t>(</w:t>
      </w:r>
      <w:r>
        <w:rPr>
          <w:rFonts w:hint="eastAsia" w:ascii="Calibri" w:hAnsi="Calibri"/>
          <w:sz w:val="24"/>
          <w:szCs w:val="24"/>
        </w:rPr>
        <w:t>2</w:t>
      </w:r>
      <w:r>
        <w:rPr>
          <w:rFonts w:ascii="Calibri" w:hAnsi="Calibri"/>
          <w:sz w:val="24"/>
          <w:szCs w:val="24"/>
        </w:rPr>
        <w:t>)</w:t>
      </w:r>
      <w:r>
        <w:rPr>
          <w:rFonts w:hint="eastAsia" w:ascii="Calibri" w:hAnsi="Calibri"/>
          <w:sz w:val="24"/>
          <w:szCs w:val="24"/>
        </w:rPr>
        <w:t xml:space="preserve"> 合同价格系指根据合同的规定，卖方在正确、完整地履行合同义务后，买方应向其支付的所有货款及报酬的金额。</w:t>
      </w:r>
    </w:p>
    <w:p w14:paraId="0974DFC9">
      <w:pPr>
        <w:spacing w:line="420" w:lineRule="exact"/>
        <w:ind w:firstLine="480" w:firstLineChars="200"/>
        <w:rPr>
          <w:rFonts w:hint="eastAsia" w:ascii="Calibri" w:hAnsi="Calibri" w:eastAsia="宋体"/>
          <w:sz w:val="21"/>
          <w:szCs w:val="21"/>
          <w:highlight w:val="none"/>
          <w:lang w:eastAsia="zh-CN"/>
        </w:rPr>
      </w:pPr>
      <w:r>
        <w:rPr>
          <w:rFonts w:ascii="Calibri" w:hAnsi="Calibri"/>
          <w:sz w:val="24"/>
          <w:szCs w:val="24"/>
        </w:rPr>
        <w:t>(</w:t>
      </w:r>
      <w:r>
        <w:rPr>
          <w:rFonts w:hint="eastAsia" w:ascii="Calibri" w:hAnsi="Calibri"/>
          <w:sz w:val="24"/>
          <w:szCs w:val="24"/>
        </w:rPr>
        <w:t>3</w:t>
      </w:r>
      <w:r>
        <w:rPr>
          <w:rFonts w:ascii="Calibri" w:hAnsi="Calibri"/>
          <w:sz w:val="24"/>
          <w:szCs w:val="24"/>
        </w:rPr>
        <w:t>)</w:t>
      </w:r>
      <w:r>
        <w:rPr>
          <w:rFonts w:hint="eastAsia" w:ascii="Calibri" w:hAnsi="Calibri"/>
          <w:sz w:val="24"/>
          <w:szCs w:val="24"/>
        </w:rPr>
        <w:t xml:space="preserve"> 货物系指卖方根据合同的规定须向买方提供的一切材料、设备、机械、仪表、备品、备件、工具和（或）其他设施。本合同中系指</w:t>
      </w:r>
      <w:r>
        <w:rPr>
          <w:rFonts w:hint="eastAsia" w:ascii="Calibri" w:hAnsi="Calibri"/>
          <w:sz w:val="24"/>
          <w:szCs w:val="24"/>
          <w:u w:val="single"/>
          <w:lang w:val="en-US" w:eastAsia="zh-CN"/>
        </w:rPr>
        <w:t>通州城区应急水源地供水设施改扩建和技术改造</w:t>
      </w:r>
      <w:r>
        <w:rPr>
          <w:rFonts w:hint="eastAsia" w:ascii="Calibri" w:hAnsi="Calibri"/>
          <w:sz w:val="24"/>
          <w:szCs w:val="24"/>
          <w:u w:val="single"/>
        </w:rPr>
        <w:t>采购及安装</w:t>
      </w:r>
      <w:r>
        <w:rPr>
          <w:rFonts w:hint="eastAsia" w:ascii="Calibri" w:hAnsi="Calibri"/>
          <w:sz w:val="24"/>
          <w:szCs w:val="24"/>
        </w:rPr>
        <w:t>，履行合同过程中如出现</w:t>
      </w:r>
      <w:r>
        <w:rPr>
          <w:rFonts w:hint="eastAsia" w:ascii="Calibri" w:hAnsi="Calibri"/>
          <w:sz w:val="24"/>
          <w:szCs w:val="24"/>
          <w:lang w:val="en-US" w:eastAsia="zh-CN"/>
        </w:rPr>
        <w:t>清</w:t>
      </w:r>
      <w:r>
        <w:rPr>
          <w:rFonts w:hint="eastAsia" w:ascii="Calibri" w:hAnsi="Calibri"/>
          <w:sz w:val="24"/>
          <w:szCs w:val="24"/>
        </w:rPr>
        <w:t>单中未列入，但属于买方实现改造升级目的所必要的，卖方应负责补足，且所有费用由卖方承担</w:t>
      </w:r>
      <w:r>
        <w:rPr>
          <w:rFonts w:hint="eastAsia" w:ascii="Calibri" w:hAnsi="Calibri"/>
          <w:sz w:val="24"/>
          <w:szCs w:val="24"/>
          <w:lang w:eastAsia="zh-CN"/>
        </w:rPr>
        <w:t>。</w:t>
      </w:r>
    </w:p>
    <w:p w14:paraId="567F4D87">
      <w:pPr>
        <w:spacing w:line="420" w:lineRule="exact"/>
        <w:ind w:firstLine="480" w:firstLineChars="200"/>
        <w:rPr>
          <w:rFonts w:ascii="Calibri" w:hAnsi="Calibri"/>
          <w:sz w:val="24"/>
          <w:szCs w:val="24"/>
        </w:rPr>
      </w:pPr>
      <w:r>
        <w:rPr>
          <w:rFonts w:ascii="Calibri" w:hAnsi="Calibri"/>
          <w:sz w:val="24"/>
          <w:szCs w:val="24"/>
        </w:rPr>
        <w:t>(</w:t>
      </w:r>
      <w:r>
        <w:rPr>
          <w:rFonts w:hint="eastAsia" w:ascii="Calibri" w:hAnsi="Calibri"/>
          <w:sz w:val="24"/>
          <w:szCs w:val="24"/>
        </w:rPr>
        <w:t>4</w:t>
      </w:r>
      <w:r>
        <w:rPr>
          <w:rFonts w:ascii="Calibri" w:hAnsi="Calibri"/>
          <w:sz w:val="24"/>
          <w:szCs w:val="24"/>
        </w:rPr>
        <w:t>)</w:t>
      </w:r>
      <w:r>
        <w:rPr>
          <w:rFonts w:hint="eastAsia" w:ascii="Calibri" w:hAnsi="Calibri"/>
          <w:sz w:val="24"/>
          <w:szCs w:val="24"/>
        </w:rPr>
        <w:t xml:space="preserve"> 服务系指根据合同的规定，卖方应提供的与所供货物有关的辅助服务，如运输、装卸、保险、安装调试、技术援助、人员培训、售后服务等以及合同中规定的卖方应承担的其他义务。</w:t>
      </w:r>
    </w:p>
    <w:p w14:paraId="398FDB8D">
      <w:pPr>
        <w:spacing w:line="420" w:lineRule="exact"/>
        <w:ind w:firstLine="480" w:firstLineChars="200"/>
        <w:rPr>
          <w:rFonts w:ascii="Calibri" w:hAnsi="Calibri"/>
          <w:sz w:val="24"/>
          <w:szCs w:val="24"/>
        </w:rPr>
      </w:pPr>
      <w:r>
        <w:rPr>
          <w:rFonts w:ascii="Calibri" w:hAnsi="Calibri"/>
          <w:sz w:val="24"/>
          <w:szCs w:val="24"/>
        </w:rPr>
        <w:t>(</w:t>
      </w:r>
      <w:r>
        <w:rPr>
          <w:rFonts w:hint="eastAsia" w:ascii="Calibri" w:hAnsi="Calibri"/>
          <w:sz w:val="24"/>
          <w:szCs w:val="24"/>
        </w:rPr>
        <w:t>5</w:t>
      </w:r>
      <w:r>
        <w:rPr>
          <w:rFonts w:ascii="Calibri" w:hAnsi="Calibri"/>
          <w:sz w:val="24"/>
          <w:szCs w:val="24"/>
        </w:rPr>
        <w:t>)</w:t>
      </w:r>
      <w:r>
        <w:rPr>
          <w:rFonts w:hint="eastAsia" w:ascii="Calibri" w:hAnsi="Calibri"/>
          <w:sz w:val="24"/>
          <w:szCs w:val="24"/>
        </w:rPr>
        <w:t xml:space="preserve"> 买方系指“合同条款前附表”第1项中所述的购买货物和服务的单位。</w:t>
      </w:r>
    </w:p>
    <w:p w14:paraId="317D82BA">
      <w:pPr>
        <w:spacing w:line="420" w:lineRule="exact"/>
        <w:ind w:firstLine="480" w:firstLineChars="200"/>
        <w:rPr>
          <w:rFonts w:ascii="Calibri" w:hAnsi="Calibri"/>
          <w:sz w:val="24"/>
          <w:szCs w:val="24"/>
        </w:rPr>
      </w:pPr>
      <w:r>
        <w:rPr>
          <w:rFonts w:ascii="Calibri" w:hAnsi="Calibri"/>
          <w:sz w:val="24"/>
          <w:szCs w:val="24"/>
        </w:rPr>
        <w:t>(</w:t>
      </w:r>
      <w:r>
        <w:rPr>
          <w:rFonts w:hint="eastAsia" w:ascii="Calibri" w:hAnsi="Calibri"/>
          <w:sz w:val="24"/>
          <w:szCs w:val="24"/>
        </w:rPr>
        <w:t>6</w:t>
      </w:r>
      <w:r>
        <w:rPr>
          <w:rFonts w:ascii="Calibri" w:hAnsi="Calibri"/>
          <w:sz w:val="24"/>
          <w:szCs w:val="24"/>
        </w:rPr>
        <w:t>)</w:t>
      </w:r>
      <w:r>
        <w:rPr>
          <w:rFonts w:hint="eastAsia" w:ascii="Calibri" w:hAnsi="Calibri"/>
          <w:sz w:val="24"/>
          <w:szCs w:val="24"/>
        </w:rPr>
        <w:t xml:space="preserve"> 卖方系指“合同条款前附表”第2项中所述的提供货物和服务的公司或实体。</w:t>
      </w:r>
    </w:p>
    <w:p w14:paraId="1B0B1F64">
      <w:pPr>
        <w:spacing w:line="420" w:lineRule="exact"/>
        <w:ind w:firstLine="480" w:firstLineChars="200"/>
        <w:rPr>
          <w:rFonts w:ascii="Calibri" w:hAnsi="Calibri"/>
          <w:sz w:val="24"/>
          <w:szCs w:val="24"/>
        </w:rPr>
      </w:pPr>
      <w:r>
        <w:rPr>
          <w:rFonts w:ascii="Calibri" w:hAnsi="Calibri"/>
          <w:sz w:val="24"/>
          <w:szCs w:val="24"/>
        </w:rPr>
        <w:t>(</w:t>
      </w:r>
      <w:r>
        <w:rPr>
          <w:rFonts w:hint="eastAsia" w:ascii="Calibri" w:hAnsi="Calibri"/>
          <w:sz w:val="24"/>
          <w:szCs w:val="24"/>
        </w:rPr>
        <w:t>7</w:t>
      </w:r>
      <w:r>
        <w:rPr>
          <w:rFonts w:ascii="Calibri" w:hAnsi="Calibri"/>
          <w:sz w:val="24"/>
          <w:szCs w:val="24"/>
        </w:rPr>
        <w:t>)</w:t>
      </w:r>
      <w:r>
        <w:rPr>
          <w:rFonts w:hint="eastAsia" w:ascii="Calibri" w:hAnsi="Calibri"/>
          <w:sz w:val="24"/>
          <w:szCs w:val="24"/>
        </w:rPr>
        <w:t xml:space="preserve"> 项目现场系指“合同条款前附表”第3项中指明的项目实施地点。</w:t>
      </w:r>
    </w:p>
    <w:p w14:paraId="04BE19F6">
      <w:pPr>
        <w:spacing w:line="420" w:lineRule="exact"/>
        <w:ind w:firstLine="480" w:firstLineChars="200"/>
        <w:rPr>
          <w:rFonts w:ascii="Calibri" w:hAnsi="Calibri"/>
          <w:sz w:val="24"/>
          <w:szCs w:val="24"/>
        </w:rPr>
      </w:pPr>
      <w:r>
        <w:rPr>
          <w:rFonts w:ascii="Calibri" w:hAnsi="Calibri"/>
          <w:sz w:val="24"/>
          <w:szCs w:val="24"/>
        </w:rPr>
        <w:t>(</w:t>
      </w:r>
      <w:r>
        <w:rPr>
          <w:rFonts w:hint="eastAsia" w:ascii="Calibri" w:hAnsi="Calibri"/>
          <w:sz w:val="24"/>
          <w:szCs w:val="24"/>
        </w:rPr>
        <w:t>8</w:t>
      </w:r>
      <w:r>
        <w:rPr>
          <w:rFonts w:ascii="Calibri" w:hAnsi="Calibri"/>
          <w:sz w:val="24"/>
          <w:szCs w:val="24"/>
        </w:rPr>
        <w:t>)</w:t>
      </w:r>
      <w:r>
        <w:rPr>
          <w:rFonts w:hint="eastAsia" w:ascii="Calibri" w:hAnsi="Calibri"/>
          <w:sz w:val="24"/>
          <w:szCs w:val="24"/>
        </w:rPr>
        <w:t xml:space="preserve"> “天”系指日历天数。</w:t>
      </w:r>
    </w:p>
    <w:p w14:paraId="7AE7701D">
      <w:pPr>
        <w:spacing w:line="420" w:lineRule="exact"/>
        <w:ind w:firstLine="480" w:firstLineChars="200"/>
        <w:rPr>
          <w:rFonts w:ascii="黑体" w:hAnsi="Calibri" w:eastAsia="黑体"/>
          <w:sz w:val="24"/>
          <w:szCs w:val="24"/>
        </w:rPr>
      </w:pPr>
      <w:r>
        <w:rPr>
          <w:rFonts w:hint="eastAsia" w:ascii="黑体" w:hAnsi="Calibri" w:eastAsia="黑体"/>
          <w:sz w:val="24"/>
          <w:szCs w:val="24"/>
        </w:rPr>
        <w:t>2  适用性</w:t>
      </w:r>
    </w:p>
    <w:p w14:paraId="1C016174">
      <w:pPr>
        <w:spacing w:line="420" w:lineRule="exact"/>
        <w:ind w:firstLine="480" w:firstLineChars="200"/>
        <w:rPr>
          <w:rFonts w:ascii="Calibri" w:hAnsi="Calibri"/>
          <w:sz w:val="24"/>
          <w:szCs w:val="24"/>
        </w:rPr>
      </w:pPr>
      <w:r>
        <w:rPr>
          <w:rFonts w:hint="eastAsia" w:ascii="Calibri" w:hAnsi="Calibri"/>
          <w:sz w:val="24"/>
          <w:szCs w:val="24"/>
        </w:rPr>
        <w:t>本合同条款适用于未被合同其他部分规定所取代的范围，如出现合同其他部分规定与本合同条款不一致，以本合同条款约定优先适用。</w:t>
      </w:r>
    </w:p>
    <w:p w14:paraId="7794C2CA">
      <w:pPr>
        <w:spacing w:line="420" w:lineRule="exact"/>
        <w:ind w:firstLine="480" w:firstLineChars="200"/>
        <w:rPr>
          <w:rFonts w:ascii="黑体" w:hAnsi="Calibri" w:eastAsia="黑体"/>
          <w:sz w:val="24"/>
          <w:szCs w:val="24"/>
        </w:rPr>
      </w:pPr>
      <w:r>
        <w:rPr>
          <w:rFonts w:hint="eastAsia" w:ascii="黑体" w:hAnsi="Calibri" w:eastAsia="黑体"/>
          <w:sz w:val="24"/>
          <w:szCs w:val="24"/>
        </w:rPr>
        <w:t>3  适用法律</w:t>
      </w:r>
    </w:p>
    <w:p w14:paraId="7155047B">
      <w:pPr>
        <w:spacing w:line="420" w:lineRule="exact"/>
        <w:ind w:firstLine="480" w:firstLineChars="200"/>
        <w:rPr>
          <w:rFonts w:ascii="Calibri" w:hAnsi="Calibri"/>
          <w:sz w:val="24"/>
          <w:szCs w:val="24"/>
        </w:rPr>
      </w:pPr>
      <w:r>
        <w:rPr>
          <w:rFonts w:hint="eastAsia" w:ascii="Calibri" w:hAnsi="Calibri"/>
          <w:sz w:val="24"/>
          <w:szCs w:val="24"/>
        </w:rPr>
        <w:t>本合同的适用法律为中华人民共和国的现行法律、法规。</w:t>
      </w:r>
    </w:p>
    <w:p w14:paraId="0E312F1E">
      <w:pPr>
        <w:spacing w:line="420" w:lineRule="exact"/>
        <w:ind w:firstLine="480" w:firstLineChars="200"/>
        <w:rPr>
          <w:rFonts w:ascii="黑体" w:hAnsi="Calibri" w:eastAsia="黑体"/>
          <w:sz w:val="24"/>
          <w:szCs w:val="24"/>
        </w:rPr>
      </w:pPr>
      <w:r>
        <w:rPr>
          <w:rFonts w:hint="eastAsia" w:ascii="黑体" w:hAnsi="Calibri" w:eastAsia="黑体"/>
          <w:sz w:val="24"/>
          <w:szCs w:val="24"/>
        </w:rPr>
        <w:t>4  适用语言和计量单位</w:t>
      </w:r>
    </w:p>
    <w:p w14:paraId="55379ABE">
      <w:pPr>
        <w:spacing w:line="420" w:lineRule="exact"/>
        <w:ind w:firstLine="480" w:firstLineChars="200"/>
        <w:rPr>
          <w:rFonts w:ascii="Calibri" w:hAnsi="Calibri"/>
          <w:sz w:val="24"/>
          <w:szCs w:val="24"/>
        </w:rPr>
      </w:pPr>
      <w:r>
        <w:rPr>
          <w:rFonts w:ascii="Calibri" w:hAnsi="Calibri"/>
          <w:sz w:val="24"/>
          <w:szCs w:val="24"/>
        </w:rPr>
        <w:t>4.1</w:t>
      </w:r>
      <w:r>
        <w:rPr>
          <w:rFonts w:hint="eastAsia" w:ascii="Calibri" w:hAnsi="Calibri"/>
          <w:sz w:val="24"/>
          <w:szCs w:val="24"/>
        </w:rPr>
        <w:t xml:space="preserve">  本合同的适用语言为中文，所有与本合同有关的来往函件、通知及其他文件均应使用中文。</w:t>
      </w:r>
    </w:p>
    <w:p w14:paraId="48A73C83">
      <w:pPr>
        <w:spacing w:line="420" w:lineRule="exact"/>
        <w:ind w:firstLine="480" w:firstLineChars="200"/>
        <w:rPr>
          <w:rFonts w:ascii="Calibri" w:hAnsi="Calibri"/>
          <w:sz w:val="24"/>
          <w:szCs w:val="24"/>
        </w:rPr>
      </w:pPr>
      <w:r>
        <w:rPr>
          <w:rFonts w:ascii="Calibri" w:hAnsi="Calibri"/>
          <w:sz w:val="24"/>
          <w:szCs w:val="24"/>
        </w:rPr>
        <w:t>4.2</w:t>
      </w:r>
      <w:r>
        <w:rPr>
          <w:rFonts w:hint="eastAsia" w:ascii="Calibri" w:hAnsi="Calibri"/>
          <w:sz w:val="24"/>
          <w:szCs w:val="24"/>
        </w:rPr>
        <w:t xml:space="preserve">  除另有规定外，计量单位应采用中华人民共和国法定计量单位。</w:t>
      </w:r>
    </w:p>
    <w:p w14:paraId="3D2D7CF1">
      <w:pPr>
        <w:spacing w:line="420" w:lineRule="exact"/>
        <w:ind w:firstLine="480" w:firstLineChars="200"/>
        <w:rPr>
          <w:rFonts w:ascii="黑体" w:hAnsi="Calibri" w:eastAsia="黑体"/>
          <w:sz w:val="24"/>
          <w:szCs w:val="24"/>
        </w:rPr>
      </w:pPr>
      <w:r>
        <w:rPr>
          <w:rFonts w:hint="eastAsia" w:ascii="黑体" w:hAnsi="Calibri" w:eastAsia="黑体"/>
          <w:sz w:val="24"/>
          <w:szCs w:val="24"/>
        </w:rPr>
        <w:t>5  原产地</w:t>
      </w:r>
    </w:p>
    <w:p w14:paraId="6B0C3197">
      <w:pPr>
        <w:spacing w:line="420" w:lineRule="exact"/>
        <w:ind w:firstLine="480" w:firstLineChars="200"/>
        <w:rPr>
          <w:rFonts w:ascii="Calibri" w:hAnsi="Calibri"/>
          <w:sz w:val="24"/>
          <w:szCs w:val="24"/>
        </w:rPr>
      </w:pPr>
      <w:r>
        <w:rPr>
          <w:rFonts w:ascii="Calibri" w:hAnsi="Calibri"/>
          <w:sz w:val="24"/>
          <w:szCs w:val="24"/>
        </w:rPr>
        <w:t>5.1</w:t>
      </w:r>
      <w:r>
        <w:rPr>
          <w:rFonts w:hint="eastAsia" w:ascii="Calibri" w:hAnsi="Calibri"/>
          <w:sz w:val="24"/>
          <w:szCs w:val="24"/>
        </w:rPr>
        <w:t xml:space="preserve">  本条所述的“原产地”系指货物的开采、生长或生产地，或者为所供服务的来源地。经过制造、加工的产品或经过实质上组装主要元部件而形成的产品均可称为货物。商业上公认的新产品是指在基本特征、目的或功能上与元部件有实质性区别的产品。</w:t>
      </w:r>
    </w:p>
    <w:p w14:paraId="2403EEA8">
      <w:pPr>
        <w:spacing w:line="420" w:lineRule="exact"/>
        <w:ind w:firstLine="480" w:firstLineChars="200"/>
        <w:rPr>
          <w:rFonts w:ascii="Calibri" w:hAnsi="Calibri"/>
          <w:sz w:val="24"/>
          <w:szCs w:val="24"/>
        </w:rPr>
      </w:pPr>
      <w:r>
        <w:rPr>
          <w:rFonts w:ascii="Calibri" w:hAnsi="Calibri"/>
          <w:sz w:val="24"/>
          <w:szCs w:val="24"/>
        </w:rPr>
        <w:t xml:space="preserve">5.2  </w:t>
      </w:r>
      <w:r>
        <w:rPr>
          <w:rFonts w:hint="eastAsia" w:ascii="Calibri" w:hAnsi="Calibri"/>
          <w:sz w:val="24"/>
          <w:szCs w:val="24"/>
        </w:rPr>
        <w:t>货物和服务的原产地有别于卖方的国籍。</w:t>
      </w:r>
    </w:p>
    <w:p w14:paraId="60C09DF6">
      <w:pPr>
        <w:spacing w:line="420" w:lineRule="exact"/>
        <w:ind w:firstLine="480" w:firstLineChars="200"/>
        <w:rPr>
          <w:rFonts w:ascii="黑体" w:hAnsi="Calibri" w:eastAsia="黑体"/>
          <w:sz w:val="24"/>
          <w:szCs w:val="24"/>
        </w:rPr>
      </w:pPr>
      <w:r>
        <w:rPr>
          <w:rFonts w:hint="eastAsia" w:ascii="黑体" w:hAnsi="Calibri" w:eastAsia="黑体"/>
          <w:sz w:val="24"/>
          <w:szCs w:val="24"/>
        </w:rPr>
        <w:t>6  标准和规格</w:t>
      </w:r>
    </w:p>
    <w:p w14:paraId="56DC8883">
      <w:pPr>
        <w:spacing w:line="420" w:lineRule="exact"/>
        <w:ind w:firstLine="480" w:firstLineChars="200"/>
        <w:rPr>
          <w:rFonts w:ascii="Calibri" w:hAnsi="Calibri"/>
          <w:sz w:val="24"/>
          <w:szCs w:val="24"/>
        </w:rPr>
      </w:pPr>
      <w:r>
        <w:rPr>
          <w:rFonts w:ascii="Calibri" w:hAnsi="Calibri"/>
          <w:sz w:val="24"/>
          <w:szCs w:val="24"/>
        </w:rPr>
        <w:t>6.1</w:t>
      </w:r>
      <w:r>
        <w:rPr>
          <w:rFonts w:hint="eastAsia" w:ascii="Calibri" w:hAnsi="Calibri"/>
          <w:sz w:val="24"/>
          <w:szCs w:val="24"/>
        </w:rPr>
        <w:t xml:space="preserve">  本合同下交付的货物应与招标文件中规定的“设备选型设计说明”、“技术性能及服务条款”和其附件及其投标（响应）文件的规格偏差表（如有的话）相一致。如果在“设备选型设计说明”、“技术性能及服务条款”和其附件中没有提及适用标准或技术规范说明不明确的，则应符合货物原产地适用的官方标准。这些标准必须是有关机构发布的最新版本的标准。</w:t>
      </w:r>
    </w:p>
    <w:p w14:paraId="4D7A4937">
      <w:pPr>
        <w:spacing w:line="420" w:lineRule="exact"/>
        <w:ind w:firstLine="480" w:firstLineChars="200"/>
        <w:rPr>
          <w:rFonts w:ascii="Calibri" w:hAnsi="Calibri"/>
          <w:sz w:val="24"/>
          <w:szCs w:val="24"/>
        </w:rPr>
      </w:pPr>
      <w:r>
        <w:rPr>
          <w:rFonts w:ascii="Calibri" w:hAnsi="Calibri"/>
          <w:sz w:val="24"/>
          <w:szCs w:val="24"/>
        </w:rPr>
        <w:t>6.2</w:t>
      </w:r>
      <w:r>
        <w:rPr>
          <w:rFonts w:hint="eastAsia" w:ascii="Calibri" w:hAnsi="Calibri"/>
          <w:sz w:val="24"/>
          <w:szCs w:val="24"/>
        </w:rPr>
        <w:t xml:space="preserve">  本合同下提供的运输、保险、安装调试、质量保证（修）等服务，应符合招标文件和合同规定的要求以及中华人民共和国现行国家标准、行业标准或地方标准中要求高的标准。</w:t>
      </w:r>
    </w:p>
    <w:p w14:paraId="090DCE1B">
      <w:pPr>
        <w:spacing w:line="420" w:lineRule="exact"/>
        <w:ind w:firstLine="480" w:firstLineChars="200"/>
        <w:rPr>
          <w:rFonts w:ascii="黑体" w:hAnsi="Calibri" w:eastAsia="黑体"/>
          <w:sz w:val="24"/>
          <w:szCs w:val="24"/>
        </w:rPr>
      </w:pPr>
      <w:r>
        <w:rPr>
          <w:rFonts w:hint="eastAsia" w:ascii="黑体" w:hAnsi="Calibri" w:eastAsia="黑体"/>
          <w:sz w:val="24"/>
          <w:szCs w:val="24"/>
        </w:rPr>
        <w:t>7  专利权</w:t>
      </w:r>
    </w:p>
    <w:p w14:paraId="1B66C2F7">
      <w:pPr>
        <w:spacing w:line="420" w:lineRule="exact"/>
        <w:ind w:firstLine="480" w:firstLineChars="200"/>
        <w:rPr>
          <w:rFonts w:ascii="Calibri" w:hAnsi="Calibri"/>
          <w:sz w:val="24"/>
          <w:szCs w:val="24"/>
        </w:rPr>
      </w:pPr>
      <w:r>
        <w:rPr>
          <w:rFonts w:hint="eastAsia" w:ascii="Calibri" w:hAnsi="Calibri"/>
          <w:sz w:val="24"/>
          <w:szCs w:val="24"/>
        </w:rPr>
        <w:t>卖方应保证买方在使用该货物或其任何一部分时，免受第三方提出侵犯其专利权、商标权或工业设计权的起诉。任何第三方如果提出侵权指控，卖方必须与第三方交涉并承担可能发生的一切法律责任和费用。</w:t>
      </w:r>
    </w:p>
    <w:p w14:paraId="68ADAABE">
      <w:pPr>
        <w:spacing w:line="420" w:lineRule="exact"/>
        <w:ind w:firstLine="480" w:firstLineChars="200"/>
        <w:rPr>
          <w:rFonts w:ascii="黑体" w:hAnsi="Calibri" w:eastAsia="黑体"/>
          <w:sz w:val="24"/>
          <w:szCs w:val="24"/>
        </w:rPr>
      </w:pPr>
      <w:r>
        <w:rPr>
          <w:rFonts w:hint="eastAsia" w:ascii="黑体" w:hAnsi="Calibri" w:eastAsia="黑体"/>
          <w:sz w:val="24"/>
          <w:szCs w:val="24"/>
        </w:rPr>
        <w:t>8  合同价格</w:t>
      </w:r>
    </w:p>
    <w:p w14:paraId="2FE0F3B3">
      <w:pPr>
        <w:spacing w:line="420" w:lineRule="exact"/>
        <w:ind w:firstLine="480" w:firstLineChars="200"/>
        <w:rPr>
          <w:rFonts w:ascii="Calibri" w:hAnsi="Calibri"/>
          <w:sz w:val="24"/>
          <w:szCs w:val="24"/>
        </w:rPr>
      </w:pPr>
      <w:r>
        <w:rPr>
          <w:rFonts w:hint="eastAsia" w:ascii="Calibri" w:hAnsi="Calibri"/>
          <w:sz w:val="24"/>
          <w:szCs w:val="24"/>
        </w:rPr>
        <w:t>8.1卖方在正确、完整地履行本合同规定的义务后，买方应向其支付“合同条款前附表”第4项所规定的合同价格。合同价格是卖方将货物运达买方指定的现场并安装调试合格直至交付使用且完成质量保证（修）义务的价格（其中包括卖方自制的或外购的全部设备、材料的价格，随货物提供的备品备件及专用工具的价格），包括设备成本（含备品备件费）、包装费、装卸费、运输费、劳务费、供销部门手续费、环保费、安装部件费、安装调试费、检验和试验费、保险、利润、税金（也含关税、增值税）、人员培训和质量保证（修）等售后服务费、政策性文件规定及合同包含的所有风险、责任等各项应有费用；该合同价格在合同实施期间不因市场变化因素而变动。</w:t>
      </w:r>
    </w:p>
    <w:p w14:paraId="7ED9BDA6">
      <w:pPr>
        <w:spacing w:line="420" w:lineRule="exact"/>
        <w:ind w:firstLine="480" w:firstLineChars="200"/>
        <w:rPr>
          <w:rFonts w:ascii="Calibri" w:hAnsi="Calibri"/>
          <w:sz w:val="24"/>
          <w:szCs w:val="24"/>
        </w:rPr>
      </w:pPr>
      <w:r>
        <w:rPr>
          <w:rFonts w:hint="eastAsia" w:ascii="Calibri" w:hAnsi="Calibri"/>
          <w:sz w:val="24"/>
          <w:szCs w:val="24"/>
        </w:rPr>
        <w:t>8.2 在货物安装、调试、验收过程中，如发现有漏洞、缺件，卖方应无条件、无偿补齐，所发生的费用视为已在合同价格之中，且不因此而影响交付买方使用的时间。</w:t>
      </w:r>
    </w:p>
    <w:p w14:paraId="5AFD530D">
      <w:pPr>
        <w:spacing w:line="420" w:lineRule="exact"/>
        <w:ind w:firstLine="480" w:firstLineChars="200"/>
        <w:rPr>
          <w:rFonts w:ascii="黑体" w:hAnsi="Calibri" w:eastAsia="黑体"/>
          <w:sz w:val="24"/>
          <w:szCs w:val="24"/>
        </w:rPr>
      </w:pPr>
      <w:r>
        <w:rPr>
          <w:rFonts w:hint="eastAsia" w:ascii="黑体" w:hAnsi="Calibri" w:eastAsia="黑体"/>
          <w:sz w:val="24"/>
          <w:szCs w:val="24"/>
        </w:rPr>
        <w:t>9  保险</w:t>
      </w:r>
    </w:p>
    <w:p w14:paraId="5B5C215D">
      <w:pPr>
        <w:spacing w:line="420" w:lineRule="exact"/>
        <w:rPr>
          <w:rFonts w:ascii="Calibri" w:hAnsi="Calibri"/>
          <w:sz w:val="24"/>
          <w:szCs w:val="24"/>
        </w:rPr>
      </w:pPr>
      <w:r>
        <w:rPr>
          <w:rFonts w:hint="eastAsia" w:ascii="Calibri" w:hAnsi="Calibri"/>
          <w:sz w:val="24"/>
          <w:szCs w:val="24"/>
        </w:rPr>
        <w:t xml:space="preserve">    9.1卖方应负责办理货物从出厂地运抵项目现场途中（包括装卸）的保险，并支付相关费用。</w:t>
      </w:r>
    </w:p>
    <w:p w14:paraId="70BB495B">
      <w:pPr>
        <w:spacing w:line="420" w:lineRule="exact"/>
        <w:rPr>
          <w:rFonts w:ascii="Calibri" w:hAnsi="Calibri"/>
          <w:sz w:val="24"/>
          <w:szCs w:val="24"/>
        </w:rPr>
      </w:pPr>
      <w:r>
        <w:rPr>
          <w:rFonts w:hint="eastAsia" w:ascii="Calibri" w:hAnsi="Calibri"/>
          <w:sz w:val="24"/>
          <w:szCs w:val="24"/>
        </w:rPr>
        <w:t xml:space="preserve">    9.2卖方承担了所供货物的安装调试施工服务，即为专项交钥匙工程，卖方应充分考虑在最终验收移交前可能发生的潜在的各类风险，并自行办理相关工程、设备、人员的投保，因为安装调试施工中的安全由卖方自行负责。</w:t>
      </w:r>
    </w:p>
    <w:p w14:paraId="41C8FB40">
      <w:pPr>
        <w:spacing w:line="420" w:lineRule="exact"/>
        <w:ind w:firstLine="480" w:firstLineChars="200"/>
        <w:rPr>
          <w:rFonts w:ascii="黑体" w:hAnsi="Calibri" w:eastAsia="黑体"/>
          <w:sz w:val="24"/>
          <w:szCs w:val="24"/>
        </w:rPr>
      </w:pPr>
      <w:r>
        <w:rPr>
          <w:rFonts w:hint="eastAsia" w:ascii="黑体" w:hAnsi="Calibri" w:eastAsia="黑体"/>
          <w:sz w:val="24"/>
          <w:szCs w:val="24"/>
        </w:rPr>
        <w:t>10  包装要求</w:t>
      </w:r>
    </w:p>
    <w:p w14:paraId="0A1A9DA8">
      <w:pPr>
        <w:spacing w:line="420" w:lineRule="exact"/>
        <w:ind w:firstLine="480" w:firstLineChars="200"/>
        <w:rPr>
          <w:rFonts w:ascii="Calibri" w:hAnsi="Calibri"/>
          <w:sz w:val="24"/>
          <w:szCs w:val="24"/>
        </w:rPr>
      </w:pPr>
      <w:r>
        <w:rPr>
          <w:rFonts w:ascii="Calibri" w:hAnsi="Calibri"/>
          <w:sz w:val="24"/>
          <w:szCs w:val="24"/>
        </w:rPr>
        <w:t>10.1</w:t>
      </w:r>
      <w:r>
        <w:rPr>
          <w:rFonts w:hint="eastAsia" w:ascii="Calibri" w:hAnsi="Calibri"/>
          <w:sz w:val="24"/>
          <w:szCs w:val="24"/>
        </w:rPr>
        <w:t xml:space="preserve">  除在合同中另有规定外，卖方提供的全部货物均应按国家标准保护措施进行包装，这类包装应适应于远距离运输，并能防淋、防晒、防潮、防震、防锈和防野蛮装卸，以确保货物安全无损地运抵项目现场。</w:t>
      </w:r>
    </w:p>
    <w:p w14:paraId="54D8E5EC">
      <w:pPr>
        <w:spacing w:line="420" w:lineRule="exact"/>
        <w:ind w:firstLine="480" w:firstLineChars="200"/>
        <w:rPr>
          <w:rFonts w:ascii="Calibri" w:hAnsi="Calibri"/>
          <w:sz w:val="24"/>
          <w:szCs w:val="24"/>
        </w:rPr>
      </w:pPr>
      <w:r>
        <w:rPr>
          <w:rFonts w:ascii="Calibri" w:hAnsi="Calibri"/>
          <w:sz w:val="24"/>
          <w:szCs w:val="24"/>
        </w:rPr>
        <w:t>10.2</w:t>
      </w:r>
      <w:r>
        <w:rPr>
          <w:rFonts w:hint="eastAsia" w:ascii="Calibri" w:hAnsi="Calibri"/>
          <w:sz w:val="24"/>
          <w:szCs w:val="24"/>
        </w:rPr>
        <w:t xml:space="preserve">  每一批货物均应附有详细的货物装箱单、质量证明书、检验合格证书、质保书等，进口产品应附有海关报关单（或成批设备进口报关单复印件），所有上述资料必须随货物一起提供给买方。</w:t>
      </w:r>
    </w:p>
    <w:p w14:paraId="7775538A">
      <w:pPr>
        <w:spacing w:line="420" w:lineRule="exact"/>
        <w:ind w:firstLine="480" w:firstLineChars="200"/>
        <w:rPr>
          <w:rFonts w:ascii="黑体" w:hAnsi="Calibri" w:eastAsia="黑体"/>
          <w:sz w:val="24"/>
          <w:szCs w:val="24"/>
        </w:rPr>
      </w:pPr>
      <w:r>
        <w:rPr>
          <w:rFonts w:hint="eastAsia" w:ascii="黑体" w:hAnsi="Calibri" w:eastAsia="黑体"/>
          <w:sz w:val="24"/>
          <w:szCs w:val="24"/>
        </w:rPr>
        <w:t>11  包装标志</w:t>
      </w:r>
    </w:p>
    <w:p w14:paraId="6ED08C4B">
      <w:pPr>
        <w:spacing w:line="420" w:lineRule="exact"/>
        <w:ind w:firstLine="480" w:firstLineChars="200"/>
        <w:rPr>
          <w:rFonts w:ascii="Calibri" w:hAnsi="Calibri"/>
          <w:sz w:val="24"/>
          <w:szCs w:val="24"/>
        </w:rPr>
      </w:pPr>
      <w:r>
        <w:rPr>
          <w:rFonts w:hint="eastAsia" w:ascii="Calibri" w:hAnsi="Calibri"/>
          <w:sz w:val="24"/>
          <w:szCs w:val="24"/>
        </w:rPr>
        <w:t>11.1卖方应在每一包装箱的相邻四侧用不褪色的油漆以醒目的中文字样标出每一批货物应标明的包装标志。</w:t>
      </w:r>
    </w:p>
    <w:p w14:paraId="7CC8E5D8">
      <w:pPr>
        <w:spacing w:line="420" w:lineRule="exact"/>
        <w:ind w:firstLine="480" w:firstLineChars="200"/>
        <w:rPr>
          <w:rFonts w:ascii="Calibri" w:hAnsi="Calibri"/>
          <w:sz w:val="24"/>
          <w:szCs w:val="24"/>
        </w:rPr>
      </w:pPr>
      <w:r>
        <w:rPr>
          <w:rFonts w:hint="eastAsia" w:ascii="Calibri" w:hAnsi="Calibri"/>
          <w:sz w:val="24"/>
          <w:szCs w:val="24"/>
        </w:rPr>
        <w:t>11.2根据货物的特点和运输的不同要求，卖方应在包装箱上清楚地标出“小心轻放”、“请勿倒置”和“防潮”等字样以及其它适当的标志。</w:t>
      </w:r>
    </w:p>
    <w:p w14:paraId="686AD699">
      <w:pPr>
        <w:spacing w:line="420" w:lineRule="exact"/>
        <w:ind w:firstLine="480" w:firstLineChars="200"/>
        <w:rPr>
          <w:rFonts w:ascii="黑体" w:hAnsi="Calibri" w:eastAsia="黑体"/>
          <w:sz w:val="24"/>
          <w:szCs w:val="24"/>
        </w:rPr>
      </w:pPr>
      <w:r>
        <w:rPr>
          <w:rFonts w:hint="eastAsia" w:ascii="黑体" w:hAnsi="Calibri" w:eastAsia="黑体"/>
          <w:sz w:val="24"/>
          <w:szCs w:val="24"/>
        </w:rPr>
        <w:t>12  装运条件</w:t>
      </w:r>
    </w:p>
    <w:p w14:paraId="3D78B536">
      <w:pPr>
        <w:spacing w:line="420" w:lineRule="exact"/>
        <w:ind w:firstLine="480" w:firstLineChars="200"/>
        <w:rPr>
          <w:rFonts w:ascii="Calibri" w:hAnsi="Calibri"/>
          <w:sz w:val="24"/>
          <w:szCs w:val="24"/>
        </w:rPr>
      </w:pPr>
      <w:r>
        <w:rPr>
          <w:rFonts w:ascii="Calibri" w:hAnsi="Calibri"/>
          <w:sz w:val="24"/>
          <w:szCs w:val="24"/>
        </w:rPr>
        <w:t>12.1</w:t>
      </w:r>
      <w:r>
        <w:rPr>
          <w:rFonts w:hint="eastAsia" w:ascii="Calibri" w:hAnsi="Calibri"/>
          <w:sz w:val="24"/>
          <w:szCs w:val="24"/>
        </w:rPr>
        <w:t xml:space="preserve">  卖方应负责将货物从出厂地运抵买方指定的现场，并支付相关费用；</w:t>
      </w:r>
    </w:p>
    <w:p w14:paraId="3E583F2D">
      <w:pPr>
        <w:spacing w:line="420" w:lineRule="exact"/>
        <w:ind w:firstLine="480" w:firstLineChars="200"/>
        <w:rPr>
          <w:rFonts w:ascii="Calibri" w:hAnsi="Calibri"/>
          <w:sz w:val="24"/>
          <w:szCs w:val="24"/>
        </w:rPr>
      </w:pPr>
      <w:r>
        <w:rPr>
          <w:rFonts w:ascii="Calibri" w:hAnsi="Calibri"/>
          <w:sz w:val="24"/>
          <w:szCs w:val="24"/>
        </w:rPr>
        <w:t xml:space="preserve">12.2  </w:t>
      </w:r>
      <w:r>
        <w:rPr>
          <w:rFonts w:hint="eastAsia" w:ascii="Calibri" w:hAnsi="Calibri"/>
          <w:sz w:val="24"/>
          <w:szCs w:val="24"/>
        </w:rPr>
        <w:t>卖方装运的货物不应超过合同规定的数量或重量，否则，由此超装而导致的一切后果均应由卖方负责。</w:t>
      </w:r>
    </w:p>
    <w:p w14:paraId="044A6BFF">
      <w:pPr>
        <w:spacing w:line="420" w:lineRule="exact"/>
        <w:ind w:firstLine="480" w:firstLineChars="200"/>
        <w:rPr>
          <w:rFonts w:ascii="黑体" w:hAnsi="Calibri" w:eastAsia="黑体"/>
          <w:sz w:val="24"/>
          <w:szCs w:val="24"/>
        </w:rPr>
      </w:pPr>
      <w:r>
        <w:rPr>
          <w:rFonts w:ascii="黑体" w:hAnsi="Calibri" w:eastAsia="黑体"/>
          <w:sz w:val="24"/>
          <w:szCs w:val="24"/>
        </w:rPr>
        <w:t>13</w:t>
      </w:r>
      <w:r>
        <w:rPr>
          <w:rFonts w:hint="eastAsia" w:ascii="黑体" w:hAnsi="Calibri" w:eastAsia="黑体"/>
          <w:sz w:val="24"/>
          <w:szCs w:val="24"/>
        </w:rPr>
        <w:t xml:space="preserve">  装运通知</w:t>
      </w:r>
    </w:p>
    <w:p w14:paraId="0AF0D9AB">
      <w:pPr>
        <w:spacing w:line="420" w:lineRule="exact"/>
        <w:ind w:firstLine="480" w:firstLineChars="200"/>
        <w:rPr>
          <w:rFonts w:ascii="Calibri" w:hAnsi="Calibri"/>
          <w:sz w:val="24"/>
          <w:szCs w:val="24"/>
        </w:rPr>
      </w:pPr>
      <w:r>
        <w:rPr>
          <w:rFonts w:hint="eastAsia" w:ascii="Calibri" w:hAnsi="Calibri"/>
          <w:sz w:val="24"/>
          <w:szCs w:val="24"/>
        </w:rPr>
        <w:t>卖方应按下列要求发出装运通知：</w:t>
      </w:r>
    </w:p>
    <w:p w14:paraId="1F3300B6">
      <w:pPr>
        <w:spacing w:line="420" w:lineRule="exact"/>
        <w:ind w:firstLine="480" w:firstLineChars="200"/>
        <w:rPr>
          <w:rFonts w:ascii="Calibri" w:hAnsi="Calibri"/>
          <w:sz w:val="24"/>
          <w:szCs w:val="24"/>
        </w:rPr>
      </w:pPr>
      <w:r>
        <w:rPr>
          <w:rFonts w:hint="eastAsia" w:ascii="Calibri" w:hAnsi="Calibri"/>
          <w:sz w:val="24"/>
          <w:szCs w:val="24"/>
        </w:rPr>
        <w:t>在合同规定的买方现场工程师书面指定的到货日期的七日之前，以传真或特快专递形式将合同号、货物名称、规格、数量、总重量等通知买方。</w:t>
      </w:r>
    </w:p>
    <w:p w14:paraId="3870D6E8">
      <w:pPr>
        <w:spacing w:line="420" w:lineRule="exact"/>
        <w:ind w:firstLine="480" w:firstLineChars="200"/>
        <w:rPr>
          <w:rFonts w:ascii="黑体" w:hAnsi="Calibri" w:eastAsia="黑体"/>
          <w:sz w:val="24"/>
          <w:szCs w:val="24"/>
        </w:rPr>
      </w:pPr>
      <w:r>
        <w:rPr>
          <w:rFonts w:hint="eastAsia" w:ascii="黑体" w:hAnsi="Calibri" w:eastAsia="黑体"/>
          <w:sz w:val="24"/>
          <w:szCs w:val="24"/>
        </w:rPr>
        <w:t>14  单据</w:t>
      </w:r>
    </w:p>
    <w:p w14:paraId="5F92F90B">
      <w:pPr>
        <w:spacing w:line="420" w:lineRule="exact"/>
        <w:ind w:firstLine="480" w:firstLineChars="200"/>
        <w:rPr>
          <w:rFonts w:ascii="Calibri" w:hAnsi="Calibri"/>
          <w:sz w:val="24"/>
          <w:szCs w:val="24"/>
        </w:rPr>
      </w:pPr>
      <w:r>
        <w:rPr>
          <w:rFonts w:ascii="Calibri" w:hAnsi="Calibri"/>
          <w:sz w:val="24"/>
          <w:szCs w:val="24"/>
        </w:rPr>
        <w:t>14.</w:t>
      </w:r>
      <w:r>
        <w:rPr>
          <w:rFonts w:hint="eastAsia" w:ascii="Calibri" w:hAnsi="Calibri"/>
          <w:sz w:val="24"/>
          <w:szCs w:val="24"/>
        </w:rPr>
        <w:t>1  卖方在合同生效后，货物全部送达项目现场后申请支付货款时，应提供下列单据：</w:t>
      </w:r>
    </w:p>
    <w:p w14:paraId="1CF6A287">
      <w:pPr>
        <w:spacing w:line="420" w:lineRule="exact"/>
        <w:ind w:firstLine="480" w:firstLineChars="200"/>
        <w:rPr>
          <w:rFonts w:ascii="Calibri" w:hAnsi="Calibri"/>
          <w:sz w:val="24"/>
          <w:szCs w:val="24"/>
        </w:rPr>
      </w:pPr>
      <w:r>
        <w:rPr>
          <w:rFonts w:ascii="Calibri" w:hAnsi="Calibri"/>
          <w:sz w:val="24"/>
          <w:szCs w:val="24"/>
        </w:rPr>
        <w:t>14.1.1</w:t>
      </w:r>
      <w:r>
        <w:rPr>
          <w:rFonts w:hint="eastAsia" w:ascii="Calibri" w:hAnsi="Calibri"/>
          <w:sz w:val="24"/>
          <w:szCs w:val="24"/>
        </w:rPr>
        <w:t xml:space="preserve">  金额与要求支付款项相符的商业发票；</w:t>
      </w:r>
    </w:p>
    <w:p w14:paraId="4D6DD2D9">
      <w:pPr>
        <w:spacing w:line="420" w:lineRule="exact"/>
        <w:ind w:firstLine="480" w:firstLineChars="200"/>
        <w:rPr>
          <w:rFonts w:ascii="Calibri" w:hAnsi="Calibri"/>
          <w:sz w:val="24"/>
          <w:szCs w:val="24"/>
        </w:rPr>
      </w:pPr>
      <w:r>
        <w:rPr>
          <w:rFonts w:ascii="Calibri" w:hAnsi="Calibri"/>
          <w:sz w:val="24"/>
          <w:szCs w:val="24"/>
        </w:rPr>
        <w:t>14.1.2</w:t>
      </w:r>
      <w:r>
        <w:rPr>
          <w:rFonts w:hint="eastAsia" w:ascii="Calibri" w:hAnsi="Calibri"/>
          <w:sz w:val="24"/>
          <w:szCs w:val="24"/>
        </w:rPr>
        <w:t xml:space="preserve">  制造厂出具的货物检验合格证书；</w:t>
      </w:r>
    </w:p>
    <w:p w14:paraId="3F0D19B6">
      <w:pPr>
        <w:spacing w:line="420" w:lineRule="exact"/>
        <w:ind w:firstLine="480" w:firstLineChars="200"/>
        <w:rPr>
          <w:rFonts w:ascii="Calibri" w:hAnsi="Calibri"/>
          <w:sz w:val="24"/>
          <w:szCs w:val="24"/>
        </w:rPr>
      </w:pPr>
      <w:r>
        <w:rPr>
          <w:rFonts w:ascii="Calibri" w:hAnsi="Calibri"/>
          <w:sz w:val="24"/>
          <w:szCs w:val="24"/>
        </w:rPr>
        <w:t>14.</w:t>
      </w:r>
      <w:r>
        <w:rPr>
          <w:rFonts w:hint="eastAsia" w:ascii="Calibri" w:hAnsi="Calibri"/>
          <w:sz w:val="24"/>
          <w:szCs w:val="24"/>
        </w:rPr>
        <w:t>1</w:t>
      </w:r>
      <w:r>
        <w:rPr>
          <w:rFonts w:ascii="Calibri" w:hAnsi="Calibri"/>
          <w:sz w:val="24"/>
          <w:szCs w:val="24"/>
        </w:rPr>
        <w:t>.</w:t>
      </w:r>
      <w:r>
        <w:rPr>
          <w:rFonts w:hint="eastAsia" w:ascii="Calibri" w:hAnsi="Calibri"/>
          <w:sz w:val="24"/>
          <w:szCs w:val="24"/>
        </w:rPr>
        <w:t>3  买方出具的到货检验合格证书；</w:t>
      </w:r>
    </w:p>
    <w:p w14:paraId="4CBCEB0E">
      <w:pPr>
        <w:spacing w:line="420" w:lineRule="exact"/>
        <w:ind w:firstLine="480" w:firstLineChars="200"/>
        <w:rPr>
          <w:rFonts w:ascii="Calibri" w:hAnsi="Calibri"/>
          <w:sz w:val="24"/>
          <w:szCs w:val="24"/>
        </w:rPr>
      </w:pPr>
      <w:r>
        <w:rPr>
          <w:rFonts w:ascii="Calibri" w:hAnsi="Calibri"/>
          <w:sz w:val="24"/>
          <w:szCs w:val="24"/>
        </w:rPr>
        <w:t>14.</w:t>
      </w:r>
      <w:r>
        <w:rPr>
          <w:rFonts w:hint="eastAsia" w:ascii="Calibri" w:hAnsi="Calibri"/>
          <w:sz w:val="24"/>
          <w:szCs w:val="24"/>
        </w:rPr>
        <w:t>2  成套设备安装调试合格，试运转完成并经相关部门验收通过后向买方书面提出付款要求时，提供下列单据：</w:t>
      </w:r>
    </w:p>
    <w:p w14:paraId="43B223AC">
      <w:pPr>
        <w:spacing w:line="420" w:lineRule="exact"/>
        <w:ind w:firstLine="480" w:firstLineChars="200"/>
        <w:rPr>
          <w:rFonts w:ascii="Calibri" w:hAnsi="Calibri"/>
          <w:sz w:val="24"/>
          <w:szCs w:val="24"/>
        </w:rPr>
      </w:pPr>
      <w:r>
        <w:rPr>
          <w:rFonts w:hint="eastAsia" w:ascii="Calibri" w:hAnsi="Calibri"/>
          <w:sz w:val="24"/>
          <w:szCs w:val="24"/>
        </w:rPr>
        <w:t>14.2.1  已提供全额的商业发票；</w:t>
      </w:r>
    </w:p>
    <w:p w14:paraId="607CC443">
      <w:pPr>
        <w:spacing w:line="420" w:lineRule="exact"/>
        <w:ind w:firstLine="480" w:firstLineChars="200"/>
        <w:rPr>
          <w:rFonts w:ascii="Calibri" w:hAnsi="Calibri"/>
          <w:sz w:val="24"/>
          <w:szCs w:val="24"/>
        </w:rPr>
      </w:pPr>
      <w:r>
        <w:rPr>
          <w:rFonts w:ascii="Calibri" w:hAnsi="Calibri"/>
          <w:sz w:val="24"/>
          <w:szCs w:val="24"/>
        </w:rPr>
        <w:t>14.</w:t>
      </w:r>
      <w:r>
        <w:rPr>
          <w:rFonts w:hint="eastAsia" w:ascii="Calibri" w:hAnsi="Calibri"/>
          <w:sz w:val="24"/>
          <w:szCs w:val="24"/>
        </w:rPr>
        <w:t>2</w:t>
      </w:r>
      <w:r>
        <w:rPr>
          <w:rFonts w:ascii="Calibri" w:hAnsi="Calibri"/>
          <w:sz w:val="24"/>
          <w:szCs w:val="24"/>
        </w:rPr>
        <w:t>.</w:t>
      </w:r>
      <w:r>
        <w:rPr>
          <w:rFonts w:hint="eastAsia" w:ascii="Calibri" w:hAnsi="Calibri"/>
          <w:sz w:val="24"/>
          <w:szCs w:val="24"/>
        </w:rPr>
        <w:t>2  安装调试结束并通过验收的相关证明材料。</w:t>
      </w:r>
    </w:p>
    <w:p w14:paraId="5E3BD5C2">
      <w:pPr>
        <w:spacing w:line="420" w:lineRule="exact"/>
        <w:ind w:firstLine="480" w:firstLineChars="200"/>
        <w:rPr>
          <w:rFonts w:ascii="黑体" w:hAnsi="Calibri" w:eastAsia="黑体"/>
          <w:sz w:val="24"/>
          <w:szCs w:val="24"/>
        </w:rPr>
      </w:pPr>
      <w:r>
        <w:rPr>
          <w:rFonts w:ascii="黑体" w:hAnsi="Calibri" w:eastAsia="黑体"/>
          <w:sz w:val="24"/>
          <w:szCs w:val="24"/>
        </w:rPr>
        <w:t>15</w:t>
      </w:r>
      <w:r>
        <w:rPr>
          <w:rFonts w:hint="eastAsia" w:ascii="黑体" w:hAnsi="Calibri" w:eastAsia="黑体"/>
          <w:sz w:val="24"/>
          <w:szCs w:val="24"/>
        </w:rPr>
        <w:t xml:space="preserve">  支付</w:t>
      </w:r>
    </w:p>
    <w:p w14:paraId="3136D59A">
      <w:pPr>
        <w:spacing w:line="420" w:lineRule="exact"/>
        <w:ind w:firstLine="480" w:firstLineChars="200"/>
        <w:rPr>
          <w:rFonts w:ascii="Calibri" w:hAnsi="Calibri"/>
          <w:sz w:val="24"/>
          <w:szCs w:val="24"/>
        </w:rPr>
      </w:pPr>
      <w:r>
        <w:rPr>
          <w:rFonts w:ascii="Calibri" w:hAnsi="Calibri"/>
          <w:sz w:val="24"/>
          <w:szCs w:val="24"/>
        </w:rPr>
        <w:t>15.1</w:t>
      </w:r>
      <w:r>
        <w:rPr>
          <w:rFonts w:hint="eastAsia" w:ascii="Calibri" w:hAnsi="Calibri"/>
          <w:sz w:val="24"/>
          <w:szCs w:val="24"/>
        </w:rPr>
        <w:t xml:space="preserve">  价格应以“合同条款前附表”第4项中所规定的币种支付。</w:t>
      </w:r>
    </w:p>
    <w:p w14:paraId="59BCD7C3">
      <w:pPr>
        <w:spacing w:line="420" w:lineRule="exact"/>
        <w:ind w:firstLine="480" w:firstLineChars="200"/>
        <w:rPr>
          <w:rFonts w:ascii="Calibri" w:hAnsi="Calibri"/>
          <w:sz w:val="24"/>
          <w:szCs w:val="24"/>
        </w:rPr>
      </w:pPr>
      <w:r>
        <w:rPr>
          <w:rFonts w:ascii="Calibri" w:hAnsi="Calibri"/>
          <w:sz w:val="24"/>
          <w:szCs w:val="24"/>
        </w:rPr>
        <w:t xml:space="preserve">15.2  </w:t>
      </w:r>
      <w:r>
        <w:rPr>
          <w:rFonts w:hint="eastAsia" w:ascii="Calibri" w:hAnsi="Calibri"/>
          <w:sz w:val="24"/>
          <w:szCs w:val="24"/>
        </w:rPr>
        <w:t>买方应按“合同条款前附表”第5项中所规定的付款计划完成合同价格的支付，逾期按应付款同期银行贷款利率两倍计算的利息承担违约金。</w:t>
      </w:r>
    </w:p>
    <w:p w14:paraId="1D70DDAB">
      <w:pPr>
        <w:spacing w:line="420" w:lineRule="exact"/>
        <w:ind w:firstLine="480" w:firstLineChars="200"/>
        <w:rPr>
          <w:rFonts w:ascii="Calibri" w:hAnsi="Calibri"/>
          <w:sz w:val="24"/>
          <w:szCs w:val="24"/>
        </w:rPr>
      </w:pPr>
      <w:r>
        <w:rPr>
          <w:rFonts w:ascii="Calibri" w:hAnsi="Calibri"/>
          <w:sz w:val="24"/>
          <w:szCs w:val="24"/>
        </w:rPr>
        <w:t>15.3</w:t>
      </w:r>
      <w:r>
        <w:rPr>
          <w:rFonts w:hint="eastAsia" w:ascii="Calibri" w:hAnsi="Calibri"/>
          <w:sz w:val="24"/>
          <w:szCs w:val="24"/>
        </w:rPr>
        <w:t xml:space="preserve">  卖方应以书面形式提出付款要求，并附上“合同条款”第14条规定的单据以及合同规定的有关义务已经履行的证明。</w:t>
      </w:r>
    </w:p>
    <w:p w14:paraId="4D4722D5">
      <w:pPr>
        <w:spacing w:line="420" w:lineRule="exact"/>
        <w:ind w:firstLine="480" w:firstLineChars="200"/>
        <w:rPr>
          <w:rFonts w:ascii="Calibri" w:hAnsi="Calibri"/>
          <w:sz w:val="24"/>
          <w:szCs w:val="24"/>
        </w:rPr>
      </w:pPr>
      <w:r>
        <w:rPr>
          <w:rFonts w:ascii="Calibri" w:hAnsi="Calibri"/>
          <w:sz w:val="24"/>
          <w:szCs w:val="24"/>
        </w:rPr>
        <w:t>15.4</w:t>
      </w:r>
      <w:r>
        <w:rPr>
          <w:rFonts w:hint="eastAsia" w:ascii="Calibri" w:hAnsi="Calibri"/>
          <w:sz w:val="24"/>
          <w:szCs w:val="24"/>
        </w:rPr>
        <w:t xml:space="preserve">  买方的付款应当及时，在任何情况下，支付应在收到卖方的书面付款要求以及“合同条款”第14条规定单据并经审核无误后的</w:t>
      </w:r>
      <w:r>
        <w:rPr>
          <w:rFonts w:hint="eastAsia" w:ascii="Calibri" w:hAnsi="Calibri"/>
          <w:sz w:val="24"/>
          <w:szCs w:val="24"/>
          <w:lang w:val="en-US" w:eastAsia="zh-CN"/>
        </w:rPr>
        <w:t>2</w:t>
      </w:r>
      <w:r>
        <w:rPr>
          <w:rFonts w:hint="eastAsia" w:ascii="Calibri" w:hAnsi="Calibri"/>
          <w:sz w:val="24"/>
          <w:szCs w:val="24"/>
        </w:rPr>
        <w:t>0天内完成。如买方在审核有关单据时发现了错误或问题，应及时以书面形式通知卖方。</w:t>
      </w:r>
    </w:p>
    <w:p w14:paraId="3830AE86">
      <w:pPr>
        <w:spacing w:line="420" w:lineRule="exact"/>
        <w:ind w:firstLine="480" w:firstLineChars="200"/>
        <w:rPr>
          <w:rFonts w:ascii="Calibri" w:hAnsi="Calibri"/>
          <w:sz w:val="24"/>
          <w:szCs w:val="24"/>
        </w:rPr>
      </w:pPr>
      <w:r>
        <w:rPr>
          <w:rFonts w:ascii="Calibri" w:hAnsi="Calibri"/>
          <w:sz w:val="24"/>
          <w:szCs w:val="24"/>
        </w:rPr>
        <w:t>15.5</w:t>
      </w:r>
      <w:r>
        <w:rPr>
          <w:rFonts w:hint="eastAsia" w:ascii="Calibri" w:hAnsi="Calibri"/>
          <w:sz w:val="24"/>
          <w:szCs w:val="24"/>
        </w:rPr>
        <w:t xml:space="preserve">  卖方未及时开具票据或提供相应证明，买方有权拒绝付款且不承担违约责任，同时卖方不得以此拖延、拒绝履行交货、安装调试及验收交付的义务。</w:t>
      </w:r>
    </w:p>
    <w:p w14:paraId="3CB3411C">
      <w:pPr>
        <w:spacing w:line="420" w:lineRule="exact"/>
        <w:ind w:firstLine="480" w:firstLineChars="200"/>
        <w:rPr>
          <w:rFonts w:ascii="Calibri" w:hAnsi="Calibri"/>
          <w:sz w:val="24"/>
          <w:szCs w:val="24"/>
        </w:rPr>
      </w:pPr>
      <w:r>
        <w:rPr>
          <w:rFonts w:hint="eastAsia" w:ascii="Calibri" w:hAnsi="Calibri"/>
          <w:sz w:val="24"/>
          <w:szCs w:val="24"/>
        </w:rPr>
        <w:t>15.6  支付过程中发生的银行费用应由各方各自承担。</w:t>
      </w:r>
    </w:p>
    <w:p w14:paraId="6CBFA01E">
      <w:pPr>
        <w:spacing w:line="420" w:lineRule="exact"/>
        <w:ind w:firstLine="480" w:firstLineChars="200"/>
        <w:rPr>
          <w:rFonts w:ascii="黑体" w:hAnsi="Calibri" w:eastAsia="黑体"/>
          <w:sz w:val="24"/>
          <w:szCs w:val="24"/>
        </w:rPr>
      </w:pPr>
      <w:r>
        <w:rPr>
          <w:rFonts w:hint="eastAsia" w:ascii="黑体" w:hAnsi="Calibri" w:eastAsia="黑体"/>
          <w:sz w:val="24"/>
          <w:szCs w:val="24"/>
        </w:rPr>
        <w:t>16  检验和验收</w:t>
      </w:r>
    </w:p>
    <w:p w14:paraId="42E0A3A6">
      <w:pPr>
        <w:spacing w:line="420" w:lineRule="exact"/>
        <w:ind w:firstLine="480" w:firstLineChars="200"/>
        <w:rPr>
          <w:rFonts w:ascii="Calibri" w:hAnsi="Calibri"/>
          <w:sz w:val="24"/>
          <w:szCs w:val="24"/>
        </w:rPr>
      </w:pPr>
      <w:r>
        <w:rPr>
          <w:rFonts w:ascii="Calibri" w:hAnsi="Calibri"/>
          <w:sz w:val="24"/>
          <w:szCs w:val="24"/>
        </w:rPr>
        <w:t xml:space="preserve">16.1 </w:t>
      </w:r>
      <w:r>
        <w:rPr>
          <w:rFonts w:hint="eastAsia" w:ascii="Calibri" w:hAnsi="Calibri"/>
          <w:sz w:val="24"/>
          <w:szCs w:val="24"/>
        </w:rPr>
        <w:t xml:space="preserve"> 在货物制造过程中，买方有权派人参与监造，卖方应对此给予配合和支持，并给买方监造人员提供工作和生活上的方便。买方人员不签署任何质量证明，买方人员参与监造不解除卖方的任何责任，也不替代到货后的检验和验收。</w:t>
      </w:r>
    </w:p>
    <w:p w14:paraId="4A399EAB">
      <w:pPr>
        <w:spacing w:line="420" w:lineRule="exact"/>
        <w:ind w:firstLine="480" w:firstLineChars="200"/>
        <w:rPr>
          <w:rFonts w:ascii="Calibri" w:hAnsi="Calibri"/>
          <w:sz w:val="24"/>
          <w:szCs w:val="24"/>
        </w:rPr>
      </w:pPr>
      <w:r>
        <w:rPr>
          <w:rFonts w:hint="eastAsia" w:ascii="Calibri" w:hAnsi="Calibri"/>
          <w:sz w:val="24"/>
          <w:szCs w:val="24"/>
        </w:rPr>
        <w:t>16.2  在交货前，制造厂应对货物的质量、规格、性能、数量和重量等进行全面、细致的检验，并出具证明货物符合合同规定的检验合格证书，检验合格证书是支付交货付款所需单据之一，但不能作为有关质量、规格、性能、数量或重量等的最终检验凭证。制造厂检验的结果和细节应附在检验合格证书之后。</w:t>
      </w:r>
    </w:p>
    <w:p w14:paraId="521574E7">
      <w:pPr>
        <w:spacing w:line="420" w:lineRule="exact"/>
        <w:ind w:firstLine="480" w:firstLineChars="200"/>
        <w:rPr>
          <w:rFonts w:ascii="Calibri" w:hAnsi="Calibri"/>
          <w:sz w:val="24"/>
          <w:szCs w:val="24"/>
        </w:rPr>
      </w:pPr>
      <w:r>
        <w:rPr>
          <w:rFonts w:ascii="Calibri" w:hAnsi="Calibri"/>
          <w:sz w:val="24"/>
          <w:szCs w:val="24"/>
        </w:rPr>
        <w:t>16.</w:t>
      </w:r>
      <w:r>
        <w:rPr>
          <w:rFonts w:hint="eastAsia" w:ascii="Calibri" w:hAnsi="Calibri"/>
          <w:sz w:val="24"/>
          <w:szCs w:val="24"/>
        </w:rPr>
        <w:t>3  货物运抵现场后，买方对货物的规格、数量、重量和随货提供的资料进行检验，出具到货检验合格证书之日视为卖方送货完成。</w:t>
      </w:r>
    </w:p>
    <w:p w14:paraId="194527AF">
      <w:pPr>
        <w:spacing w:line="420" w:lineRule="exact"/>
        <w:ind w:firstLine="480" w:firstLineChars="200"/>
        <w:rPr>
          <w:rFonts w:ascii="Calibri" w:hAnsi="Calibri"/>
          <w:sz w:val="24"/>
          <w:szCs w:val="24"/>
        </w:rPr>
      </w:pPr>
      <w:r>
        <w:rPr>
          <w:rFonts w:ascii="Calibri" w:hAnsi="Calibri"/>
          <w:sz w:val="24"/>
          <w:szCs w:val="24"/>
        </w:rPr>
        <w:t>16.</w:t>
      </w:r>
      <w:r>
        <w:rPr>
          <w:rFonts w:hint="eastAsia" w:ascii="Calibri" w:hAnsi="Calibri"/>
          <w:sz w:val="24"/>
          <w:szCs w:val="24"/>
        </w:rPr>
        <w:t>4  买方或其代表应有权对货物进行检验，以确认货物是否符合规格、数量、重量和随货提供资料方面的要求，并且不承担额外的费用。买方应及时将进行检验的代表身份情况告知卖方。</w:t>
      </w:r>
    </w:p>
    <w:p w14:paraId="320CA300">
      <w:pPr>
        <w:spacing w:line="420" w:lineRule="exact"/>
        <w:ind w:firstLine="480" w:firstLineChars="200"/>
        <w:rPr>
          <w:rFonts w:ascii="Calibri" w:hAnsi="Calibri"/>
          <w:sz w:val="24"/>
          <w:szCs w:val="24"/>
        </w:rPr>
      </w:pPr>
      <w:r>
        <w:rPr>
          <w:rFonts w:ascii="Calibri" w:hAnsi="Calibri"/>
          <w:sz w:val="24"/>
          <w:szCs w:val="24"/>
        </w:rPr>
        <w:t>16.</w:t>
      </w:r>
      <w:r>
        <w:rPr>
          <w:rFonts w:hint="eastAsia" w:ascii="Calibri" w:hAnsi="Calibri"/>
          <w:sz w:val="24"/>
          <w:szCs w:val="24"/>
        </w:rPr>
        <w:t>5  上述检验在项目现场进行，卖方应对检验工作免费提供合理的协助并借用可能需要的专用仪器或仪表。</w:t>
      </w:r>
    </w:p>
    <w:p w14:paraId="44D3F4F5">
      <w:pPr>
        <w:spacing w:line="420" w:lineRule="exact"/>
        <w:ind w:firstLine="480" w:firstLineChars="200"/>
        <w:rPr>
          <w:rFonts w:ascii="Calibri" w:hAnsi="Calibri"/>
          <w:sz w:val="24"/>
          <w:szCs w:val="24"/>
        </w:rPr>
      </w:pPr>
      <w:r>
        <w:rPr>
          <w:rFonts w:ascii="Calibri" w:hAnsi="Calibri"/>
          <w:sz w:val="24"/>
          <w:szCs w:val="24"/>
        </w:rPr>
        <w:t>16.</w:t>
      </w:r>
      <w:r>
        <w:rPr>
          <w:rFonts w:hint="eastAsia" w:ascii="Calibri" w:hAnsi="Calibri"/>
          <w:sz w:val="24"/>
          <w:szCs w:val="24"/>
        </w:rPr>
        <w:t>6  如果被检验的货物不能满足规格、数量、重量和随货提供资料方面的要求，买方可能拒绝接受该货物，卖方应免费更换被拒绝的货物。</w:t>
      </w:r>
    </w:p>
    <w:p w14:paraId="3FC653AE">
      <w:pPr>
        <w:spacing w:line="420" w:lineRule="exact"/>
        <w:ind w:firstLine="480" w:firstLineChars="200"/>
        <w:rPr>
          <w:rFonts w:ascii="Calibri" w:hAnsi="Calibri"/>
          <w:sz w:val="24"/>
          <w:szCs w:val="24"/>
        </w:rPr>
      </w:pPr>
      <w:r>
        <w:rPr>
          <w:rFonts w:ascii="Calibri" w:hAnsi="Calibri"/>
          <w:sz w:val="24"/>
          <w:szCs w:val="24"/>
        </w:rPr>
        <w:t>16.</w:t>
      </w:r>
      <w:r>
        <w:rPr>
          <w:rFonts w:hint="eastAsia" w:ascii="Calibri" w:hAnsi="Calibri"/>
          <w:sz w:val="24"/>
          <w:szCs w:val="24"/>
        </w:rPr>
        <w:t>7  买方在货物运抵项目现场后对其进行检验以及必要时拒绝接受该货物的权力，将不会因为货物在其出厂地启运前通过了买方或其代表的检验及认可而受到限制或放弃。</w:t>
      </w:r>
    </w:p>
    <w:p w14:paraId="517FB84A">
      <w:pPr>
        <w:spacing w:line="420" w:lineRule="exact"/>
        <w:ind w:firstLine="480" w:firstLineChars="200"/>
        <w:rPr>
          <w:rFonts w:ascii="Calibri" w:hAnsi="Calibri"/>
          <w:sz w:val="24"/>
          <w:szCs w:val="24"/>
        </w:rPr>
      </w:pPr>
      <w:r>
        <w:rPr>
          <w:rFonts w:ascii="Calibri" w:hAnsi="Calibri"/>
          <w:sz w:val="24"/>
          <w:szCs w:val="24"/>
        </w:rPr>
        <w:t>16.</w:t>
      </w:r>
      <w:r>
        <w:rPr>
          <w:rFonts w:hint="eastAsia" w:ascii="Calibri" w:hAnsi="Calibri"/>
          <w:sz w:val="24"/>
          <w:szCs w:val="24"/>
        </w:rPr>
        <w:t>8 在货物到达项目现场后，卖方应及时以书面形式通知买方进行检验。买方应在收到检验通知后的2天之内开始进行检验。</w:t>
      </w:r>
    </w:p>
    <w:p w14:paraId="6CE65949">
      <w:pPr>
        <w:spacing w:line="420" w:lineRule="exact"/>
        <w:ind w:firstLine="480" w:firstLineChars="200"/>
        <w:rPr>
          <w:rFonts w:ascii="Calibri" w:hAnsi="Calibri"/>
          <w:sz w:val="24"/>
          <w:szCs w:val="24"/>
        </w:rPr>
      </w:pPr>
      <w:r>
        <w:rPr>
          <w:rFonts w:ascii="Calibri" w:hAnsi="Calibri"/>
          <w:sz w:val="24"/>
          <w:szCs w:val="24"/>
        </w:rPr>
        <w:t>16.</w:t>
      </w:r>
      <w:r>
        <w:rPr>
          <w:rFonts w:hint="eastAsia" w:ascii="Calibri" w:hAnsi="Calibri"/>
          <w:sz w:val="24"/>
          <w:szCs w:val="24"/>
        </w:rPr>
        <w:t>9 买卖双方应在货物检验合格后的2天之内签署到货检验合格证书。</w:t>
      </w:r>
    </w:p>
    <w:p w14:paraId="481BCAF4">
      <w:pPr>
        <w:spacing w:line="420" w:lineRule="exact"/>
        <w:ind w:firstLine="480" w:firstLineChars="200"/>
        <w:rPr>
          <w:rFonts w:ascii="Calibri" w:hAnsi="Calibri"/>
          <w:sz w:val="24"/>
          <w:szCs w:val="24"/>
        </w:rPr>
      </w:pPr>
      <w:r>
        <w:rPr>
          <w:rFonts w:hint="eastAsia" w:ascii="Calibri" w:hAnsi="Calibri"/>
          <w:sz w:val="24"/>
          <w:szCs w:val="24"/>
        </w:rPr>
        <w:t>16.10  买方对货物质量的检验适用质量保证（修）期的规定。</w:t>
      </w:r>
    </w:p>
    <w:p w14:paraId="30D617C2">
      <w:pPr>
        <w:spacing w:line="420" w:lineRule="exact"/>
        <w:ind w:firstLine="480" w:firstLineChars="200"/>
        <w:rPr>
          <w:rFonts w:ascii="Calibri" w:hAnsi="Calibri"/>
          <w:sz w:val="24"/>
          <w:szCs w:val="24"/>
        </w:rPr>
      </w:pPr>
      <w:r>
        <w:rPr>
          <w:rFonts w:hint="eastAsia" w:ascii="Calibri" w:hAnsi="Calibri"/>
          <w:sz w:val="24"/>
          <w:szCs w:val="24"/>
        </w:rPr>
        <w:t>16.11  因卖方承担了所供货物安装调试施工服务，为专项交钥匙工程，货物到达项目现场后仍由卖方承担保管责任和费用。</w:t>
      </w:r>
    </w:p>
    <w:p w14:paraId="465FC679">
      <w:pPr>
        <w:spacing w:line="420" w:lineRule="exact"/>
        <w:ind w:firstLine="480" w:firstLineChars="200"/>
        <w:rPr>
          <w:rFonts w:ascii="Calibri" w:hAnsi="Calibri"/>
          <w:sz w:val="24"/>
          <w:szCs w:val="24"/>
        </w:rPr>
      </w:pPr>
      <w:r>
        <w:rPr>
          <w:rFonts w:hint="eastAsia" w:ascii="Calibri" w:hAnsi="Calibri"/>
          <w:sz w:val="24"/>
          <w:szCs w:val="24"/>
        </w:rPr>
        <w:t>16.12  卖方在安装施工质量、工期、安全和现场文明施工等方面应服从买方的管理，并与买方密切配合，共同实现合同所确定的目标。</w:t>
      </w:r>
    </w:p>
    <w:p w14:paraId="34966450">
      <w:pPr>
        <w:spacing w:line="420" w:lineRule="exact"/>
        <w:ind w:firstLine="480"/>
        <w:rPr>
          <w:rFonts w:ascii="Calibri" w:hAnsi="Calibri"/>
          <w:sz w:val="24"/>
          <w:szCs w:val="24"/>
        </w:rPr>
      </w:pPr>
      <w:r>
        <w:rPr>
          <w:rFonts w:hint="eastAsia" w:ascii="Calibri" w:hAnsi="Calibri"/>
          <w:sz w:val="24"/>
          <w:szCs w:val="24"/>
        </w:rPr>
        <w:t>16.13 卖方在安装调试结束后，应根据设计方案和验收规范自行验收</w:t>
      </w:r>
      <w:r>
        <w:rPr>
          <w:rFonts w:hint="eastAsia" w:ascii="Calibri" w:hAnsi="Calibri"/>
          <w:sz w:val="24"/>
          <w:szCs w:val="24"/>
          <w:lang w:eastAsia="zh-CN"/>
        </w:rPr>
        <w:t>。</w:t>
      </w:r>
      <w:r>
        <w:rPr>
          <w:rFonts w:hint="eastAsia" w:ascii="Calibri" w:hAnsi="Calibri"/>
          <w:sz w:val="24"/>
          <w:szCs w:val="24"/>
          <w:lang w:val="en-US" w:eastAsia="zh-CN"/>
        </w:rPr>
        <w:t>安装完成3个月后，</w:t>
      </w:r>
      <w:r>
        <w:rPr>
          <w:rFonts w:hint="eastAsia" w:ascii="Calibri" w:hAnsi="Calibri"/>
          <w:sz w:val="24"/>
          <w:szCs w:val="24"/>
        </w:rPr>
        <w:t>买方组织相关单位、部门按照国家有关规范和合同要求进行验收；如果货物的或安装的质量等与合同要求不符，包括潜在的缺陷或使用不符合要求的配件、材料等，买方有权提出整改要求或提请相关检验机构进行检测；卖方整改完成或检测达到要求才能通过验收。</w:t>
      </w:r>
    </w:p>
    <w:p w14:paraId="1552F619">
      <w:pPr>
        <w:spacing w:line="420" w:lineRule="exact"/>
        <w:ind w:firstLine="480"/>
        <w:rPr>
          <w:rFonts w:ascii="Calibri" w:hAnsi="Calibri"/>
          <w:sz w:val="24"/>
          <w:szCs w:val="24"/>
        </w:rPr>
      </w:pPr>
      <w:r>
        <w:rPr>
          <w:rFonts w:hint="eastAsia" w:ascii="Calibri" w:hAnsi="Calibri"/>
          <w:sz w:val="24"/>
          <w:szCs w:val="24"/>
        </w:rPr>
        <w:t>16.14 卖方的货物经其安装调试并通过买方的验收日期视为卖方的交货完成日期和质量保证（修）期的起算日，据此双方应签署工程（交货）竣工验收合格证书。</w:t>
      </w:r>
    </w:p>
    <w:p w14:paraId="52DB00C1">
      <w:pPr>
        <w:spacing w:line="420" w:lineRule="exact"/>
        <w:ind w:firstLine="480"/>
        <w:rPr>
          <w:rFonts w:ascii="Calibri" w:hAnsi="Calibri"/>
          <w:sz w:val="24"/>
          <w:szCs w:val="24"/>
        </w:rPr>
      </w:pPr>
      <w:r>
        <w:rPr>
          <w:rFonts w:ascii="Calibri" w:hAnsi="Calibri"/>
          <w:sz w:val="24"/>
          <w:szCs w:val="24"/>
        </w:rPr>
        <w:t>16.</w:t>
      </w:r>
      <w:r>
        <w:rPr>
          <w:rFonts w:hint="eastAsia" w:ascii="Calibri" w:hAnsi="Calibri"/>
          <w:sz w:val="24"/>
          <w:szCs w:val="24"/>
        </w:rPr>
        <w:t>15  “合同条款”第</w:t>
      </w:r>
      <w:r>
        <w:rPr>
          <w:rFonts w:ascii="Calibri" w:hAnsi="Calibri"/>
          <w:sz w:val="24"/>
          <w:szCs w:val="24"/>
        </w:rPr>
        <w:t>16.1-16.</w:t>
      </w:r>
      <w:r>
        <w:rPr>
          <w:rFonts w:hint="eastAsia" w:ascii="Calibri" w:hAnsi="Calibri"/>
          <w:sz w:val="24"/>
          <w:szCs w:val="24"/>
        </w:rPr>
        <w:t>14条的规定无论如何也不能免除卖方在本合同项下的质量保证（修）义务及其他义务。</w:t>
      </w:r>
    </w:p>
    <w:p w14:paraId="18D166B6">
      <w:pPr>
        <w:spacing w:line="420" w:lineRule="exact"/>
        <w:ind w:firstLine="480" w:firstLineChars="200"/>
        <w:rPr>
          <w:rFonts w:ascii="黑体" w:hAnsi="Calibri" w:eastAsia="黑体"/>
          <w:sz w:val="24"/>
          <w:szCs w:val="24"/>
        </w:rPr>
      </w:pPr>
      <w:r>
        <w:rPr>
          <w:rFonts w:hint="eastAsia" w:ascii="黑体" w:hAnsi="Calibri" w:eastAsia="黑体"/>
          <w:sz w:val="24"/>
          <w:szCs w:val="24"/>
        </w:rPr>
        <w:t>17  质量保证</w:t>
      </w:r>
    </w:p>
    <w:p w14:paraId="455C19E9">
      <w:pPr>
        <w:spacing w:line="420" w:lineRule="exact"/>
        <w:ind w:firstLine="480" w:firstLineChars="200"/>
        <w:rPr>
          <w:rFonts w:ascii="Calibri" w:hAnsi="Calibri"/>
          <w:sz w:val="24"/>
          <w:szCs w:val="24"/>
        </w:rPr>
      </w:pPr>
      <w:r>
        <w:rPr>
          <w:rFonts w:ascii="Calibri" w:hAnsi="Calibri"/>
          <w:sz w:val="24"/>
          <w:szCs w:val="24"/>
        </w:rPr>
        <w:t xml:space="preserve">17.1 </w:t>
      </w:r>
      <w:r>
        <w:rPr>
          <w:rFonts w:hint="eastAsia" w:ascii="Calibri" w:hAnsi="Calibri"/>
          <w:sz w:val="24"/>
          <w:szCs w:val="24"/>
        </w:rPr>
        <w:t xml:space="preserve"> 卖方保证所供货物是全新的、未使用过的，并完全符合合同规定的质量、规格和性能要求。卖方应保证其货物在正确安装、正常使用和正常保养的条件下，在其预计使用寿命期内均具有满意的性能。</w:t>
      </w:r>
    </w:p>
    <w:p w14:paraId="73C379E3">
      <w:pPr>
        <w:spacing w:line="420" w:lineRule="exact"/>
        <w:ind w:firstLine="480" w:firstLineChars="200"/>
        <w:rPr>
          <w:rFonts w:ascii="Calibri" w:hAnsi="Calibri"/>
          <w:sz w:val="24"/>
          <w:szCs w:val="24"/>
        </w:rPr>
      </w:pPr>
      <w:r>
        <w:rPr>
          <w:rFonts w:ascii="Calibri" w:hAnsi="Calibri"/>
          <w:sz w:val="24"/>
          <w:szCs w:val="24"/>
        </w:rPr>
        <w:t>17.2</w:t>
      </w:r>
      <w:r>
        <w:rPr>
          <w:rFonts w:hint="eastAsia" w:ascii="Calibri" w:hAnsi="Calibri"/>
          <w:sz w:val="24"/>
          <w:szCs w:val="24"/>
        </w:rPr>
        <w:t xml:space="preserve">  根据当地有关部门的检验结果，或者在货物的质量保证（修）期内，发现其数量、质量或规格与合同不符，或发现设计、工艺、材料有瑕疵，或证实货物是有缺陷的，包括潜在的缺陷或使用不符合要求的材料等，买方应尽快以书面通知形式向卖方提出本保证条款下的索赔。</w:t>
      </w:r>
    </w:p>
    <w:p w14:paraId="4E8EAF6D">
      <w:pPr>
        <w:spacing w:line="420" w:lineRule="exact"/>
        <w:ind w:firstLine="480" w:firstLineChars="200"/>
        <w:rPr>
          <w:rFonts w:ascii="Calibri" w:hAnsi="Calibri"/>
          <w:sz w:val="24"/>
          <w:szCs w:val="24"/>
        </w:rPr>
      </w:pPr>
      <w:r>
        <w:rPr>
          <w:rFonts w:ascii="Calibri" w:hAnsi="Calibri"/>
          <w:sz w:val="24"/>
          <w:szCs w:val="24"/>
        </w:rPr>
        <w:t>17.3</w:t>
      </w:r>
      <w:r>
        <w:rPr>
          <w:rFonts w:hint="eastAsia" w:ascii="Calibri" w:hAnsi="Calibri"/>
          <w:sz w:val="24"/>
          <w:szCs w:val="24"/>
        </w:rPr>
        <w:t xml:space="preserve">  卖方在收到通知后，在其服务承诺的时间内负责免费维修、更换有缺陷的货物或部件。否则买方可采取必要的补救措施，但风险和费用将由卖方承担，且买方根据合同规定对卖方行使的其他权利不受影响。</w:t>
      </w:r>
    </w:p>
    <w:p w14:paraId="6406F690">
      <w:pPr>
        <w:spacing w:line="420" w:lineRule="exact"/>
        <w:ind w:firstLine="480" w:firstLineChars="200"/>
        <w:rPr>
          <w:rFonts w:ascii="Calibri" w:hAnsi="Calibri"/>
          <w:sz w:val="24"/>
          <w:szCs w:val="24"/>
        </w:rPr>
      </w:pPr>
      <w:r>
        <w:rPr>
          <w:rFonts w:ascii="Calibri" w:hAnsi="Calibri"/>
          <w:sz w:val="24"/>
          <w:szCs w:val="24"/>
        </w:rPr>
        <w:t xml:space="preserve">17.4 </w:t>
      </w:r>
      <w:r>
        <w:rPr>
          <w:rFonts w:hint="eastAsia" w:ascii="Calibri" w:hAnsi="Calibri"/>
          <w:sz w:val="24"/>
          <w:szCs w:val="24"/>
        </w:rPr>
        <w:t xml:space="preserve"> 如在质量保证（修）期满之时，未发生</w:t>
      </w:r>
      <w:r>
        <w:rPr>
          <w:rFonts w:ascii="Calibri" w:hAnsi="Calibri"/>
          <w:sz w:val="24"/>
          <w:szCs w:val="24"/>
        </w:rPr>
        <w:t>17.2</w:t>
      </w:r>
      <w:r>
        <w:rPr>
          <w:rFonts w:hint="eastAsia" w:ascii="Calibri" w:hAnsi="Calibri"/>
          <w:sz w:val="24"/>
          <w:szCs w:val="24"/>
        </w:rPr>
        <w:t>条所述的索赔事宜，或虽发生但双方已按约处理结束，则买卖双方应在7天之内签署质量保证（修）期期满合格证书。</w:t>
      </w:r>
    </w:p>
    <w:p w14:paraId="7B9915CD">
      <w:pPr>
        <w:spacing w:line="420" w:lineRule="exact"/>
        <w:ind w:firstLine="480" w:firstLineChars="200"/>
        <w:rPr>
          <w:rFonts w:ascii="Calibri" w:hAnsi="Calibri"/>
          <w:sz w:val="24"/>
          <w:szCs w:val="24"/>
        </w:rPr>
      </w:pPr>
      <w:r>
        <w:rPr>
          <w:rFonts w:hint="eastAsia" w:ascii="Calibri" w:hAnsi="Calibri"/>
          <w:sz w:val="24"/>
          <w:szCs w:val="24"/>
        </w:rPr>
        <w:t>17.5  在保证（修）期内，同一货物或部件由于同一质量问题经过连续两次维修仍无法正常使用的，卖方应无条件给予全套更换，并相应延长质量保证（修）期。</w:t>
      </w:r>
    </w:p>
    <w:p w14:paraId="716C4694">
      <w:pPr>
        <w:spacing w:line="420" w:lineRule="exact"/>
        <w:ind w:firstLine="480" w:firstLineChars="200"/>
        <w:rPr>
          <w:rFonts w:ascii="黑体" w:hAnsi="Calibri" w:eastAsia="黑体"/>
          <w:sz w:val="24"/>
          <w:szCs w:val="24"/>
        </w:rPr>
      </w:pPr>
      <w:r>
        <w:rPr>
          <w:rFonts w:hint="eastAsia" w:ascii="黑体" w:hAnsi="Calibri" w:eastAsia="黑体"/>
          <w:sz w:val="24"/>
          <w:szCs w:val="24"/>
        </w:rPr>
        <w:t>18  索赔</w:t>
      </w:r>
    </w:p>
    <w:p w14:paraId="08BF5677">
      <w:pPr>
        <w:spacing w:line="420" w:lineRule="exact"/>
        <w:ind w:left="13" w:leftChars="6" w:firstLine="465" w:firstLineChars="194"/>
        <w:rPr>
          <w:rFonts w:ascii="Calibri" w:hAnsi="Calibri"/>
          <w:sz w:val="24"/>
          <w:szCs w:val="24"/>
        </w:rPr>
      </w:pPr>
      <w:r>
        <w:rPr>
          <w:rFonts w:ascii="Calibri" w:hAnsi="Calibri"/>
          <w:sz w:val="24"/>
          <w:szCs w:val="24"/>
        </w:rPr>
        <w:t>18.1</w:t>
      </w:r>
      <w:r>
        <w:rPr>
          <w:rFonts w:hint="eastAsia" w:ascii="Calibri" w:hAnsi="Calibri"/>
          <w:sz w:val="24"/>
          <w:szCs w:val="24"/>
        </w:rPr>
        <w:t xml:space="preserve">  买方有权根据当地有关部门出具的检验证书向卖方提出索赔。</w:t>
      </w:r>
    </w:p>
    <w:p w14:paraId="69E8497F">
      <w:pPr>
        <w:spacing w:line="420" w:lineRule="exact"/>
        <w:ind w:firstLine="480" w:firstLineChars="200"/>
        <w:rPr>
          <w:rFonts w:ascii="Calibri" w:hAnsi="Calibri"/>
          <w:sz w:val="24"/>
          <w:szCs w:val="24"/>
        </w:rPr>
      </w:pPr>
      <w:r>
        <w:rPr>
          <w:rFonts w:ascii="Calibri" w:hAnsi="Calibri"/>
          <w:sz w:val="24"/>
          <w:szCs w:val="24"/>
        </w:rPr>
        <w:t xml:space="preserve">18.2 </w:t>
      </w:r>
      <w:r>
        <w:rPr>
          <w:rFonts w:hint="eastAsia" w:ascii="Calibri" w:hAnsi="Calibri"/>
          <w:sz w:val="24"/>
          <w:szCs w:val="24"/>
        </w:rPr>
        <w:t xml:space="preserve"> 在“合同条款”第17条规定的质量保证（修）期内，如果卖方对货物缺陷负有责任而买方提出了索赔，则卖方应按买方同意的下列一种或多种方式解决索赔事宜：</w:t>
      </w:r>
    </w:p>
    <w:p w14:paraId="5128A975">
      <w:pPr>
        <w:spacing w:line="420" w:lineRule="exact"/>
        <w:ind w:firstLine="480" w:firstLineChars="200"/>
        <w:rPr>
          <w:rFonts w:ascii="Calibri" w:hAnsi="Calibri"/>
          <w:sz w:val="24"/>
          <w:szCs w:val="24"/>
        </w:rPr>
      </w:pPr>
      <w:r>
        <w:rPr>
          <w:rFonts w:ascii="Calibri" w:hAnsi="Calibri"/>
          <w:sz w:val="24"/>
          <w:szCs w:val="24"/>
        </w:rPr>
        <w:t>18.2.1</w:t>
      </w:r>
      <w:r>
        <w:rPr>
          <w:rFonts w:hint="eastAsia" w:ascii="Calibri" w:hAnsi="Calibri"/>
          <w:sz w:val="24"/>
          <w:szCs w:val="24"/>
        </w:rPr>
        <w:t xml:space="preserve">  卖方同意退货并用合同规定的货币将货款退还给买方，同时承担由此而导致的一切损失和费用，包括利息、银行手续费、运费、保险费、检验费、仓储费、装卸费以及为保护退回货物所需的其他费用；</w:t>
      </w:r>
    </w:p>
    <w:p w14:paraId="0D7D4FCC">
      <w:pPr>
        <w:spacing w:line="420" w:lineRule="exact"/>
        <w:ind w:firstLine="480" w:firstLineChars="200"/>
        <w:rPr>
          <w:rFonts w:ascii="Calibri" w:hAnsi="Calibri"/>
          <w:sz w:val="24"/>
          <w:szCs w:val="24"/>
        </w:rPr>
      </w:pPr>
      <w:r>
        <w:rPr>
          <w:rFonts w:ascii="Calibri" w:hAnsi="Calibri"/>
          <w:sz w:val="24"/>
          <w:szCs w:val="24"/>
        </w:rPr>
        <w:t xml:space="preserve">18.2.2  </w:t>
      </w:r>
      <w:r>
        <w:rPr>
          <w:rFonts w:hint="eastAsia" w:ascii="Calibri" w:hAnsi="Calibri"/>
          <w:sz w:val="24"/>
          <w:szCs w:val="24"/>
        </w:rPr>
        <w:t>根据货物的低劣和损坏程度以及买方遭受的损失金额，经过双方商定，降低货物的价格，并及时将差额部分退还给买方；</w:t>
      </w:r>
    </w:p>
    <w:p w14:paraId="0AE93443">
      <w:pPr>
        <w:spacing w:line="420" w:lineRule="exact"/>
        <w:ind w:firstLine="480" w:firstLineChars="200"/>
        <w:rPr>
          <w:rFonts w:ascii="Calibri" w:hAnsi="Calibri"/>
          <w:sz w:val="24"/>
          <w:szCs w:val="24"/>
        </w:rPr>
      </w:pPr>
      <w:r>
        <w:rPr>
          <w:rFonts w:ascii="Calibri" w:hAnsi="Calibri"/>
          <w:sz w:val="24"/>
          <w:szCs w:val="24"/>
        </w:rPr>
        <w:t>18.2.3</w:t>
      </w:r>
      <w:r>
        <w:rPr>
          <w:rFonts w:hint="eastAsia" w:ascii="Calibri" w:hAnsi="Calibri"/>
          <w:sz w:val="24"/>
          <w:szCs w:val="24"/>
        </w:rPr>
        <w:t xml:space="preserve">  用规格、质量和性能符合合同要求的新货物来更换有缺陷的部分，卖方应承担由此而导致的一切费用和保险，并负担买方因此而蒙受的全部直接经济损失。同时，卖方应按“合同条款”条17条的规定，相应延长更换货物的质量保证（修）期。</w:t>
      </w:r>
    </w:p>
    <w:p w14:paraId="16EF7FC8">
      <w:pPr>
        <w:spacing w:line="420" w:lineRule="exact"/>
        <w:ind w:firstLine="480" w:firstLineChars="200"/>
        <w:rPr>
          <w:rFonts w:ascii="Calibri" w:hAnsi="Calibri"/>
          <w:sz w:val="24"/>
          <w:szCs w:val="24"/>
        </w:rPr>
      </w:pPr>
      <w:r>
        <w:rPr>
          <w:rFonts w:ascii="Calibri" w:hAnsi="Calibri"/>
          <w:sz w:val="24"/>
          <w:szCs w:val="24"/>
        </w:rPr>
        <w:t>18.</w:t>
      </w:r>
      <w:r>
        <w:rPr>
          <w:rFonts w:hint="eastAsia" w:ascii="Calibri" w:hAnsi="Calibri"/>
          <w:sz w:val="24"/>
          <w:szCs w:val="24"/>
        </w:rPr>
        <w:t>3  如果在买方发出索赔通知后的28天内，卖方未作答复，上述索赔应视为已被卖方接受。如卖方未能在买方发出索赔通知后的28天内或在买方同意的延长期限内，按照“合同条款”第</w:t>
      </w:r>
      <w:r>
        <w:rPr>
          <w:rFonts w:ascii="Calibri" w:hAnsi="Calibri"/>
          <w:sz w:val="24"/>
          <w:szCs w:val="24"/>
        </w:rPr>
        <w:t xml:space="preserve">18.2 </w:t>
      </w:r>
      <w:r>
        <w:rPr>
          <w:rFonts w:hint="eastAsia" w:ascii="Calibri" w:hAnsi="Calibri"/>
          <w:sz w:val="24"/>
          <w:szCs w:val="24"/>
        </w:rPr>
        <w:t>条规定的任何一种或多种方法解决索赔事宜并使买方满意，买方将从卖方留存的履约保证金中扣回索赔金额而无需通过诉讼程序确认；如果索赔金额高于卖方留存的履约保证金或履约保证金已退还卖方，买方有权依约另行主张。</w:t>
      </w:r>
    </w:p>
    <w:p w14:paraId="25B27372">
      <w:pPr>
        <w:spacing w:line="420" w:lineRule="exact"/>
        <w:ind w:firstLine="480" w:firstLineChars="200"/>
        <w:rPr>
          <w:rFonts w:ascii="黑体" w:hAnsi="Calibri" w:eastAsia="黑体"/>
          <w:sz w:val="24"/>
          <w:szCs w:val="24"/>
        </w:rPr>
      </w:pPr>
      <w:r>
        <w:rPr>
          <w:rFonts w:hint="eastAsia" w:ascii="黑体" w:hAnsi="Calibri" w:eastAsia="黑体"/>
          <w:sz w:val="24"/>
          <w:szCs w:val="24"/>
        </w:rPr>
        <w:t>19  通知与送达</w:t>
      </w:r>
    </w:p>
    <w:p w14:paraId="4C4C53D6">
      <w:pPr>
        <w:spacing w:line="420" w:lineRule="exact"/>
        <w:ind w:firstLine="480" w:firstLineChars="200"/>
        <w:rPr>
          <w:rFonts w:ascii="Calibri" w:hAnsi="Calibri"/>
          <w:sz w:val="24"/>
          <w:szCs w:val="24"/>
        </w:rPr>
      </w:pPr>
      <w:r>
        <w:rPr>
          <w:rFonts w:ascii="Calibri" w:hAnsi="Calibri"/>
          <w:sz w:val="24"/>
          <w:szCs w:val="24"/>
        </w:rPr>
        <w:t xml:space="preserve">19.1 </w:t>
      </w:r>
      <w:r>
        <w:rPr>
          <w:rFonts w:hint="eastAsia" w:ascii="Calibri" w:hAnsi="Calibri"/>
          <w:sz w:val="24"/>
          <w:szCs w:val="24"/>
        </w:rPr>
        <w:t xml:space="preserve"> 本合同一方按照合同约定或法律规定向另一方送达任何文件、通知、回复及其他任何联系，必须用书面形式，且采用直接送达、传真、特快专递、挂号邮寄的方式，送达本合同所列另一方的地址或另一方以本条所述方式通知变更后的地址。如以直接送达的方式送达，则于另一方签收时视为送达；如以传真方式，在传真到达对方时视为已送达另一方，但须随后补发信函确认；如以特快专递方式，在投邮后（以寄出邮戳为准）第二日被视为已送达另一方；如以挂号邮寄的方式，在投邮后（以寄出邮戳为准）第四日将被视为已送达另一方。</w:t>
      </w:r>
    </w:p>
    <w:p w14:paraId="2375DADB">
      <w:pPr>
        <w:spacing w:line="420" w:lineRule="exact"/>
        <w:ind w:firstLine="480" w:firstLineChars="200"/>
        <w:rPr>
          <w:rFonts w:ascii="Calibri" w:hAnsi="Calibri"/>
          <w:sz w:val="24"/>
          <w:szCs w:val="24"/>
        </w:rPr>
      </w:pPr>
      <w:r>
        <w:rPr>
          <w:rFonts w:hint="eastAsia" w:ascii="Calibri" w:hAnsi="Calibri"/>
          <w:sz w:val="24"/>
          <w:szCs w:val="24"/>
        </w:rPr>
        <w:t>19.2.  文件、通知、回复等联系资料以送达之日或文件、通知、回复中规定的生效之日为生效日期，两个日期中以较晚的一个为准。</w:t>
      </w:r>
    </w:p>
    <w:p w14:paraId="734B2D58">
      <w:pPr>
        <w:spacing w:line="420" w:lineRule="exact"/>
        <w:ind w:firstLine="480" w:firstLineChars="200"/>
        <w:rPr>
          <w:rFonts w:ascii="黑体" w:hAnsi="Calibri" w:eastAsia="黑体"/>
          <w:sz w:val="24"/>
          <w:szCs w:val="24"/>
        </w:rPr>
      </w:pPr>
      <w:r>
        <w:rPr>
          <w:rFonts w:hint="eastAsia" w:ascii="黑体" w:hAnsi="Calibri" w:eastAsia="黑体"/>
          <w:sz w:val="24"/>
          <w:szCs w:val="24"/>
        </w:rPr>
        <w:t>20  变更指令</w:t>
      </w:r>
    </w:p>
    <w:p w14:paraId="0411857D">
      <w:pPr>
        <w:spacing w:line="420" w:lineRule="exact"/>
        <w:ind w:firstLine="480" w:firstLineChars="200"/>
        <w:rPr>
          <w:rFonts w:ascii="Calibri" w:hAnsi="Calibri"/>
          <w:sz w:val="24"/>
          <w:szCs w:val="24"/>
        </w:rPr>
      </w:pPr>
      <w:r>
        <w:rPr>
          <w:rFonts w:ascii="Calibri" w:hAnsi="Calibri"/>
          <w:sz w:val="24"/>
          <w:szCs w:val="24"/>
        </w:rPr>
        <w:t>20.1</w:t>
      </w:r>
      <w:r>
        <w:rPr>
          <w:rFonts w:hint="eastAsia" w:ascii="Calibri" w:hAnsi="Calibri"/>
          <w:sz w:val="24"/>
          <w:szCs w:val="24"/>
        </w:rPr>
        <w:t xml:space="preserve">  根据“合同条款”第19条规定，买方可在任何时候向卖方发出书面指令，以在本合同的一般范围内变更下列一项或几项：</w:t>
      </w:r>
    </w:p>
    <w:p w14:paraId="3A9630E1">
      <w:pPr>
        <w:spacing w:line="420" w:lineRule="exact"/>
        <w:ind w:firstLine="480" w:firstLineChars="200"/>
        <w:rPr>
          <w:rFonts w:ascii="Calibri" w:hAnsi="Calibri"/>
          <w:sz w:val="24"/>
          <w:szCs w:val="24"/>
        </w:rPr>
      </w:pPr>
      <w:r>
        <w:rPr>
          <w:rFonts w:ascii="Calibri" w:hAnsi="Calibri"/>
          <w:sz w:val="24"/>
          <w:szCs w:val="24"/>
        </w:rPr>
        <w:t xml:space="preserve">20.1.1 </w:t>
      </w:r>
      <w:r>
        <w:rPr>
          <w:rFonts w:hint="eastAsia" w:ascii="Calibri" w:hAnsi="Calibri"/>
          <w:sz w:val="24"/>
          <w:szCs w:val="24"/>
        </w:rPr>
        <w:t xml:space="preserve"> 本合同项下提供的货物是专为买方制造时，变更设计、图样或规格；</w:t>
      </w:r>
    </w:p>
    <w:p w14:paraId="23299D3F">
      <w:pPr>
        <w:spacing w:line="420" w:lineRule="exact"/>
        <w:ind w:firstLine="480" w:firstLineChars="200"/>
        <w:rPr>
          <w:rFonts w:ascii="Calibri" w:hAnsi="Calibri"/>
          <w:sz w:val="24"/>
          <w:szCs w:val="24"/>
        </w:rPr>
      </w:pPr>
      <w:r>
        <w:rPr>
          <w:rFonts w:ascii="Calibri" w:hAnsi="Calibri"/>
          <w:sz w:val="24"/>
          <w:szCs w:val="24"/>
        </w:rPr>
        <w:t>20.1.2</w:t>
      </w:r>
      <w:r>
        <w:rPr>
          <w:rFonts w:hint="eastAsia" w:ascii="Calibri" w:hAnsi="Calibri"/>
          <w:sz w:val="24"/>
          <w:szCs w:val="24"/>
        </w:rPr>
        <w:t xml:space="preserve">  货物的运输或包装方法或交货地点。</w:t>
      </w:r>
    </w:p>
    <w:p w14:paraId="2119C11A">
      <w:pPr>
        <w:spacing w:line="420" w:lineRule="exact"/>
        <w:ind w:firstLine="480" w:firstLineChars="200"/>
        <w:rPr>
          <w:rFonts w:ascii="Calibri" w:hAnsi="Calibri"/>
          <w:sz w:val="24"/>
          <w:szCs w:val="24"/>
        </w:rPr>
      </w:pPr>
      <w:r>
        <w:rPr>
          <w:rFonts w:ascii="Calibri" w:hAnsi="Calibri"/>
          <w:sz w:val="24"/>
          <w:szCs w:val="24"/>
        </w:rPr>
        <w:t>20.2</w:t>
      </w:r>
      <w:r>
        <w:rPr>
          <w:rFonts w:hint="eastAsia" w:ascii="Calibri" w:hAnsi="Calibri"/>
          <w:sz w:val="24"/>
          <w:szCs w:val="24"/>
        </w:rPr>
        <w:t xml:space="preserve">  如果上述变更使卖方履行合同义务的费用和</w:t>
      </w:r>
      <w:r>
        <w:rPr>
          <w:rFonts w:ascii="Calibri" w:hAnsi="Calibri"/>
          <w:sz w:val="24"/>
          <w:szCs w:val="24"/>
        </w:rPr>
        <w:t>(</w:t>
      </w:r>
      <w:r>
        <w:rPr>
          <w:rFonts w:hint="eastAsia" w:ascii="Calibri" w:hAnsi="Calibri"/>
          <w:sz w:val="24"/>
          <w:szCs w:val="24"/>
        </w:rPr>
        <w:t>或</w:t>
      </w:r>
      <w:r>
        <w:rPr>
          <w:rFonts w:ascii="Calibri" w:hAnsi="Calibri"/>
          <w:sz w:val="24"/>
          <w:szCs w:val="24"/>
        </w:rPr>
        <w:t>)</w:t>
      </w:r>
      <w:r>
        <w:rPr>
          <w:rFonts w:hint="eastAsia" w:ascii="Calibri" w:hAnsi="Calibri"/>
          <w:sz w:val="24"/>
          <w:szCs w:val="24"/>
        </w:rPr>
        <w:t>时间发生了增加或减少，则相应的合同价格和</w:t>
      </w:r>
      <w:r>
        <w:rPr>
          <w:rFonts w:ascii="Calibri" w:hAnsi="Calibri"/>
          <w:sz w:val="24"/>
          <w:szCs w:val="24"/>
        </w:rPr>
        <w:t>(</w:t>
      </w:r>
      <w:r>
        <w:rPr>
          <w:rFonts w:hint="eastAsia" w:ascii="Calibri" w:hAnsi="Calibri"/>
          <w:sz w:val="24"/>
          <w:szCs w:val="24"/>
        </w:rPr>
        <w:t>或</w:t>
      </w:r>
      <w:r>
        <w:rPr>
          <w:rFonts w:ascii="Calibri" w:hAnsi="Calibri"/>
          <w:sz w:val="24"/>
          <w:szCs w:val="24"/>
        </w:rPr>
        <w:t>)</w:t>
      </w:r>
      <w:r>
        <w:rPr>
          <w:rFonts w:hint="eastAsia" w:ascii="Calibri" w:hAnsi="Calibri"/>
          <w:sz w:val="24"/>
          <w:szCs w:val="24"/>
        </w:rPr>
        <w:t>交货时间作合理的调整，同时应对合同作相应的修改。卖方根据本条进行调整的要求必须在收到买方的变更指令后的28天内提出。</w:t>
      </w:r>
    </w:p>
    <w:p w14:paraId="3011B81F">
      <w:pPr>
        <w:spacing w:line="420" w:lineRule="exact"/>
        <w:ind w:firstLine="480" w:firstLineChars="200"/>
        <w:rPr>
          <w:rFonts w:ascii="黑体" w:hAnsi="Calibri" w:eastAsia="黑体"/>
          <w:sz w:val="24"/>
          <w:szCs w:val="24"/>
        </w:rPr>
      </w:pPr>
      <w:r>
        <w:rPr>
          <w:rFonts w:ascii="黑体" w:hAnsi="Calibri" w:eastAsia="黑体"/>
          <w:sz w:val="24"/>
          <w:szCs w:val="24"/>
        </w:rPr>
        <w:t>21</w:t>
      </w:r>
      <w:r>
        <w:rPr>
          <w:rFonts w:hint="eastAsia" w:ascii="黑体" w:hAnsi="Calibri" w:eastAsia="黑体"/>
          <w:sz w:val="24"/>
          <w:szCs w:val="24"/>
        </w:rPr>
        <w:t xml:space="preserve">  合同修改</w:t>
      </w:r>
    </w:p>
    <w:p w14:paraId="178E335B">
      <w:pPr>
        <w:spacing w:line="420" w:lineRule="exact"/>
        <w:rPr>
          <w:rFonts w:ascii="Calibri" w:hAnsi="Calibri"/>
          <w:sz w:val="24"/>
          <w:szCs w:val="24"/>
        </w:rPr>
      </w:pPr>
      <w:r>
        <w:rPr>
          <w:rFonts w:hint="eastAsia" w:ascii="Calibri" w:hAnsi="Calibri"/>
          <w:sz w:val="24"/>
          <w:szCs w:val="24"/>
        </w:rPr>
        <w:t xml:space="preserve">    除“合同条款”第20条的规定外，任何对合同条件的变更或修改均须由双方签订书面修改协议。</w:t>
      </w:r>
    </w:p>
    <w:p w14:paraId="5F95BD5A">
      <w:pPr>
        <w:spacing w:line="420" w:lineRule="exact"/>
        <w:ind w:firstLine="480" w:firstLineChars="200"/>
        <w:rPr>
          <w:rFonts w:ascii="黑体" w:hAnsi="Calibri" w:eastAsia="黑体"/>
          <w:sz w:val="24"/>
          <w:szCs w:val="24"/>
        </w:rPr>
      </w:pPr>
      <w:r>
        <w:rPr>
          <w:rFonts w:hint="eastAsia" w:ascii="黑体" w:hAnsi="Calibri" w:eastAsia="黑体"/>
          <w:sz w:val="24"/>
          <w:szCs w:val="24"/>
        </w:rPr>
        <w:t>22  卖方履约期间</w:t>
      </w:r>
    </w:p>
    <w:p w14:paraId="097B1501">
      <w:pPr>
        <w:widowControl/>
        <w:tabs>
          <w:tab w:val="left" w:pos="1260"/>
        </w:tabs>
        <w:spacing w:line="420" w:lineRule="exact"/>
        <w:ind w:firstLine="480" w:firstLineChars="200"/>
        <w:jc w:val="left"/>
        <w:rPr>
          <w:rFonts w:ascii="方正仿宋_GBK" w:hAnsi="方正仿宋_GBK" w:eastAsia="方正仿宋_GBK" w:cs="方正仿宋_GBK"/>
          <w:sz w:val="28"/>
          <w:szCs w:val="28"/>
        </w:rPr>
      </w:pPr>
      <w:r>
        <w:rPr>
          <w:rFonts w:ascii="Calibri" w:hAnsi="Calibri"/>
          <w:sz w:val="24"/>
          <w:szCs w:val="24"/>
        </w:rPr>
        <w:t>22.1</w:t>
      </w:r>
      <w:r>
        <w:rPr>
          <w:rFonts w:hint="eastAsia" w:ascii="Calibri" w:hAnsi="Calibri"/>
          <w:sz w:val="24"/>
          <w:szCs w:val="24"/>
          <w:lang w:val="en-US" w:eastAsia="zh-CN"/>
        </w:rPr>
        <w:t xml:space="preserve">  </w:t>
      </w:r>
      <w:r>
        <w:rPr>
          <w:rFonts w:hint="eastAsia" w:ascii="Calibri" w:hAnsi="Calibri"/>
          <w:sz w:val="24"/>
          <w:szCs w:val="24"/>
        </w:rPr>
        <w:t>在合同签订之日起</w:t>
      </w:r>
      <w:r>
        <w:rPr>
          <w:rFonts w:hint="eastAsia" w:ascii="Calibri" w:hAnsi="Calibri"/>
          <w:sz w:val="24"/>
          <w:szCs w:val="24"/>
          <w:lang w:val="en-US" w:eastAsia="zh-CN"/>
        </w:rPr>
        <w:t>9</w:t>
      </w:r>
      <w:r>
        <w:rPr>
          <w:rFonts w:hint="eastAsia" w:ascii="Calibri" w:hAnsi="Calibri"/>
          <w:sz w:val="24"/>
          <w:szCs w:val="24"/>
        </w:rPr>
        <w:t>0个日历天内，卖方应按买方要求安装调试完毕。除不可抗力的原因外，卖方超过合同规定的履行期限十日内仍不能交付本合同项目货物的，视为不能交货，买方有权选择决定是否继续履行本合同，如买方决定终止本合同的履行，则卖方必须承担不能交货的违约责任。</w:t>
      </w:r>
    </w:p>
    <w:p w14:paraId="43BD04A8">
      <w:pPr>
        <w:spacing w:line="420" w:lineRule="exact"/>
        <w:ind w:firstLine="480" w:firstLineChars="200"/>
        <w:rPr>
          <w:rFonts w:ascii="Calibri" w:hAnsi="Calibri"/>
          <w:sz w:val="24"/>
          <w:szCs w:val="24"/>
        </w:rPr>
      </w:pPr>
      <w:r>
        <w:rPr>
          <w:rFonts w:ascii="Calibri" w:hAnsi="Calibri"/>
          <w:sz w:val="24"/>
          <w:szCs w:val="24"/>
        </w:rPr>
        <w:t>22.2</w:t>
      </w:r>
      <w:r>
        <w:rPr>
          <w:rFonts w:hint="eastAsia" w:ascii="Calibri" w:hAnsi="Calibri"/>
          <w:sz w:val="24"/>
          <w:szCs w:val="24"/>
        </w:rPr>
        <w:t xml:space="preserve">  在履行合同过程中，如果卖方遇到了可能妨碍按时交货或提供服务的情况时，应及时以书面形式将拖延的原因、可能拖延的时间及理由通知买方。买方在收到卖方的通知后，应尽快对所述情况进行评价，并确定是否通过修改合同，酌情延长交货时间或延期提供服务。</w:t>
      </w:r>
    </w:p>
    <w:p w14:paraId="4B74831F">
      <w:pPr>
        <w:spacing w:line="420" w:lineRule="exact"/>
        <w:ind w:firstLine="480" w:firstLineChars="200"/>
        <w:rPr>
          <w:rFonts w:ascii="黑体" w:hAnsi="Calibri" w:eastAsia="黑体"/>
          <w:sz w:val="24"/>
          <w:szCs w:val="24"/>
        </w:rPr>
      </w:pPr>
      <w:r>
        <w:rPr>
          <w:rFonts w:hint="eastAsia" w:ascii="黑体" w:hAnsi="Calibri" w:eastAsia="黑体"/>
          <w:sz w:val="24"/>
          <w:szCs w:val="24"/>
        </w:rPr>
        <w:t>23  误期赔偿</w:t>
      </w:r>
    </w:p>
    <w:p w14:paraId="6F8D90BC">
      <w:pPr>
        <w:spacing w:line="420" w:lineRule="exact"/>
        <w:ind w:firstLine="480"/>
        <w:rPr>
          <w:rFonts w:ascii="Calibri" w:hAnsi="Calibri"/>
          <w:sz w:val="24"/>
          <w:szCs w:val="24"/>
        </w:rPr>
      </w:pPr>
      <w:r>
        <w:rPr>
          <w:rFonts w:hint="eastAsia" w:ascii="Calibri" w:hAnsi="Calibri"/>
          <w:sz w:val="24"/>
          <w:szCs w:val="24"/>
        </w:rPr>
        <w:t>除“合同条款”第24条规定外，如果卖方没有按照合同规定的期限交货或提供服务，买方将从合同价款中扣除误期赔偿费，且不会因此而影响在合同项下要求卖方采取其他补救措施。并处每延误一天交付买方使用的，按合同价格1%罚款，直至交付买方使用为止；每延误一天提供质量保证（修）服务的，按合同价格的1%罚款，直至完成保证（修）服务至买方满意为止。买方也可考虑根据“合同条款”第28条的规定终止合同。</w:t>
      </w:r>
    </w:p>
    <w:p w14:paraId="47487B00">
      <w:pPr>
        <w:spacing w:line="420" w:lineRule="exact"/>
        <w:ind w:firstLine="480" w:firstLineChars="200"/>
        <w:rPr>
          <w:rFonts w:ascii="黑体" w:hAnsi="Calibri" w:eastAsia="黑体"/>
          <w:sz w:val="24"/>
          <w:szCs w:val="24"/>
        </w:rPr>
      </w:pPr>
      <w:r>
        <w:rPr>
          <w:rFonts w:hint="eastAsia" w:ascii="黑体" w:hAnsi="Calibri" w:eastAsia="黑体"/>
          <w:sz w:val="24"/>
          <w:szCs w:val="24"/>
        </w:rPr>
        <w:t>24  不可抗力</w:t>
      </w:r>
    </w:p>
    <w:p w14:paraId="0127B74F">
      <w:pPr>
        <w:spacing w:line="420" w:lineRule="exact"/>
        <w:ind w:firstLine="480" w:firstLineChars="200"/>
        <w:rPr>
          <w:rFonts w:ascii="Calibri" w:hAnsi="Calibri"/>
          <w:sz w:val="24"/>
          <w:szCs w:val="24"/>
        </w:rPr>
      </w:pPr>
      <w:r>
        <w:rPr>
          <w:rFonts w:ascii="Calibri" w:hAnsi="Calibri"/>
          <w:sz w:val="24"/>
          <w:szCs w:val="24"/>
        </w:rPr>
        <w:t xml:space="preserve">24.1 </w:t>
      </w:r>
      <w:r>
        <w:rPr>
          <w:rFonts w:hint="eastAsia" w:ascii="Calibri" w:hAnsi="Calibri"/>
          <w:sz w:val="24"/>
          <w:szCs w:val="24"/>
        </w:rPr>
        <w:t xml:space="preserve"> 如果因不可抗力而导致合同实施延误或不能履行合同义务的话，受不可抗力影响的一方不应承担违约责任</w:t>
      </w:r>
      <w:r>
        <w:rPr>
          <w:rFonts w:ascii="Calibri" w:hAnsi="Calibri"/>
          <w:sz w:val="24"/>
          <w:szCs w:val="24"/>
        </w:rPr>
        <w:t>(</w:t>
      </w:r>
      <w:r>
        <w:rPr>
          <w:rFonts w:hint="eastAsia" w:ascii="Calibri" w:hAnsi="Calibri"/>
          <w:sz w:val="24"/>
          <w:szCs w:val="24"/>
        </w:rPr>
        <w:t>包括误期赔偿责任、被没收履约保证金或被终止合同等</w:t>
      </w:r>
      <w:r>
        <w:rPr>
          <w:rFonts w:ascii="Calibri" w:hAnsi="Calibri"/>
          <w:sz w:val="24"/>
          <w:szCs w:val="24"/>
        </w:rPr>
        <w:t>)</w:t>
      </w:r>
      <w:r>
        <w:rPr>
          <w:rFonts w:hint="eastAsia" w:ascii="Calibri" w:hAnsi="Calibri"/>
          <w:sz w:val="24"/>
          <w:szCs w:val="24"/>
        </w:rPr>
        <w:t>。</w:t>
      </w:r>
    </w:p>
    <w:p w14:paraId="1314C7A1">
      <w:pPr>
        <w:spacing w:line="420" w:lineRule="exact"/>
        <w:ind w:firstLine="480" w:firstLineChars="200"/>
        <w:rPr>
          <w:rFonts w:ascii="Calibri" w:hAnsi="Calibri"/>
          <w:sz w:val="24"/>
          <w:szCs w:val="24"/>
        </w:rPr>
      </w:pPr>
      <w:r>
        <w:rPr>
          <w:rFonts w:ascii="Calibri" w:hAnsi="Calibri"/>
          <w:sz w:val="24"/>
          <w:szCs w:val="24"/>
        </w:rPr>
        <w:t>24.2</w:t>
      </w:r>
      <w:r>
        <w:rPr>
          <w:rFonts w:hint="eastAsia" w:ascii="Calibri" w:hAnsi="Calibri"/>
          <w:sz w:val="24"/>
          <w:szCs w:val="24"/>
        </w:rPr>
        <w:t xml:space="preserve">  本条所述的“不可抗力”系指那些不能预见、不能避免并不能克服的客观情况，但不包括违约或疏忽。这些情况包括但不限于：战争、严重火灾、洪水、8级以上台风、5级以上地震以及政府相关部门发布的认为是不可抗力的事件。</w:t>
      </w:r>
    </w:p>
    <w:p w14:paraId="08072D65">
      <w:pPr>
        <w:spacing w:line="420" w:lineRule="exact"/>
        <w:ind w:firstLine="480" w:firstLineChars="200"/>
        <w:rPr>
          <w:rFonts w:ascii="Calibri" w:hAnsi="Calibri"/>
          <w:sz w:val="24"/>
          <w:szCs w:val="24"/>
        </w:rPr>
      </w:pPr>
      <w:r>
        <w:rPr>
          <w:rFonts w:ascii="Calibri" w:hAnsi="Calibri"/>
          <w:sz w:val="24"/>
          <w:szCs w:val="24"/>
        </w:rPr>
        <w:t>24.3</w:t>
      </w:r>
      <w:r>
        <w:rPr>
          <w:rFonts w:hint="eastAsia" w:ascii="Calibri" w:hAnsi="Calibri"/>
          <w:sz w:val="24"/>
          <w:szCs w:val="24"/>
        </w:rPr>
        <w:t xml:space="preserve">  在不可抗力事件发生后，受不可抗力影响的一方应尽快以书面形式将不可抗力的情况和原因通知对方。除对方书面另行要求外，受不可抗力影响的一方应尽实际可能继续履行合同义务，并积极寻求采取合理的方案履行未受到不可抗力影响的其他合同事项。</w:t>
      </w:r>
    </w:p>
    <w:p w14:paraId="361EF964">
      <w:pPr>
        <w:spacing w:line="420" w:lineRule="exact"/>
        <w:ind w:firstLine="480" w:firstLineChars="200"/>
        <w:rPr>
          <w:rFonts w:ascii="黑体" w:hAnsi="Calibri" w:eastAsia="黑体"/>
          <w:sz w:val="24"/>
          <w:szCs w:val="24"/>
        </w:rPr>
      </w:pPr>
      <w:r>
        <w:rPr>
          <w:rFonts w:hint="eastAsia" w:ascii="黑体" w:hAnsi="Calibri" w:eastAsia="黑体"/>
          <w:sz w:val="24"/>
          <w:szCs w:val="24"/>
        </w:rPr>
        <w:t>25  税费</w:t>
      </w:r>
    </w:p>
    <w:p w14:paraId="0C4EE8C8">
      <w:pPr>
        <w:spacing w:line="420" w:lineRule="exact"/>
        <w:ind w:firstLine="480" w:firstLineChars="200"/>
        <w:rPr>
          <w:rFonts w:ascii="Calibri" w:hAnsi="Calibri"/>
          <w:sz w:val="24"/>
          <w:szCs w:val="24"/>
        </w:rPr>
      </w:pPr>
      <w:r>
        <w:rPr>
          <w:rFonts w:ascii="Calibri" w:hAnsi="Calibri"/>
          <w:sz w:val="24"/>
          <w:szCs w:val="24"/>
        </w:rPr>
        <w:t>25.1</w:t>
      </w:r>
      <w:r>
        <w:rPr>
          <w:rFonts w:hint="eastAsia" w:ascii="Calibri" w:hAnsi="Calibri"/>
          <w:sz w:val="24"/>
          <w:szCs w:val="24"/>
        </w:rPr>
        <w:t xml:space="preserve">  根据现行税法规定对买方征收的与本合同有关的一切税费均应由买方负担。</w:t>
      </w:r>
    </w:p>
    <w:p w14:paraId="126D8A7C">
      <w:pPr>
        <w:spacing w:line="420" w:lineRule="exact"/>
        <w:ind w:firstLine="480" w:firstLineChars="200"/>
        <w:rPr>
          <w:rFonts w:ascii="Calibri" w:hAnsi="Calibri"/>
          <w:sz w:val="24"/>
          <w:szCs w:val="24"/>
        </w:rPr>
      </w:pPr>
      <w:r>
        <w:rPr>
          <w:rFonts w:ascii="Calibri" w:hAnsi="Calibri"/>
          <w:sz w:val="24"/>
          <w:szCs w:val="24"/>
        </w:rPr>
        <w:t>25.2</w:t>
      </w:r>
      <w:r>
        <w:rPr>
          <w:rFonts w:hint="eastAsia" w:ascii="Calibri" w:hAnsi="Calibri"/>
          <w:sz w:val="24"/>
          <w:szCs w:val="24"/>
        </w:rPr>
        <w:t xml:space="preserve">  根据现行税法规定对卖方征收的与本合同有关的一切税费均应由卖方负担。</w:t>
      </w:r>
    </w:p>
    <w:p w14:paraId="0223E4AF">
      <w:pPr>
        <w:spacing w:line="420" w:lineRule="exact"/>
        <w:ind w:firstLine="480" w:firstLineChars="200"/>
        <w:rPr>
          <w:rFonts w:ascii="黑体" w:hAnsi="Calibri" w:eastAsia="黑体"/>
          <w:sz w:val="24"/>
          <w:szCs w:val="24"/>
        </w:rPr>
      </w:pPr>
      <w:r>
        <w:rPr>
          <w:rFonts w:hint="eastAsia" w:ascii="黑体" w:hAnsi="Calibri" w:eastAsia="黑体"/>
          <w:sz w:val="24"/>
          <w:szCs w:val="24"/>
        </w:rPr>
        <w:t>26 履约保证金</w:t>
      </w:r>
    </w:p>
    <w:p w14:paraId="6985B16B">
      <w:pPr>
        <w:spacing w:line="420" w:lineRule="exact"/>
        <w:ind w:firstLine="480" w:firstLineChars="200"/>
        <w:rPr>
          <w:rFonts w:ascii="黑体" w:hAnsi="Calibri" w:eastAsia="黑体"/>
          <w:sz w:val="24"/>
          <w:szCs w:val="24"/>
        </w:rPr>
      </w:pPr>
      <w:r>
        <w:rPr>
          <w:rFonts w:hint="eastAsia" w:ascii="Calibri" w:hAnsi="Calibri"/>
          <w:sz w:val="24"/>
          <w:szCs w:val="24"/>
        </w:rPr>
        <w:t>合同签订合同前，卖方缴纳合同价10%的履约保证金至买方账户。按“合同条款前附表”第5项中所规定的付款计划</w:t>
      </w:r>
      <w:r>
        <w:rPr>
          <w:rFonts w:hint="eastAsia" w:ascii="Calibri" w:hAnsi="Calibri"/>
          <w:sz w:val="24"/>
          <w:szCs w:val="24"/>
          <w:lang w:val="en-US" w:eastAsia="zh-CN"/>
        </w:rPr>
        <w:t>执行</w:t>
      </w:r>
      <w:r>
        <w:rPr>
          <w:rFonts w:hint="eastAsia" w:ascii="Calibri" w:hAnsi="Calibri"/>
          <w:sz w:val="24"/>
          <w:szCs w:val="24"/>
        </w:rPr>
        <w:t>。</w:t>
      </w:r>
    </w:p>
    <w:p w14:paraId="6AEBB923">
      <w:pPr>
        <w:spacing w:line="420" w:lineRule="exact"/>
        <w:ind w:firstLine="480" w:firstLineChars="200"/>
        <w:rPr>
          <w:rFonts w:ascii="黑体" w:hAnsi="Calibri" w:eastAsia="黑体"/>
          <w:sz w:val="24"/>
          <w:szCs w:val="24"/>
        </w:rPr>
      </w:pPr>
      <w:r>
        <w:rPr>
          <w:rFonts w:hint="eastAsia" w:ascii="黑体" w:hAnsi="Calibri" w:eastAsia="黑体"/>
          <w:sz w:val="24"/>
          <w:szCs w:val="24"/>
        </w:rPr>
        <w:t>27  合同争议的解决方式</w:t>
      </w:r>
    </w:p>
    <w:p w14:paraId="7C386E2C">
      <w:pPr>
        <w:spacing w:line="420" w:lineRule="exact"/>
        <w:ind w:firstLine="480" w:firstLineChars="200"/>
        <w:rPr>
          <w:rFonts w:ascii="Calibri" w:hAnsi="Calibri"/>
          <w:sz w:val="24"/>
          <w:szCs w:val="24"/>
        </w:rPr>
      </w:pPr>
      <w:r>
        <w:rPr>
          <w:rFonts w:hint="eastAsia" w:ascii="Calibri" w:hAnsi="Calibri"/>
          <w:sz w:val="24"/>
          <w:szCs w:val="24"/>
        </w:rPr>
        <w:t>合同在履行过程中如果发生争议，先由双方协商解决，协商不成时，任何一方均可向本工程所在地即买方所在地</w:t>
      </w:r>
      <w:r>
        <w:rPr>
          <w:rFonts w:hint="eastAsia" w:ascii="Calibri" w:hAnsi="Calibri"/>
          <w:sz w:val="24"/>
          <w:szCs w:val="24"/>
          <w:lang w:val="en-US" w:eastAsia="zh-CN"/>
        </w:rPr>
        <w:t>南通市通州区</w:t>
      </w:r>
      <w:r>
        <w:rPr>
          <w:rFonts w:hint="eastAsia" w:ascii="Calibri" w:hAnsi="Calibri"/>
          <w:sz w:val="24"/>
          <w:szCs w:val="24"/>
        </w:rPr>
        <w:t>人民法院起诉。</w:t>
      </w:r>
    </w:p>
    <w:p w14:paraId="2C58FE06">
      <w:pPr>
        <w:spacing w:line="420" w:lineRule="exact"/>
        <w:ind w:firstLine="480" w:firstLineChars="200"/>
        <w:rPr>
          <w:rFonts w:ascii="黑体" w:hAnsi="Calibri" w:eastAsia="黑体"/>
          <w:sz w:val="24"/>
          <w:szCs w:val="24"/>
        </w:rPr>
      </w:pPr>
      <w:r>
        <w:rPr>
          <w:rFonts w:hint="eastAsia" w:ascii="黑体" w:hAnsi="Calibri" w:eastAsia="黑体"/>
          <w:sz w:val="24"/>
          <w:szCs w:val="24"/>
        </w:rPr>
        <w:t>28 违约终止合同</w:t>
      </w:r>
    </w:p>
    <w:p w14:paraId="7A628624">
      <w:pPr>
        <w:spacing w:line="420" w:lineRule="exact"/>
        <w:ind w:firstLine="480" w:firstLineChars="200"/>
        <w:rPr>
          <w:rFonts w:ascii="Calibri" w:hAnsi="Calibri"/>
          <w:sz w:val="24"/>
          <w:szCs w:val="24"/>
        </w:rPr>
      </w:pPr>
      <w:r>
        <w:rPr>
          <w:rFonts w:ascii="Calibri" w:hAnsi="Calibri"/>
          <w:sz w:val="24"/>
          <w:szCs w:val="24"/>
        </w:rPr>
        <w:t>28.1</w:t>
      </w:r>
      <w:r>
        <w:rPr>
          <w:rFonts w:hint="eastAsia" w:ascii="Calibri" w:hAnsi="Calibri"/>
          <w:sz w:val="24"/>
          <w:szCs w:val="24"/>
        </w:rPr>
        <w:t xml:space="preserve">  在买方对卖方违约而采取的任何补救措施不受影响的情况下，买方可在下列情况下向卖方发出书面通知书，提出终止部分或全部合同；</w:t>
      </w:r>
    </w:p>
    <w:p w14:paraId="43A39877">
      <w:pPr>
        <w:spacing w:line="420" w:lineRule="exact"/>
        <w:ind w:firstLine="480" w:firstLineChars="200"/>
        <w:rPr>
          <w:rFonts w:ascii="Calibri" w:hAnsi="Calibri"/>
          <w:sz w:val="24"/>
          <w:szCs w:val="24"/>
        </w:rPr>
      </w:pPr>
      <w:r>
        <w:rPr>
          <w:rFonts w:ascii="Calibri" w:hAnsi="Calibri"/>
          <w:sz w:val="24"/>
          <w:szCs w:val="24"/>
        </w:rPr>
        <w:t>28.1.1</w:t>
      </w:r>
      <w:r>
        <w:rPr>
          <w:rFonts w:hint="eastAsia" w:ascii="Calibri" w:hAnsi="Calibri"/>
          <w:sz w:val="24"/>
          <w:szCs w:val="24"/>
        </w:rPr>
        <w:t xml:space="preserve">  卖方未能在合同规定的限期或买方同意延长的限期内提供部分或全部货物；</w:t>
      </w:r>
    </w:p>
    <w:p w14:paraId="681D669F">
      <w:pPr>
        <w:spacing w:line="420" w:lineRule="exact"/>
        <w:ind w:firstLine="480" w:firstLineChars="200"/>
        <w:rPr>
          <w:rFonts w:ascii="Calibri" w:hAnsi="Calibri"/>
          <w:sz w:val="24"/>
          <w:szCs w:val="24"/>
        </w:rPr>
      </w:pPr>
      <w:r>
        <w:rPr>
          <w:rFonts w:ascii="Calibri" w:hAnsi="Calibri"/>
          <w:sz w:val="24"/>
          <w:szCs w:val="24"/>
        </w:rPr>
        <w:t>28.1.2</w:t>
      </w:r>
      <w:r>
        <w:rPr>
          <w:rFonts w:hint="eastAsia" w:ascii="Calibri" w:hAnsi="Calibri"/>
          <w:sz w:val="24"/>
          <w:szCs w:val="24"/>
        </w:rPr>
        <w:t xml:space="preserve">  卖方未能履行合同规定的其他任何义务。</w:t>
      </w:r>
    </w:p>
    <w:p w14:paraId="4CF0C23F">
      <w:pPr>
        <w:spacing w:line="420" w:lineRule="exact"/>
        <w:ind w:firstLine="480" w:firstLineChars="200"/>
        <w:rPr>
          <w:rFonts w:ascii="Calibri" w:hAnsi="Calibri"/>
          <w:sz w:val="24"/>
          <w:szCs w:val="24"/>
        </w:rPr>
      </w:pPr>
      <w:r>
        <w:rPr>
          <w:rFonts w:ascii="Calibri" w:hAnsi="Calibri"/>
          <w:sz w:val="24"/>
          <w:szCs w:val="24"/>
        </w:rPr>
        <w:t>28.2</w:t>
      </w:r>
      <w:r>
        <w:rPr>
          <w:rFonts w:hint="eastAsia" w:ascii="Calibri" w:hAnsi="Calibri"/>
          <w:sz w:val="24"/>
          <w:szCs w:val="24"/>
        </w:rPr>
        <w:t xml:space="preserve">  如果买方根据上述第</w:t>
      </w:r>
      <w:r>
        <w:rPr>
          <w:rFonts w:ascii="Calibri" w:hAnsi="Calibri"/>
          <w:sz w:val="24"/>
          <w:szCs w:val="24"/>
        </w:rPr>
        <w:t xml:space="preserve">28.1 </w:t>
      </w:r>
      <w:r>
        <w:rPr>
          <w:rFonts w:hint="eastAsia" w:ascii="Calibri" w:hAnsi="Calibri"/>
          <w:sz w:val="24"/>
          <w:szCs w:val="24"/>
        </w:rPr>
        <w:t>条的规定，终止了部分或全部合同，买方可以依其认为适当的条件和方法购买与未交货物相类似的货物，卖方应对购买类似货物所超出的那部分费用负责。同时，卖方仍应继续执行合同中未终止的部分。</w:t>
      </w:r>
    </w:p>
    <w:p w14:paraId="42CF86ED">
      <w:pPr>
        <w:spacing w:line="420" w:lineRule="exact"/>
        <w:ind w:firstLine="480" w:firstLineChars="200"/>
        <w:rPr>
          <w:rFonts w:ascii="黑体" w:hAnsi="Calibri" w:eastAsia="黑体"/>
          <w:sz w:val="24"/>
          <w:szCs w:val="24"/>
        </w:rPr>
      </w:pPr>
      <w:r>
        <w:rPr>
          <w:rFonts w:hint="eastAsia" w:ascii="黑体" w:hAnsi="Calibri" w:eastAsia="黑体"/>
          <w:sz w:val="24"/>
          <w:szCs w:val="24"/>
        </w:rPr>
        <w:t>29  破产终止合同</w:t>
      </w:r>
    </w:p>
    <w:p w14:paraId="201ED0CD">
      <w:pPr>
        <w:spacing w:line="420" w:lineRule="exact"/>
        <w:ind w:firstLine="480" w:firstLineChars="200"/>
        <w:rPr>
          <w:rFonts w:ascii="Calibri" w:hAnsi="Calibri"/>
          <w:sz w:val="24"/>
          <w:szCs w:val="24"/>
        </w:rPr>
      </w:pPr>
      <w:r>
        <w:rPr>
          <w:rFonts w:hint="eastAsia" w:ascii="Calibri" w:hAnsi="Calibri"/>
          <w:sz w:val="24"/>
          <w:szCs w:val="24"/>
        </w:rPr>
        <w:t>如果卖方破产或丧失清偿能力，买方可在任何时候以书面形式通知卖方终止合同而不给卖方补偿。该终止合同的行为将不损害或影响买方在本合同项下已经或将要采取的任何其他行动或补救措施的权力。</w:t>
      </w:r>
    </w:p>
    <w:p w14:paraId="40DB824B">
      <w:pPr>
        <w:spacing w:line="420" w:lineRule="exact"/>
        <w:ind w:firstLine="480" w:firstLineChars="200"/>
        <w:rPr>
          <w:rFonts w:ascii="黑体" w:hAnsi="Calibri" w:eastAsia="黑体"/>
          <w:sz w:val="24"/>
          <w:szCs w:val="24"/>
        </w:rPr>
      </w:pPr>
      <w:r>
        <w:rPr>
          <w:rFonts w:hint="eastAsia" w:ascii="黑体" w:hAnsi="Calibri" w:eastAsia="黑体"/>
          <w:sz w:val="24"/>
          <w:szCs w:val="24"/>
        </w:rPr>
        <w:t>30  便利终止合同</w:t>
      </w:r>
    </w:p>
    <w:p w14:paraId="4FE3D140">
      <w:pPr>
        <w:spacing w:line="420" w:lineRule="exact"/>
        <w:ind w:firstLine="480" w:firstLineChars="200"/>
        <w:rPr>
          <w:rFonts w:ascii="Calibri" w:hAnsi="Calibri"/>
          <w:sz w:val="24"/>
          <w:szCs w:val="24"/>
        </w:rPr>
      </w:pPr>
      <w:r>
        <w:rPr>
          <w:rFonts w:ascii="Calibri" w:hAnsi="Calibri"/>
          <w:sz w:val="24"/>
          <w:szCs w:val="24"/>
        </w:rPr>
        <w:t>30.1</w:t>
      </w:r>
      <w:r>
        <w:rPr>
          <w:rFonts w:hint="eastAsia" w:ascii="Calibri" w:hAnsi="Calibri"/>
          <w:sz w:val="24"/>
          <w:szCs w:val="24"/>
        </w:rPr>
        <w:t xml:space="preserve">  买方可在任何时候出于自身的便利向卖方发出部分或全部终止合同的书面通知，该书面通知应明确终止合同是出于买方的便利，终止合同的书面通知到达卖方时生效。</w:t>
      </w:r>
    </w:p>
    <w:p w14:paraId="5B7D0431">
      <w:pPr>
        <w:spacing w:line="420" w:lineRule="exact"/>
        <w:ind w:firstLine="480" w:firstLineChars="200"/>
        <w:rPr>
          <w:rFonts w:ascii="Calibri" w:hAnsi="Calibri"/>
          <w:sz w:val="24"/>
          <w:szCs w:val="24"/>
        </w:rPr>
      </w:pPr>
      <w:r>
        <w:rPr>
          <w:rFonts w:ascii="Calibri" w:hAnsi="Calibri"/>
          <w:sz w:val="24"/>
          <w:szCs w:val="24"/>
        </w:rPr>
        <w:t>30.2</w:t>
      </w:r>
      <w:r>
        <w:rPr>
          <w:rFonts w:hint="eastAsia" w:ascii="Calibri" w:hAnsi="Calibri"/>
          <w:sz w:val="24"/>
          <w:szCs w:val="24"/>
        </w:rPr>
        <w:t xml:space="preserve">  对卖方在收到终止合同通知后28天内可完成并准备装运的货物，买方应按原合同价格的条款予以接收。对于剩下的货物，买方可按下列方法处置：</w:t>
      </w:r>
    </w:p>
    <w:p w14:paraId="452E068E">
      <w:pPr>
        <w:spacing w:line="420" w:lineRule="exact"/>
        <w:ind w:firstLine="480" w:firstLineChars="200"/>
        <w:rPr>
          <w:rFonts w:ascii="Calibri" w:hAnsi="Calibri"/>
          <w:sz w:val="24"/>
          <w:szCs w:val="24"/>
        </w:rPr>
      </w:pPr>
      <w:r>
        <w:rPr>
          <w:rFonts w:ascii="Calibri" w:hAnsi="Calibri"/>
          <w:sz w:val="24"/>
          <w:szCs w:val="24"/>
        </w:rPr>
        <w:t>30.2.1</w:t>
      </w:r>
      <w:r>
        <w:rPr>
          <w:rFonts w:hint="eastAsia" w:ascii="Calibri" w:hAnsi="Calibri"/>
          <w:sz w:val="24"/>
          <w:szCs w:val="24"/>
        </w:rPr>
        <w:t xml:space="preserve">  让任一部分按照原来的合同价格和条款完成装运和交货；</w:t>
      </w:r>
    </w:p>
    <w:p w14:paraId="29EA6DFA">
      <w:pPr>
        <w:spacing w:line="420" w:lineRule="exact"/>
        <w:ind w:firstLine="480" w:firstLineChars="200"/>
        <w:rPr>
          <w:rFonts w:ascii="Calibri" w:hAnsi="Calibri"/>
          <w:sz w:val="24"/>
          <w:szCs w:val="24"/>
        </w:rPr>
      </w:pPr>
      <w:r>
        <w:rPr>
          <w:rFonts w:ascii="Calibri" w:hAnsi="Calibri"/>
          <w:sz w:val="24"/>
          <w:szCs w:val="24"/>
        </w:rPr>
        <w:t>30.2.2</w:t>
      </w:r>
      <w:r>
        <w:rPr>
          <w:rFonts w:hint="eastAsia" w:ascii="Calibri" w:hAnsi="Calibri"/>
          <w:sz w:val="24"/>
          <w:szCs w:val="24"/>
        </w:rPr>
        <w:t xml:space="preserve">  取消该剩下货物的装运和交货，并按双方商定的金额向卖方支付部分已完成货物的制造和服务费用以及卖方此前为制造所订货物而已采购的材料和部件的费用。</w:t>
      </w:r>
    </w:p>
    <w:p w14:paraId="77704CF7">
      <w:pPr>
        <w:spacing w:line="420" w:lineRule="exact"/>
        <w:ind w:firstLine="480" w:firstLineChars="200"/>
        <w:rPr>
          <w:rFonts w:ascii="黑体" w:hAnsi="Calibri" w:eastAsia="黑体"/>
          <w:sz w:val="24"/>
          <w:szCs w:val="24"/>
        </w:rPr>
      </w:pPr>
      <w:r>
        <w:rPr>
          <w:rFonts w:hint="eastAsia" w:ascii="黑体" w:hAnsi="Calibri" w:eastAsia="黑体"/>
          <w:sz w:val="24"/>
          <w:szCs w:val="24"/>
        </w:rPr>
        <w:t>31  转让和分包</w:t>
      </w:r>
    </w:p>
    <w:p w14:paraId="0DDBC6EA">
      <w:pPr>
        <w:spacing w:line="420" w:lineRule="exact"/>
        <w:ind w:firstLine="480" w:firstLineChars="200"/>
        <w:rPr>
          <w:rFonts w:ascii="Calibri" w:hAnsi="Calibri"/>
          <w:sz w:val="24"/>
          <w:szCs w:val="24"/>
        </w:rPr>
      </w:pPr>
      <w:r>
        <w:rPr>
          <w:rFonts w:ascii="Calibri" w:hAnsi="Calibri"/>
          <w:sz w:val="24"/>
          <w:szCs w:val="24"/>
        </w:rPr>
        <w:t>31.1</w:t>
      </w:r>
      <w:r>
        <w:rPr>
          <w:rFonts w:hint="eastAsia" w:ascii="Calibri" w:hAnsi="Calibri"/>
          <w:sz w:val="24"/>
          <w:szCs w:val="24"/>
        </w:rPr>
        <w:t xml:space="preserve">  除买方事先书面同意外，卖方不得部分或全部转让其应履行的合同义务。</w:t>
      </w:r>
    </w:p>
    <w:p w14:paraId="2A006315">
      <w:pPr>
        <w:spacing w:line="420" w:lineRule="exact"/>
        <w:ind w:firstLine="480" w:firstLineChars="200"/>
        <w:rPr>
          <w:rFonts w:ascii="Calibri" w:hAnsi="Calibri"/>
          <w:sz w:val="24"/>
          <w:szCs w:val="24"/>
        </w:rPr>
      </w:pPr>
      <w:r>
        <w:rPr>
          <w:rFonts w:ascii="Calibri" w:hAnsi="Calibri"/>
          <w:sz w:val="24"/>
          <w:szCs w:val="24"/>
        </w:rPr>
        <w:t xml:space="preserve">31.2 </w:t>
      </w:r>
      <w:r>
        <w:rPr>
          <w:rFonts w:hint="eastAsia" w:ascii="Calibri" w:hAnsi="Calibri"/>
          <w:sz w:val="24"/>
          <w:szCs w:val="24"/>
        </w:rPr>
        <w:t xml:space="preserve"> 如投标文件中没有明确分包合同，在本合同签约前，卖方应书面通知买方其在本合同中所分包的全部分包合同，无论是原投标文件中的还是后续通知的分包合同均不能解除卖方履行本合同的责任和义务。</w:t>
      </w:r>
    </w:p>
    <w:p w14:paraId="761876A9">
      <w:pPr>
        <w:spacing w:line="420" w:lineRule="exact"/>
        <w:ind w:firstLine="480" w:firstLineChars="200"/>
        <w:rPr>
          <w:rFonts w:ascii="黑体" w:hAnsi="Calibri" w:eastAsia="黑体"/>
          <w:sz w:val="24"/>
          <w:szCs w:val="24"/>
        </w:rPr>
      </w:pPr>
      <w:r>
        <w:rPr>
          <w:rFonts w:hint="eastAsia" w:ascii="黑体" w:hAnsi="Calibri" w:eastAsia="黑体"/>
          <w:sz w:val="24"/>
          <w:szCs w:val="24"/>
        </w:rPr>
        <w:t>32  合同文件和资料的使用</w:t>
      </w:r>
    </w:p>
    <w:p w14:paraId="09A7CA6A">
      <w:pPr>
        <w:spacing w:line="420" w:lineRule="exact"/>
        <w:ind w:firstLine="480" w:firstLineChars="200"/>
        <w:rPr>
          <w:rFonts w:ascii="Calibri" w:hAnsi="Calibri"/>
          <w:sz w:val="24"/>
          <w:szCs w:val="24"/>
        </w:rPr>
      </w:pPr>
      <w:r>
        <w:rPr>
          <w:rFonts w:ascii="Calibri" w:hAnsi="Calibri"/>
          <w:sz w:val="24"/>
          <w:szCs w:val="24"/>
        </w:rPr>
        <w:t xml:space="preserve">32.1 </w:t>
      </w:r>
      <w:r>
        <w:rPr>
          <w:rFonts w:hint="eastAsia" w:ascii="Calibri" w:hAnsi="Calibri"/>
          <w:sz w:val="24"/>
          <w:szCs w:val="24"/>
        </w:rPr>
        <w:t xml:space="preserve"> 未经买方事先书面同意，卖方不得将由买方提供的有关合同、合同条文、规格、计划、图样、模型、样品或资料提供给与履行本合同无关的任何其他人。即使向本合同的雇员提供，也应注意保密并限于履行本合同所必需的范围。</w:t>
      </w:r>
    </w:p>
    <w:p w14:paraId="291A3ECE">
      <w:pPr>
        <w:spacing w:line="420" w:lineRule="exact"/>
        <w:ind w:firstLine="480" w:firstLineChars="200"/>
        <w:rPr>
          <w:rFonts w:ascii="Calibri" w:hAnsi="Calibri"/>
          <w:sz w:val="24"/>
          <w:szCs w:val="24"/>
        </w:rPr>
      </w:pPr>
      <w:r>
        <w:rPr>
          <w:rFonts w:ascii="Calibri" w:hAnsi="Calibri"/>
          <w:sz w:val="24"/>
          <w:szCs w:val="24"/>
        </w:rPr>
        <w:t>32.2</w:t>
      </w:r>
      <w:r>
        <w:rPr>
          <w:rFonts w:hint="eastAsia" w:ascii="Calibri" w:hAnsi="Calibri"/>
          <w:sz w:val="24"/>
          <w:szCs w:val="24"/>
        </w:rPr>
        <w:t xml:space="preserve">  未经买方事先书面同意，除履行本合同之外，卖方不应使用“合同条款”第</w:t>
      </w:r>
      <w:r>
        <w:rPr>
          <w:rFonts w:ascii="Calibri" w:hAnsi="Calibri"/>
          <w:sz w:val="24"/>
          <w:szCs w:val="24"/>
        </w:rPr>
        <w:t>32.1</w:t>
      </w:r>
      <w:r>
        <w:rPr>
          <w:rFonts w:hint="eastAsia" w:ascii="Calibri" w:hAnsi="Calibri"/>
          <w:sz w:val="24"/>
          <w:szCs w:val="24"/>
        </w:rPr>
        <w:t>条所列举的任何文件和资料。</w:t>
      </w:r>
    </w:p>
    <w:p w14:paraId="6ADDDA85">
      <w:pPr>
        <w:spacing w:line="420" w:lineRule="exact"/>
        <w:ind w:firstLine="480" w:firstLineChars="200"/>
        <w:rPr>
          <w:rFonts w:ascii="Calibri" w:hAnsi="Calibri"/>
          <w:sz w:val="24"/>
          <w:szCs w:val="24"/>
        </w:rPr>
      </w:pPr>
      <w:r>
        <w:rPr>
          <w:rFonts w:ascii="Calibri" w:hAnsi="Calibri"/>
          <w:sz w:val="24"/>
          <w:szCs w:val="24"/>
        </w:rPr>
        <w:t>32.3</w:t>
      </w:r>
      <w:r>
        <w:rPr>
          <w:rFonts w:hint="eastAsia" w:ascii="Calibri" w:hAnsi="Calibri"/>
          <w:sz w:val="24"/>
          <w:szCs w:val="24"/>
        </w:rPr>
        <w:t xml:space="preserve">  除合同本身外，“合同条款”第</w:t>
      </w:r>
      <w:r>
        <w:rPr>
          <w:rFonts w:ascii="Calibri" w:hAnsi="Calibri"/>
          <w:sz w:val="24"/>
          <w:szCs w:val="24"/>
        </w:rPr>
        <w:t>32.1</w:t>
      </w:r>
      <w:r>
        <w:rPr>
          <w:rFonts w:hint="eastAsia" w:ascii="Calibri" w:hAnsi="Calibri"/>
          <w:sz w:val="24"/>
          <w:szCs w:val="24"/>
        </w:rPr>
        <w:t>条所列举的任何文件和资料是买方的财产。如果买方有要求，卖方应在完成合同后将这些文件和资料</w:t>
      </w:r>
      <w:r>
        <w:rPr>
          <w:rFonts w:ascii="Calibri" w:hAnsi="Calibri"/>
          <w:sz w:val="24"/>
          <w:szCs w:val="24"/>
        </w:rPr>
        <w:t>(</w:t>
      </w:r>
      <w:r>
        <w:rPr>
          <w:rFonts w:hint="eastAsia" w:ascii="Calibri" w:hAnsi="Calibri"/>
          <w:sz w:val="24"/>
          <w:szCs w:val="24"/>
        </w:rPr>
        <w:t>包括全部副本</w:t>
      </w:r>
      <w:r>
        <w:rPr>
          <w:rFonts w:ascii="Calibri" w:hAnsi="Calibri"/>
          <w:sz w:val="24"/>
          <w:szCs w:val="24"/>
        </w:rPr>
        <w:t>)</w:t>
      </w:r>
      <w:r>
        <w:rPr>
          <w:rFonts w:hint="eastAsia" w:ascii="Calibri" w:hAnsi="Calibri"/>
          <w:sz w:val="24"/>
          <w:szCs w:val="24"/>
        </w:rPr>
        <w:t>还给买方。</w:t>
      </w:r>
    </w:p>
    <w:p w14:paraId="632FDA72">
      <w:pPr>
        <w:spacing w:line="420" w:lineRule="exact"/>
        <w:ind w:firstLine="480" w:firstLineChars="200"/>
        <w:rPr>
          <w:rFonts w:ascii="黑体" w:hAnsi="Calibri" w:eastAsia="黑体"/>
          <w:sz w:val="24"/>
          <w:szCs w:val="24"/>
        </w:rPr>
      </w:pPr>
      <w:r>
        <w:rPr>
          <w:rFonts w:hint="eastAsia" w:ascii="黑体" w:hAnsi="Calibri" w:eastAsia="黑体"/>
          <w:sz w:val="24"/>
          <w:szCs w:val="24"/>
        </w:rPr>
        <w:t>33  合同生效</w:t>
      </w:r>
    </w:p>
    <w:p w14:paraId="173DC10C">
      <w:pPr>
        <w:spacing w:line="420" w:lineRule="exact"/>
        <w:ind w:firstLine="480" w:firstLineChars="200"/>
        <w:rPr>
          <w:rFonts w:ascii="Calibri" w:hAnsi="Calibri"/>
          <w:sz w:val="24"/>
          <w:szCs w:val="24"/>
        </w:rPr>
      </w:pPr>
      <w:r>
        <w:rPr>
          <w:rFonts w:hint="eastAsia" w:ascii="Calibri" w:hAnsi="Calibri"/>
          <w:sz w:val="24"/>
          <w:szCs w:val="24"/>
        </w:rPr>
        <w:t>本合同在满足下列所有条件时即生效：</w:t>
      </w:r>
    </w:p>
    <w:p w14:paraId="2E0F91F7">
      <w:pPr>
        <w:spacing w:line="420" w:lineRule="exact"/>
        <w:ind w:firstLine="480" w:firstLineChars="200"/>
        <w:rPr>
          <w:rFonts w:ascii="Calibri" w:hAnsi="Calibri"/>
          <w:sz w:val="24"/>
          <w:szCs w:val="24"/>
        </w:rPr>
      </w:pPr>
      <w:r>
        <w:rPr>
          <w:rFonts w:ascii="Calibri" w:hAnsi="Calibri"/>
          <w:sz w:val="24"/>
          <w:szCs w:val="24"/>
        </w:rPr>
        <w:t>33.1</w:t>
      </w:r>
      <w:r>
        <w:rPr>
          <w:rFonts w:hint="eastAsia" w:ascii="Calibri" w:hAnsi="Calibri"/>
          <w:sz w:val="24"/>
          <w:szCs w:val="24"/>
        </w:rPr>
        <w:t xml:space="preserve">  合同已由双方的法定代表人或其授权代表签署并加盖了单位印章；</w:t>
      </w:r>
    </w:p>
    <w:p w14:paraId="232B8359">
      <w:pPr>
        <w:spacing w:line="420" w:lineRule="exact"/>
        <w:ind w:firstLine="480" w:firstLineChars="200"/>
        <w:rPr>
          <w:rFonts w:ascii="Calibri" w:hAnsi="Calibri"/>
          <w:sz w:val="24"/>
          <w:szCs w:val="24"/>
        </w:rPr>
      </w:pPr>
      <w:r>
        <w:rPr>
          <w:rFonts w:ascii="Calibri" w:hAnsi="Calibri"/>
          <w:sz w:val="24"/>
          <w:szCs w:val="24"/>
        </w:rPr>
        <w:t xml:space="preserve">33.2 </w:t>
      </w:r>
      <w:r>
        <w:rPr>
          <w:rFonts w:hint="eastAsia" w:ascii="Calibri" w:hAnsi="Calibri"/>
          <w:sz w:val="24"/>
          <w:szCs w:val="24"/>
        </w:rPr>
        <w:t xml:space="preserve"> 卖方已按规定递交了履约保证金。</w:t>
      </w:r>
    </w:p>
    <w:p w14:paraId="2AF6E64F">
      <w:pPr>
        <w:spacing w:line="420" w:lineRule="exact"/>
        <w:ind w:firstLine="480" w:firstLineChars="200"/>
        <w:rPr>
          <w:rFonts w:ascii="黑体" w:hAnsi="Calibri" w:eastAsia="黑体"/>
          <w:sz w:val="24"/>
          <w:szCs w:val="24"/>
        </w:rPr>
      </w:pPr>
      <w:r>
        <w:rPr>
          <w:rFonts w:ascii="黑体" w:hAnsi="Calibri" w:eastAsia="黑体"/>
          <w:sz w:val="24"/>
          <w:szCs w:val="24"/>
        </w:rPr>
        <w:t>34</w:t>
      </w:r>
      <w:r>
        <w:rPr>
          <w:rFonts w:hint="eastAsia" w:ascii="黑体" w:hAnsi="Calibri" w:eastAsia="黑体"/>
          <w:sz w:val="24"/>
          <w:szCs w:val="24"/>
        </w:rPr>
        <w:t xml:space="preserve">  其他</w:t>
      </w:r>
    </w:p>
    <w:p w14:paraId="28D3DFF6">
      <w:pPr>
        <w:spacing w:line="420" w:lineRule="exact"/>
        <w:ind w:firstLine="480" w:firstLineChars="200"/>
        <w:rPr>
          <w:rFonts w:ascii="Calibri" w:hAnsi="Calibri"/>
          <w:sz w:val="24"/>
          <w:szCs w:val="24"/>
        </w:rPr>
      </w:pPr>
      <w:r>
        <w:rPr>
          <w:rFonts w:hint="eastAsia" w:ascii="Calibri" w:hAnsi="Calibri"/>
          <w:sz w:val="24"/>
          <w:szCs w:val="24"/>
        </w:rPr>
        <w:t>34.1  卖方应履行投标文件中明确的项目技术服务和售后维修人员的承诺提供安装调试和维修服务，卖方的售后服务响应时间为：在免费质保期内，卖方在接到用户单位报修通知后，须在4小时之内响应，并在24小时内到达现场。如需更换设备或返厂维修，须在24小时内提供备用设备，保证系统正常运行。更换或返厂维修的设备须在7日内处理完毕、送至现场，并恢复系统功能。</w:t>
      </w:r>
    </w:p>
    <w:p w14:paraId="54EA40AC">
      <w:pPr>
        <w:spacing w:line="420" w:lineRule="exact"/>
        <w:ind w:firstLine="480" w:firstLineChars="200"/>
        <w:rPr>
          <w:rFonts w:ascii="Calibri" w:hAnsi="Calibri"/>
          <w:sz w:val="24"/>
          <w:szCs w:val="24"/>
        </w:rPr>
      </w:pPr>
      <w:r>
        <w:rPr>
          <w:rFonts w:hint="eastAsia" w:ascii="Calibri" w:hAnsi="Calibri"/>
          <w:sz w:val="24"/>
          <w:szCs w:val="24"/>
        </w:rPr>
        <w:t>34.2  卖方应按投标文件的承诺向买方提供人员培训服务。</w:t>
      </w:r>
    </w:p>
    <w:p w14:paraId="715ED50A">
      <w:pPr>
        <w:spacing w:line="420" w:lineRule="exact"/>
        <w:ind w:firstLine="480" w:firstLineChars="200"/>
        <w:rPr>
          <w:rFonts w:ascii="Calibri" w:hAnsi="Calibri"/>
          <w:sz w:val="24"/>
          <w:szCs w:val="24"/>
        </w:rPr>
      </w:pPr>
      <w:r>
        <w:rPr>
          <w:rFonts w:hint="eastAsia" w:ascii="Calibri" w:hAnsi="Calibri"/>
          <w:sz w:val="24"/>
          <w:szCs w:val="24"/>
        </w:rPr>
        <w:t>34.3  本合同条款，中标通知书，投标过程中的澄清、补漏记录，招标文件，投标文件，相关国家标准、规范均为合同文件的组成部分，且按上列顺序进行解释。</w:t>
      </w:r>
    </w:p>
    <w:p w14:paraId="46798A83">
      <w:pPr>
        <w:spacing w:line="420" w:lineRule="exact"/>
        <w:ind w:firstLine="420" w:firstLineChars="200"/>
        <w:rPr>
          <w:rFonts w:hint="eastAsia" w:ascii="宋体" w:hAnsi="宋体" w:cs="宋体"/>
          <w:sz w:val="24"/>
          <w:szCs w:val="24"/>
        </w:rPr>
      </w:pPr>
      <w:r>
        <w:rPr>
          <w:rFonts w:hint="eastAsia" w:ascii="Calibri" w:hAnsi="Calibri"/>
          <w:szCs w:val="24"/>
        </w:rPr>
        <w:t>34.4</w:t>
      </w:r>
      <w:r>
        <w:rPr>
          <w:rFonts w:hint="eastAsia" w:ascii="宋体" w:hAnsi="宋体" w:cs="宋体"/>
          <w:sz w:val="24"/>
          <w:szCs w:val="24"/>
        </w:rPr>
        <w:t xml:space="preserve">  本合同未尽部分，按照招标文件及投标书执行</w:t>
      </w:r>
    </w:p>
    <w:p w14:paraId="3D2B9967">
      <w:pPr>
        <w:spacing w:line="420" w:lineRule="exact"/>
        <w:ind w:firstLine="420" w:firstLineChars="200"/>
        <w:rPr>
          <w:rFonts w:ascii="Calibri" w:hAnsi="Calibri"/>
          <w:sz w:val="24"/>
          <w:szCs w:val="24"/>
        </w:rPr>
      </w:pPr>
      <w:r>
        <w:rPr>
          <w:rFonts w:hint="eastAsia" w:ascii="Calibri" w:hAnsi="Calibri"/>
          <w:szCs w:val="24"/>
        </w:rPr>
        <w:t>34.</w:t>
      </w:r>
      <w:r>
        <w:rPr>
          <w:rFonts w:hint="eastAsia" w:ascii="Calibri" w:hAnsi="Calibri"/>
          <w:szCs w:val="24"/>
          <w:lang w:val="en-US" w:eastAsia="zh-CN"/>
        </w:rPr>
        <w:t>5</w:t>
      </w:r>
      <w:r>
        <w:rPr>
          <w:rFonts w:hint="eastAsia" w:ascii="Calibri" w:hAnsi="Calibri"/>
          <w:szCs w:val="24"/>
        </w:rPr>
        <w:t xml:space="preserve">  本</w:t>
      </w:r>
      <w:r>
        <w:rPr>
          <w:rFonts w:hint="eastAsia" w:ascii="Calibri" w:hAnsi="Calibri"/>
          <w:sz w:val="24"/>
          <w:szCs w:val="24"/>
        </w:rPr>
        <w:t xml:space="preserve">合同一式肆份，双方各执贰份。 </w:t>
      </w:r>
    </w:p>
    <w:p w14:paraId="620E3C52">
      <w:pPr>
        <w:pStyle w:val="8"/>
      </w:pPr>
    </w:p>
    <w:p w14:paraId="57AB9C78">
      <w:pPr>
        <w:spacing w:line="400" w:lineRule="exact"/>
        <w:ind w:left="629"/>
        <w:rPr>
          <w:rFonts w:ascii="Calibri" w:hAnsi="Calibri"/>
          <w:sz w:val="24"/>
          <w:szCs w:val="24"/>
        </w:rPr>
      </w:pPr>
    </w:p>
    <w:p w14:paraId="660580B2">
      <w:pPr>
        <w:spacing w:line="480" w:lineRule="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甲方单位：（盖章）                        乙方单位：（盖章）</w:t>
      </w:r>
    </w:p>
    <w:p w14:paraId="0D041CCF">
      <w:pPr>
        <w:spacing w:line="480" w:lineRule="auto"/>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地址：                                    地址：</w:t>
      </w:r>
    </w:p>
    <w:p w14:paraId="66584847">
      <w:pPr>
        <w:spacing w:line="480" w:lineRule="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法定代表人：                              法定代表人：</w:t>
      </w:r>
    </w:p>
    <w:p w14:paraId="0E4C5827">
      <w:pPr>
        <w:spacing w:line="480" w:lineRule="auto"/>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委托代理人：                              委托代理人：</w:t>
      </w:r>
    </w:p>
    <w:p w14:paraId="5518D8E0">
      <w:pPr>
        <w:spacing w:line="480" w:lineRule="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联系方式：                                联系方式：</w:t>
      </w:r>
    </w:p>
    <w:p w14:paraId="6762F9D1">
      <w:pPr>
        <w:spacing w:line="480" w:lineRule="auto"/>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 xml:space="preserve">签订地点：                 </w:t>
      </w:r>
      <w:r>
        <w:rPr>
          <w:rFonts w:hint="eastAsia" w:ascii="Calibri" w:hAnsi="Calibri" w:cs="Times New Roman"/>
          <w:sz w:val="24"/>
          <w:szCs w:val="24"/>
          <w:lang w:val="en-US" w:eastAsia="zh-CN"/>
        </w:rPr>
        <w:t xml:space="preserve">              </w:t>
      </w:r>
      <w:r>
        <w:rPr>
          <w:rFonts w:hint="eastAsia" w:ascii="Calibri" w:hAnsi="Calibri" w:eastAsia="宋体" w:cs="Times New Roman"/>
          <w:sz w:val="24"/>
          <w:szCs w:val="24"/>
          <w:lang w:val="en-US" w:eastAsia="zh-CN"/>
        </w:rPr>
        <w:t xml:space="preserve"> 签订时间：</w:t>
      </w:r>
    </w:p>
    <w:p w14:paraId="56177B6D">
      <w:pPr>
        <w:spacing w:line="480" w:lineRule="exact"/>
        <w:ind w:firstLine="3839" w:firstLineChars="1195"/>
        <w:rPr>
          <w:rFonts w:ascii="Calibri" w:hAnsi="Calibri"/>
          <w:b/>
          <w:bCs/>
          <w:sz w:val="32"/>
          <w:szCs w:val="24"/>
        </w:rPr>
      </w:pPr>
    </w:p>
    <w:p w14:paraId="23F51C52">
      <w:pPr>
        <w:spacing w:line="480" w:lineRule="exact"/>
        <w:ind w:firstLine="3839" w:firstLineChars="1195"/>
        <w:rPr>
          <w:rFonts w:ascii="Calibri" w:hAnsi="Calibri"/>
          <w:b/>
          <w:bCs/>
          <w:sz w:val="32"/>
          <w:szCs w:val="24"/>
        </w:rPr>
      </w:pPr>
    </w:p>
    <w:p w14:paraId="1BA00DC7">
      <w:pPr>
        <w:spacing w:line="480" w:lineRule="exact"/>
        <w:ind w:firstLine="3839" w:firstLineChars="1195"/>
        <w:rPr>
          <w:rFonts w:hint="eastAsia" w:ascii="Calibri" w:hAnsi="Calibri"/>
          <w:b/>
          <w:bCs/>
          <w:sz w:val="32"/>
          <w:szCs w:val="24"/>
        </w:rPr>
      </w:pPr>
    </w:p>
    <w:p w14:paraId="2AE58F9E">
      <w:pPr>
        <w:spacing w:line="480" w:lineRule="exact"/>
        <w:ind w:firstLine="3839" w:firstLineChars="1195"/>
        <w:rPr>
          <w:rFonts w:hint="eastAsia" w:ascii="Calibri" w:hAnsi="Calibri"/>
          <w:b/>
          <w:bCs/>
          <w:sz w:val="32"/>
          <w:szCs w:val="24"/>
        </w:rPr>
      </w:pPr>
    </w:p>
    <w:p w14:paraId="58671545">
      <w:pPr>
        <w:spacing w:line="480" w:lineRule="exact"/>
        <w:ind w:firstLine="3839" w:firstLineChars="1195"/>
        <w:rPr>
          <w:rFonts w:hint="eastAsia" w:ascii="Calibri" w:hAnsi="Calibri"/>
          <w:b/>
          <w:bCs/>
          <w:sz w:val="32"/>
          <w:szCs w:val="24"/>
        </w:rPr>
      </w:pPr>
    </w:p>
    <w:p w14:paraId="5593BFB7">
      <w:pPr>
        <w:spacing w:line="480" w:lineRule="exact"/>
        <w:ind w:firstLine="3839" w:firstLineChars="1195"/>
        <w:rPr>
          <w:rFonts w:hint="eastAsia" w:ascii="Calibri" w:hAnsi="Calibri"/>
          <w:b/>
          <w:bCs/>
          <w:sz w:val="32"/>
          <w:szCs w:val="24"/>
        </w:rPr>
      </w:pPr>
    </w:p>
    <w:p w14:paraId="46456E96">
      <w:pPr>
        <w:spacing w:line="480" w:lineRule="exact"/>
        <w:ind w:firstLine="3839" w:firstLineChars="1195"/>
        <w:rPr>
          <w:rFonts w:ascii="Calibri" w:hAnsi="Calibri"/>
          <w:b/>
          <w:bCs/>
          <w:sz w:val="32"/>
          <w:szCs w:val="24"/>
        </w:rPr>
      </w:pPr>
      <w:r>
        <w:rPr>
          <w:rFonts w:hint="eastAsia" w:ascii="Calibri" w:hAnsi="Calibri"/>
          <w:b/>
          <w:bCs/>
          <w:sz w:val="32"/>
          <w:szCs w:val="24"/>
        </w:rPr>
        <w:t>廉政协议</w:t>
      </w:r>
    </w:p>
    <w:p w14:paraId="2EBE67E4">
      <w:pPr>
        <w:spacing w:line="480" w:lineRule="exact"/>
        <w:rPr>
          <w:rFonts w:ascii="Calibri" w:hAnsi="Calibri"/>
          <w:sz w:val="24"/>
          <w:szCs w:val="24"/>
          <w:u w:val="single"/>
        </w:rPr>
      </w:pPr>
      <w:r>
        <w:rPr>
          <w:rFonts w:hint="eastAsia" w:ascii="Calibri" w:hAnsi="Calibri"/>
          <w:sz w:val="24"/>
          <w:szCs w:val="24"/>
        </w:rPr>
        <w:t>协议单位：买方（简称买方）：南通市通州区水务有限公司</w:t>
      </w:r>
    </w:p>
    <w:p w14:paraId="6974FFCD">
      <w:pPr>
        <w:spacing w:line="480" w:lineRule="exact"/>
        <w:ind w:firstLine="1200" w:firstLineChars="500"/>
        <w:rPr>
          <w:rFonts w:ascii="Calibri" w:hAnsi="Calibri"/>
          <w:sz w:val="24"/>
          <w:szCs w:val="24"/>
          <w:u w:val="single"/>
        </w:rPr>
      </w:pPr>
      <w:r>
        <w:rPr>
          <w:rFonts w:hint="eastAsia" w:ascii="Calibri" w:hAnsi="Calibri"/>
          <w:sz w:val="24"/>
          <w:szCs w:val="24"/>
        </w:rPr>
        <w:t>卖方（简称卖方）：</w:t>
      </w:r>
    </w:p>
    <w:p w14:paraId="4BADB3B7">
      <w:pPr>
        <w:spacing w:line="480" w:lineRule="exact"/>
        <w:ind w:firstLine="480" w:firstLineChars="200"/>
        <w:rPr>
          <w:rFonts w:ascii="Calibri" w:hAnsi="Calibri"/>
          <w:sz w:val="24"/>
          <w:szCs w:val="24"/>
        </w:rPr>
      </w:pPr>
      <w:r>
        <w:rPr>
          <w:rFonts w:hint="eastAsia" w:ascii="Calibri" w:hAnsi="Calibri"/>
          <w:sz w:val="24"/>
          <w:szCs w:val="24"/>
        </w:rPr>
        <w:t>为加强工程建设中的廉政建设，规范工程建设项目各方的各项活动，共同维护建设市场的秩序，确保工程质量。经协议各方协商，现就</w:t>
      </w:r>
      <w:r>
        <w:rPr>
          <w:rFonts w:hint="eastAsia" w:ascii="Calibri" w:hAnsi="Calibri"/>
          <w:sz w:val="24"/>
          <w:szCs w:val="24"/>
          <w:u w:val="single"/>
          <w:lang w:val="en-US" w:eastAsia="zh-CN"/>
        </w:rPr>
        <w:t>通州城区应急水源地供水设施改扩建和技术改造</w:t>
      </w:r>
      <w:r>
        <w:rPr>
          <w:rFonts w:hint="eastAsia" w:ascii="Calibri" w:hAnsi="Calibri"/>
          <w:sz w:val="24"/>
          <w:szCs w:val="24"/>
          <w:u w:val="single"/>
        </w:rPr>
        <w:t>采购及安装项目</w:t>
      </w:r>
      <w:r>
        <w:rPr>
          <w:rFonts w:hint="eastAsia" w:ascii="Calibri" w:hAnsi="Calibri"/>
          <w:sz w:val="24"/>
          <w:szCs w:val="24"/>
        </w:rPr>
        <w:t>自愿签订廉政协议：</w:t>
      </w:r>
    </w:p>
    <w:p w14:paraId="4F34A6B0">
      <w:pPr>
        <w:spacing w:line="520" w:lineRule="exact"/>
        <w:ind w:firstLine="645"/>
        <w:rPr>
          <w:rFonts w:ascii="Calibri" w:hAnsi="Calibri"/>
          <w:sz w:val="24"/>
          <w:szCs w:val="24"/>
        </w:rPr>
      </w:pPr>
      <w:r>
        <w:rPr>
          <w:rFonts w:hint="eastAsia" w:ascii="Calibri" w:hAnsi="Calibri"/>
          <w:sz w:val="24"/>
          <w:szCs w:val="24"/>
        </w:rPr>
        <w:t>一、协议各方应当自觉遵守国家、省、市关于建设工程材料采购工作规则以及有关廉政建设的各项规定。</w:t>
      </w:r>
    </w:p>
    <w:p w14:paraId="25793CB9">
      <w:pPr>
        <w:spacing w:line="520" w:lineRule="exact"/>
        <w:ind w:firstLine="645"/>
        <w:rPr>
          <w:rFonts w:ascii="Calibri" w:hAnsi="Calibri"/>
          <w:sz w:val="24"/>
          <w:szCs w:val="24"/>
        </w:rPr>
      </w:pPr>
      <w:r>
        <w:rPr>
          <w:rFonts w:hint="eastAsia" w:ascii="Calibri" w:hAnsi="Calibri"/>
          <w:sz w:val="24"/>
          <w:szCs w:val="24"/>
        </w:rPr>
        <w:t>二、买方及其工作人员不得以任何形式向卖方索要和收受回扣等好处费。</w:t>
      </w:r>
    </w:p>
    <w:p w14:paraId="247DC255">
      <w:pPr>
        <w:spacing w:line="520" w:lineRule="exact"/>
        <w:ind w:firstLine="645"/>
        <w:rPr>
          <w:rFonts w:ascii="Calibri" w:hAnsi="Calibri"/>
          <w:sz w:val="24"/>
          <w:szCs w:val="24"/>
        </w:rPr>
      </w:pPr>
      <w:r>
        <w:rPr>
          <w:rFonts w:hint="eastAsia" w:ascii="Calibri" w:hAnsi="Calibri"/>
          <w:sz w:val="24"/>
          <w:szCs w:val="24"/>
        </w:rPr>
        <w:t>三、买方工作人员应保持与卖方的正常业务交往，不得接受卖方的礼金、有价证券和贵重物品，不得在卖方报销任何应当由个人支付的费用。</w:t>
      </w:r>
    </w:p>
    <w:p w14:paraId="7479069A">
      <w:pPr>
        <w:spacing w:line="520" w:lineRule="exact"/>
        <w:ind w:firstLine="645"/>
        <w:rPr>
          <w:rFonts w:ascii="Calibri" w:hAnsi="Calibri"/>
          <w:sz w:val="24"/>
          <w:szCs w:val="24"/>
        </w:rPr>
      </w:pPr>
      <w:r>
        <w:rPr>
          <w:rFonts w:hint="eastAsia" w:ascii="Calibri" w:hAnsi="Calibri"/>
          <w:sz w:val="24"/>
          <w:szCs w:val="24"/>
        </w:rPr>
        <w:t>四、买方人员不得参加可能对执行公务有影响的宴请和娱乐活动。</w:t>
      </w:r>
    </w:p>
    <w:p w14:paraId="44F5EF64">
      <w:pPr>
        <w:spacing w:line="520" w:lineRule="exact"/>
        <w:ind w:firstLine="645"/>
        <w:rPr>
          <w:rFonts w:ascii="Calibri" w:hAnsi="Calibri"/>
          <w:sz w:val="24"/>
          <w:szCs w:val="24"/>
        </w:rPr>
      </w:pPr>
      <w:r>
        <w:rPr>
          <w:rFonts w:hint="eastAsia" w:ascii="Calibri" w:hAnsi="Calibri"/>
          <w:sz w:val="24"/>
          <w:szCs w:val="24"/>
        </w:rPr>
        <w:t>五、买方工作人员不得要求或者接受卖方为其住房装修、参与婚丧嫁娶、家属和子女的工作安排以及出国等提供方便。</w:t>
      </w:r>
    </w:p>
    <w:p w14:paraId="20B07AD2">
      <w:pPr>
        <w:spacing w:line="520" w:lineRule="exact"/>
        <w:ind w:firstLine="645"/>
        <w:rPr>
          <w:rFonts w:ascii="Calibri" w:hAnsi="Calibri"/>
          <w:sz w:val="24"/>
          <w:szCs w:val="24"/>
        </w:rPr>
      </w:pPr>
      <w:r>
        <w:rPr>
          <w:rFonts w:hint="eastAsia" w:ascii="Calibri" w:hAnsi="Calibri"/>
          <w:sz w:val="24"/>
          <w:szCs w:val="24"/>
        </w:rPr>
        <w:t>六、买方工作人员不得向卖方介绍家属或者亲友从事与买方工程有关的材料设备供应等经济活动。</w:t>
      </w:r>
    </w:p>
    <w:p w14:paraId="41344CA5">
      <w:pPr>
        <w:spacing w:line="520" w:lineRule="exact"/>
        <w:ind w:firstLine="645"/>
        <w:rPr>
          <w:rFonts w:ascii="Calibri" w:hAnsi="Calibri"/>
          <w:sz w:val="24"/>
          <w:szCs w:val="24"/>
        </w:rPr>
      </w:pPr>
      <w:r>
        <w:rPr>
          <w:rFonts w:hint="eastAsia" w:ascii="Calibri" w:hAnsi="Calibri"/>
          <w:sz w:val="24"/>
          <w:szCs w:val="24"/>
        </w:rPr>
        <w:t>七、卖方应当通过正常途径开展相关工作，不得为获取某些利益向买方工作人员赠送礼金、有价证券和贵重物品等。</w:t>
      </w:r>
    </w:p>
    <w:p w14:paraId="243F6AE5">
      <w:pPr>
        <w:spacing w:line="520" w:lineRule="exact"/>
        <w:ind w:firstLine="645"/>
        <w:rPr>
          <w:rFonts w:ascii="Calibri" w:hAnsi="Calibri"/>
          <w:sz w:val="24"/>
          <w:szCs w:val="24"/>
        </w:rPr>
      </w:pPr>
      <w:r>
        <w:rPr>
          <w:rFonts w:hint="eastAsia" w:ascii="Calibri" w:hAnsi="Calibri"/>
          <w:sz w:val="24"/>
          <w:szCs w:val="24"/>
        </w:rPr>
        <w:t>八、卖方不得为谋取利益擅自与买方工作人员就工程材料设备供应问题处理进行私下商谈或者达成默契。</w:t>
      </w:r>
    </w:p>
    <w:p w14:paraId="498CA69E">
      <w:pPr>
        <w:spacing w:line="520" w:lineRule="exact"/>
        <w:ind w:firstLine="645"/>
        <w:rPr>
          <w:rFonts w:ascii="Calibri" w:hAnsi="Calibri"/>
          <w:sz w:val="24"/>
          <w:szCs w:val="24"/>
        </w:rPr>
      </w:pPr>
      <w:r>
        <w:rPr>
          <w:rFonts w:hint="eastAsia" w:ascii="Calibri" w:hAnsi="Calibri"/>
          <w:sz w:val="24"/>
          <w:szCs w:val="24"/>
        </w:rPr>
        <w:t>九、卖方不得以洽谈业务、签订经济合同为借口，邀请买方工作人员外出旅游和进入营业性娱乐场所娱乐。</w:t>
      </w:r>
    </w:p>
    <w:p w14:paraId="2890EA33">
      <w:pPr>
        <w:spacing w:line="520" w:lineRule="exact"/>
        <w:ind w:firstLine="645"/>
        <w:rPr>
          <w:rFonts w:ascii="Calibri" w:hAnsi="Calibri"/>
          <w:sz w:val="24"/>
          <w:szCs w:val="24"/>
        </w:rPr>
      </w:pPr>
      <w:r>
        <w:rPr>
          <w:rFonts w:hint="eastAsia" w:ascii="Calibri" w:hAnsi="Calibri"/>
          <w:sz w:val="24"/>
          <w:szCs w:val="24"/>
        </w:rPr>
        <w:t>十、卖方不得为买方单位和个人购置或者提供通讯工具、交通工具、家电、高档办公用品等物品。</w:t>
      </w:r>
    </w:p>
    <w:p w14:paraId="5037617B">
      <w:pPr>
        <w:spacing w:line="520" w:lineRule="exact"/>
        <w:ind w:firstLine="645"/>
        <w:rPr>
          <w:rFonts w:ascii="Calibri" w:hAnsi="Calibri"/>
          <w:sz w:val="24"/>
          <w:szCs w:val="24"/>
        </w:rPr>
      </w:pPr>
      <w:r>
        <w:rPr>
          <w:rFonts w:hint="eastAsia" w:ascii="Calibri" w:hAnsi="Calibri"/>
          <w:sz w:val="24"/>
          <w:szCs w:val="24"/>
        </w:rPr>
        <w:t>十一、卖方如发现买方工作人员有违反上述协议者，应向买方领导或者买方上级单位举报。买方不得找任何借口对卖方进行报复。</w:t>
      </w:r>
    </w:p>
    <w:p w14:paraId="6CF18C36">
      <w:pPr>
        <w:spacing w:line="520" w:lineRule="exact"/>
        <w:ind w:firstLine="645"/>
        <w:rPr>
          <w:rFonts w:ascii="Calibri" w:hAnsi="Calibri"/>
          <w:sz w:val="24"/>
          <w:szCs w:val="24"/>
        </w:rPr>
      </w:pPr>
      <w:r>
        <w:rPr>
          <w:rFonts w:hint="eastAsia" w:ascii="Calibri" w:hAnsi="Calibri"/>
          <w:sz w:val="24"/>
          <w:szCs w:val="24"/>
        </w:rPr>
        <w:t>十二、买方发现卖方有违反本协议或者采取不正当的手段行贿买方工作人员，买方根据具体情节和造成的后果有权按合同价款的1%追究卖方的违约金。由此给买方单位造成的损失均由卖方承担，卖方用不正当手段获取的非法所得由买方单位予以追缴。</w:t>
      </w:r>
    </w:p>
    <w:p w14:paraId="7B3B5D78">
      <w:pPr>
        <w:spacing w:line="520" w:lineRule="exact"/>
        <w:ind w:firstLine="645"/>
        <w:rPr>
          <w:rFonts w:ascii="Calibri" w:hAnsi="Calibri"/>
          <w:sz w:val="24"/>
          <w:szCs w:val="24"/>
        </w:rPr>
      </w:pPr>
      <w:r>
        <w:rPr>
          <w:rFonts w:hint="eastAsia" w:ascii="Calibri" w:hAnsi="Calibri"/>
          <w:sz w:val="24"/>
          <w:szCs w:val="24"/>
        </w:rPr>
        <w:t>十三、本廉政合同作为 合同书的附件，与合同书具有同等法律效力，经协议双方签署后立即生效。</w:t>
      </w:r>
    </w:p>
    <w:p w14:paraId="485F6F65">
      <w:pPr>
        <w:spacing w:line="480" w:lineRule="exact"/>
        <w:ind w:firstLine="480" w:firstLineChars="200"/>
        <w:rPr>
          <w:rFonts w:ascii="Calibri" w:hAnsi="Calibri"/>
          <w:sz w:val="24"/>
          <w:szCs w:val="24"/>
        </w:rPr>
      </w:pPr>
      <w:r>
        <w:rPr>
          <w:rFonts w:hint="eastAsia" w:ascii="Calibri" w:hAnsi="Calibri"/>
          <w:sz w:val="24"/>
          <w:szCs w:val="24"/>
        </w:rPr>
        <w:t>十四、本合同一式肆份，双方各执贰份。</w:t>
      </w:r>
    </w:p>
    <w:p w14:paraId="286F7F0F">
      <w:pPr>
        <w:spacing w:line="360" w:lineRule="auto"/>
        <w:jc w:val="center"/>
        <w:rPr>
          <w:rFonts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pPr>
    </w:p>
    <w:p w14:paraId="2A827D74">
      <w:pPr>
        <w:spacing w:line="480" w:lineRule="auto"/>
        <w:rPr>
          <w:rFonts w:hint="eastAsia" w:ascii="Calibri" w:hAnsi="Calibri"/>
          <w:sz w:val="24"/>
          <w:szCs w:val="24"/>
          <w:lang w:val="en-US" w:eastAsia="zh-CN"/>
        </w:rPr>
      </w:pPr>
      <w:r>
        <w:rPr>
          <w:rFonts w:hint="eastAsia" w:ascii="Calibri" w:hAnsi="Calibri"/>
          <w:sz w:val="24"/>
          <w:szCs w:val="24"/>
          <w:lang w:val="en-US" w:eastAsia="zh-CN"/>
        </w:rPr>
        <w:t>甲方单位：（盖章）                        乙方单位：（盖章）</w:t>
      </w:r>
    </w:p>
    <w:p w14:paraId="15AF9791">
      <w:pPr>
        <w:spacing w:line="480" w:lineRule="auto"/>
        <w:rPr>
          <w:rFonts w:hint="default" w:ascii="Calibri" w:hAnsi="Calibri"/>
          <w:sz w:val="24"/>
          <w:szCs w:val="24"/>
          <w:lang w:val="en-US" w:eastAsia="zh-CN"/>
        </w:rPr>
      </w:pPr>
      <w:r>
        <w:rPr>
          <w:rFonts w:hint="eastAsia" w:ascii="Calibri" w:hAnsi="Calibri"/>
          <w:sz w:val="24"/>
          <w:szCs w:val="24"/>
          <w:lang w:val="en-US" w:eastAsia="zh-CN"/>
        </w:rPr>
        <w:t>地址：                                    地址：</w:t>
      </w:r>
    </w:p>
    <w:p w14:paraId="724635F1">
      <w:pPr>
        <w:spacing w:line="480" w:lineRule="auto"/>
        <w:rPr>
          <w:rFonts w:hint="eastAsia" w:ascii="Calibri" w:hAnsi="Calibri"/>
          <w:sz w:val="24"/>
          <w:szCs w:val="24"/>
          <w:lang w:val="en-US" w:eastAsia="zh-CN"/>
        </w:rPr>
      </w:pPr>
      <w:r>
        <w:rPr>
          <w:rFonts w:hint="eastAsia" w:ascii="Calibri" w:hAnsi="Calibri"/>
          <w:sz w:val="24"/>
          <w:szCs w:val="24"/>
          <w:lang w:val="en-US" w:eastAsia="zh-CN"/>
        </w:rPr>
        <w:t>法定代表人：                              法定代表人：</w:t>
      </w:r>
    </w:p>
    <w:p w14:paraId="4496042E">
      <w:pPr>
        <w:spacing w:line="480" w:lineRule="auto"/>
        <w:rPr>
          <w:rFonts w:hint="default" w:ascii="Calibri" w:hAnsi="Calibri"/>
          <w:sz w:val="24"/>
          <w:szCs w:val="24"/>
          <w:lang w:val="en-US" w:eastAsia="zh-CN"/>
        </w:rPr>
      </w:pPr>
      <w:r>
        <w:rPr>
          <w:rFonts w:hint="eastAsia" w:ascii="Calibri" w:hAnsi="Calibri"/>
          <w:sz w:val="24"/>
          <w:szCs w:val="24"/>
          <w:lang w:val="en-US" w:eastAsia="zh-CN"/>
        </w:rPr>
        <w:t>委托代理人：                              委托代理人：</w:t>
      </w:r>
    </w:p>
    <w:p w14:paraId="7A695C9B">
      <w:pPr>
        <w:spacing w:line="480" w:lineRule="auto"/>
        <w:rPr>
          <w:rFonts w:hint="eastAsia" w:ascii="Calibri" w:hAnsi="Calibri"/>
          <w:sz w:val="24"/>
          <w:szCs w:val="24"/>
          <w:lang w:val="en-US" w:eastAsia="zh-CN"/>
        </w:rPr>
      </w:pPr>
      <w:r>
        <w:rPr>
          <w:rFonts w:hint="eastAsia" w:ascii="Calibri" w:hAnsi="Calibri"/>
          <w:sz w:val="24"/>
          <w:szCs w:val="24"/>
          <w:lang w:val="en-US" w:eastAsia="zh-CN"/>
        </w:rPr>
        <w:t>联系方式：                                联系方式：</w:t>
      </w:r>
    </w:p>
    <w:p w14:paraId="57178703">
      <w:pPr>
        <w:spacing w:line="480" w:lineRule="auto"/>
        <w:rPr>
          <w:rFonts w:hint="default" w:ascii="Calibri" w:hAnsi="Calibri"/>
          <w:sz w:val="24"/>
          <w:szCs w:val="24"/>
          <w:lang w:val="en-US" w:eastAsia="zh-CN"/>
        </w:rPr>
      </w:pPr>
      <w:r>
        <w:rPr>
          <w:rFonts w:hint="eastAsia" w:ascii="Calibri" w:hAnsi="Calibri"/>
          <w:sz w:val="24"/>
          <w:szCs w:val="24"/>
          <w:lang w:val="en-US" w:eastAsia="zh-CN"/>
        </w:rPr>
        <w:t>签订地点：                                签订时间：</w:t>
      </w:r>
    </w:p>
    <w:p w14:paraId="3349F334">
      <w:pPr>
        <w:spacing w:line="360" w:lineRule="auto"/>
        <w:jc w:val="both"/>
        <w:rPr>
          <w:rFonts w:ascii="Calibri" w:hAnsi="Calibri"/>
          <w:sz w:val="48"/>
          <w:szCs w:val="48"/>
        </w:rPr>
      </w:pPr>
    </w:p>
    <w:p w14:paraId="1104370A">
      <w:pPr>
        <w:pStyle w:val="8"/>
        <w:rPr>
          <w:rFonts w:ascii="Calibri" w:hAnsi="Calibri"/>
          <w:sz w:val="48"/>
          <w:szCs w:val="48"/>
        </w:rPr>
      </w:pPr>
    </w:p>
    <w:p w14:paraId="34C6E1C6">
      <w:pPr>
        <w:rPr>
          <w:rFonts w:ascii="Calibri" w:hAnsi="Calibri"/>
          <w:sz w:val="48"/>
          <w:szCs w:val="48"/>
        </w:rPr>
      </w:pPr>
    </w:p>
    <w:p w14:paraId="74B41FF0">
      <w:pPr>
        <w:pStyle w:val="8"/>
        <w:rPr>
          <w:rFonts w:ascii="Calibri" w:hAnsi="Calibri"/>
          <w:sz w:val="48"/>
          <w:szCs w:val="48"/>
        </w:rPr>
      </w:pPr>
    </w:p>
    <w:p w14:paraId="294051DE">
      <w:pPr>
        <w:rPr>
          <w:rFonts w:ascii="Calibri" w:hAnsi="Calibri"/>
          <w:sz w:val="48"/>
          <w:szCs w:val="48"/>
        </w:rPr>
      </w:pPr>
    </w:p>
    <w:p w14:paraId="767A1504">
      <w:pPr>
        <w:pStyle w:val="8"/>
        <w:rPr>
          <w:rFonts w:ascii="Calibri" w:hAnsi="Calibri"/>
          <w:sz w:val="48"/>
          <w:szCs w:val="48"/>
        </w:rPr>
      </w:pPr>
    </w:p>
    <w:p w14:paraId="7AFA5168">
      <w:pPr>
        <w:rPr>
          <w:rFonts w:ascii="Calibri" w:hAnsi="Calibri"/>
          <w:sz w:val="48"/>
          <w:szCs w:val="48"/>
        </w:rPr>
      </w:pPr>
    </w:p>
    <w:p w14:paraId="7F712AEC">
      <w:pPr>
        <w:pStyle w:val="8"/>
        <w:rPr>
          <w:rFonts w:ascii="Calibri" w:hAnsi="Calibri"/>
          <w:sz w:val="48"/>
          <w:szCs w:val="48"/>
        </w:rPr>
      </w:pPr>
    </w:p>
    <w:p w14:paraId="676189B5">
      <w:pPr>
        <w:spacing w:line="480" w:lineRule="exact"/>
        <w:ind w:firstLine="3839" w:firstLineChars="1195"/>
        <w:rPr>
          <w:rFonts w:hint="eastAsia" w:ascii="Calibri" w:hAnsi="Calibri"/>
          <w:b/>
          <w:bCs/>
          <w:sz w:val="32"/>
          <w:szCs w:val="24"/>
        </w:rPr>
      </w:pPr>
    </w:p>
    <w:p w14:paraId="510B56CD">
      <w:pPr>
        <w:spacing w:line="480" w:lineRule="exact"/>
        <w:ind w:firstLine="3839" w:firstLineChars="1195"/>
        <w:rPr>
          <w:rFonts w:hint="eastAsia" w:ascii="Calibri" w:hAnsi="Calibri"/>
          <w:b/>
          <w:bCs/>
          <w:sz w:val="32"/>
          <w:szCs w:val="24"/>
        </w:rPr>
      </w:pPr>
    </w:p>
    <w:p w14:paraId="1BD2A618">
      <w:pPr>
        <w:spacing w:line="480" w:lineRule="exact"/>
        <w:ind w:firstLine="3839" w:firstLineChars="1195"/>
        <w:rPr>
          <w:rFonts w:hint="eastAsia" w:ascii="Calibri" w:hAnsi="Calibri"/>
          <w:b/>
          <w:bCs/>
          <w:sz w:val="32"/>
          <w:szCs w:val="24"/>
        </w:rPr>
      </w:pPr>
    </w:p>
    <w:p w14:paraId="75ACFCA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5" w:firstLineChars="85"/>
        <w:jc w:val="center"/>
        <w:textAlignment w:val="auto"/>
        <w:rPr>
          <w:rFonts w:hint="eastAsia" w:ascii="宋体" w:hAnsi="宋体" w:eastAsia="宋体" w:cs="宋体"/>
          <w:color w:val="auto"/>
          <w:sz w:val="24"/>
          <w:szCs w:val="24"/>
        </w:rPr>
      </w:pPr>
      <w:r>
        <w:rPr>
          <w:rStyle w:val="26"/>
          <w:rFonts w:hint="eastAsia" w:ascii="宋体" w:hAnsi="宋体" w:eastAsia="宋体" w:cs="宋体"/>
          <w:color w:val="auto"/>
          <w:sz w:val="24"/>
          <w:szCs w:val="24"/>
        </w:rPr>
        <w:t>安全</w:t>
      </w:r>
      <w:r>
        <w:rPr>
          <w:rStyle w:val="26"/>
          <w:rFonts w:hint="eastAsia" w:ascii="宋体" w:hAnsi="宋体" w:eastAsia="宋体" w:cs="宋体"/>
          <w:color w:val="auto"/>
          <w:sz w:val="24"/>
          <w:szCs w:val="24"/>
          <w:lang w:eastAsia="zh-CN"/>
        </w:rPr>
        <w:t>生产</w:t>
      </w:r>
      <w:r>
        <w:rPr>
          <w:rStyle w:val="26"/>
          <w:rFonts w:hint="eastAsia" w:ascii="宋体" w:hAnsi="宋体" w:eastAsia="宋体" w:cs="宋体"/>
          <w:color w:val="auto"/>
          <w:sz w:val="24"/>
          <w:szCs w:val="24"/>
        </w:rPr>
        <w:t>协议书</w:t>
      </w:r>
    </w:p>
    <w:p w14:paraId="4EC2A1A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jc w:val="center"/>
        <w:textAlignment w:val="auto"/>
        <w:rPr>
          <w:rFonts w:hint="eastAsia" w:ascii="宋体" w:hAnsi="宋体" w:eastAsia="宋体" w:cs="宋体"/>
          <w:sz w:val="24"/>
          <w:szCs w:val="24"/>
        </w:rPr>
      </w:pPr>
    </w:p>
    <w:p w14:paraId="73060D6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5" w:firstLineChars="85"/>
        <w:textAlignment w:val="auto"/>
        <w:rPr>
          <w:rFonts w:hint="eastAsia" w:ascii="宋体" w:hAnsi="宋体" w:eastAsia="宋体" w:cs="宋体"/>
          <w:sz w:val="24"/>
          <w:szCs w:val="24"/>
        </w:rPr>
      </w:pPr>
      <w:r>
        <w:rPr>
          <w:rStyle w:val="26"/>
          <w:rFonts w:hint="eastAsia" w:ascii="宋体" w:hAnsi="宋体" w:eastAsia="宋体" w:cs="宋体"/>
          <w:sz w:val="24"/>
          <w:szCs w:val="24"/>
        </w:rPr>
        <w:t>甲方：</w:t>
      </w:r>
    </w:p>
    <w:p w14:paraId="78AAB8F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地址：</w:t>
      </w:r>
    </w:p>
    <w:p w14:paraId="6436FF4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联系人：</w:t>
      </w:r>
    </w:p>
    <w:p w14:paraId="5E008F9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联系方式：</w:t>
      </w:r>
    </w:p>
    <w:p w14:paraId="1A743C6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5" w:firstLineChars="85"/>
        <w:textAlignment w:val="auto"/>
        <w:rPr>
          <w:rFonts w:hint="eastAsia" w:ascii="宋体" w:hAnsi="宋体" w:eastAsia="宋体" w:cs="宋体"/>
          <w:sz w:val="24"/>
          <w:szCs w:val="24"/>
        </w:rPr>
      </w:pPr>
      <w:r>
        <w:rPr>
          <w:rStyle w:val="26"/>
          <w:rFonts w:hint="eastAsia" w:ascii="宋体" w:hAnsi="宋体" w:eastAsia="宋体" w:cs="宋体"/>
          <w:sz w:val="24"/>
          <w:szCs w:val="24"/>
        </w:rPr>
        <w:t>乙方：</w:t>
      </w:r>
    </w:p>
    <w:p w14:paraId="1894EBF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地址：</w:t>
      </w:r>
    </w:p>
    <w:p w14:paraId="166BD8A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联系人：</w:t>
      </w:r>
    </w:p>
    <w:p w14:paraId="214FAC6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联系方式：</w:t>
      </w:r>
    </w:p>
    <w:p w14:paraId="5ABE5D0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p>
    <w:p w14:paraId="3D46477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为了加强</w:t>
      </w:r>
      <w:r>
        <w:rPr>
          <w:rFonts w:hint="eastAsia" w:ascii="宋体" w:hAnsi="宋体" w:eastAsia="宋体" w:cs="宋体"/>
          <w:sz w:val="24"/>
          <w:szCs w:val="24"/>
          <w:lang w:eastAsia="zh-CN"/>
        </w:rPr>
        <w:t>该项目</w:t>
      </w:r>
      <w:r>
        <w:rPr>
          <w:rFonts w:hint="eastAsia" w:ascii="宋体" w:hAnsi="宋体" w:eastAsia="宋体" w:cs="宋体"/>
          <w:sz w:val="24"/>
          <w:szCs w:val="24"/>
        </w:rPr>
        <w:t>现场安全管理，坚决防范和遏制安全生产事故，明确</w:t>
      </w:r>
      <w:r>
        <w:rPr>
          <w:rFonts w:hint="eastAsia" w:ascii="宋体" w:hAnsi="宋体" w:eastAsia="宋体" w:cs="宋体"/>
          <w:sz w:val="24"/>
          <w:szCs w:val="24"/>
          <w:lang w:eastAsia="zh-CN"/>
        </w:rPr>
        <w:t>该项目</w:t>
      </w:r>
      <w:r>
        <w:rPr>
          <w:rFonts w:hint="eastAsia" w:ascii="宋体" w:hAnsi="宋体" w:eastAsia="宋体" w:cs="宋体"/>
          <w:sz w:val="24"/>
          <w:szCs w:val="24"/>
        </w:rPr>
        <w:t>安全主体责任，根据《中华人民共和国消防法》、《中华人民共和国民安全生产法》、《中华人民共和国民法典》</w:t>
      </w:r>
      <w:r>
        <w:rPr>
          <w:rFonts w:hint="eastAsia" w:ascii="宋体" w:hAnsi="宋体" w:eastAsia="宋体" w:cs="宋体"/>
          <w:sz w:val="24"/>
          <w:szCs w:val="24"/>
          <w:lang w:eastAsia="zh-CN"/>
        </w:rPr>
        <w:t>、《建设工程安全生产管理条例》</w:t>
      </w:r>
      <w:r>
        <w:rPr>
          <w:rFonts w:hint="eastAsia" w:ascii="宋体" w:hAnsi="宋体" w:eastAsia="宋体" w:cs="宋体"/>
          <w:sz w:val="24"/>
          <w:szCs w:val="24"/>
        </w:rPr>
        <w:t>等有关法律法规，双方本着平等、自愿原则，签订本协议书，双方应严格遵守并执行本协议书规定的责任、权力和义务。</w:t>
      </w:r>
    </w:p>
    <w:p w14:paraId="318D80D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项目</w:t>
      </w:r>
      <w:r>
        <w:rPr>
          <w:rFonts w:hint="eastAsia" w:ascii="宋体" w:hAnsi="宋体" w:eastAsia="宋体" w:cs="宋体"/>
          <w:sz w:val="24"/>
          <w:szCs w:val="24"/>
        </w:rPr>
        <w:t>名称：</w:t>
      </w:r>
    </w:p>
    <w:p w14:paraId="70F2818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项目</w:t>
      </w:r>
      <w:r>
        <w:rPr>
          <w:rFonts w:hint="eastAsia" w:ascii="宋体" w:hAnsi="宋体" w:eastAsia="宋体" w:cs="宋体"/>
          <w:sz w:val="24"/>
          <w:szCs w:val="24"/>
        </w:rPr>
        <w:t>地点： </w:t>
      </w:r>
    </w:p>
    <w:p w14:paraId="3EA5FEE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eastAsia="zh-CN"/>
        </w:rPr>
        <w:t>项目</w:t>
      </w:r>
      <w:r>
        <w:rPr>
          <w:rFonts w:hint="eastAsia" w:ascii="宋体" w:hAnsi="宋体" w:eastAsia="宋体" w:cs="宋体"/>
          <w:sz w:val="24"/>
          <w:szCs w:val="24"/>
        </w:rPr>
        <w:t>工期：</w:t>
      </w:r>
    </w:p>
    <w:p w14:paraId="7BCD947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四、说明</w:t>
      </w:r>
    </w:p>
    <w:p w14:paraId="24659C4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一</w:t>
      </w:r>
      <w:r>
        <w:rPr>
          <w:rFonts w:hint="eastAsia" w:ascii="宋体" w:hAnsi="宋体" w:eastAsia="宋体" w:cs="宋体"/>
          <w:sz w:val="24"/>
          <w:szCs w:val="24"/>
        </w:rPr>
        <w:t>）乙方指派【</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】为本</w:t>
      </w:r>
      <w:r>
        <w:rPr>
          <w:rFonts w:hint="eastAsia" w:ascii="宋体" w:hAnsi="宋体" w:eastAsia="宋体" w:cs="宋体"/>
          <w:sz w:val="24"/>
          <w:szCs w:val="24"/>
          <w:lang w:eastAsia="zh-CN"/>
        </w:rPr>
        <w:t>项目</w:t>
      </w:r>
      <w:r>
        <w:rPr>
          <w:rFonts w:hint="eastAsia" w:ascii="宋体" w:hAnsi="宋体" w:eastAsia="宋体" w:cs="宋体"/>
          <w:sz w:val="24"/>
          <w:szCs w:val="24"/>
        </w:rPr>
        <w:t>乙方项目负责人，身份证号：【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w:t>
      </w:r>
    </w:p>
    <w:p w14:paraId="57A4186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二</w:t>
      </w:r>
      <w:r>
        <w:rPr>
          <w:rFonts w:hint="eastAsia" w:ascii="宋体" w:hAnsi="宋体" w:eastAsia="宋体" w:cs="宋体"/>
          <w:sz w:val="24"/>
          <w:szCs w:val="24"/>
        </w:rPr>
        <w:t>）上述乙方项目负责人全权负责本</w:t>
      </w:r>
      <w:r>
        <w:rPr>
          <w:rFonts w:hint="eastAsia" w:ascii="宋体" w:hAnsi="宋体" w:eastAsia="宋体" w:cs="宋体"/>
          <w:sz w:val="24"/>
          <w:szCs w:val="24"/>
          <w:lang w:eastAsia="zh-CN"/>
        </w:rPr>
        <w:t>项目</w:t>
      </w:r>
      <w:r>
        <w:rPr>
          <w:rFonts w:hint="eastAsia" w:ascii="宋体" w:hAnsi="宋体" w:eastAsia="宋体" w:cs="宋体"/>
          <w:sz w:val="24"/>
          <w:szCs w:val="24"/>
        </w:rPr>
        <w:t>的安全管理工作，</w:t>
      </w:r>
      <w:r>
        <w:rPr>
          <w:rFonts w:hint="eastAsia" w:ascii="宋体" w:hAnsi="宋体" w:eastAsia="宋体" w:cs="宋体"/>
          <w:sz w:val="24"/>
          <w:szCs w:val="24"/>
          <w:lang w:eastAsia="zh-CN"/>
        </w:rPr>
        <w:t>如</w:t>
      </w:r>
      <w:r>
        <w:rPr>
          <w:rFonts w:hint="eastAsia" w:ascii="宋体" w:hAnsi="宋体" w:eastAsia="宋体" w:cs="宋体"/>
          <w:sz w:val="24"/>
          <w:szCs w:val="24"/>
        </w:rPr>
        <w:t>人员发生变更，</w:t>
      </w:r>
      <w:r>
        <w:rPr>
          <w:rFonts w:hint="eastAsia" w:ascii="宋体" w:hAnsi="宋体" w:eastAsia="宋体" w:cs="宋体"/>
          <w:sz w:val="24"/>
          <w:szCs w:val="24"/>
          <w:lang w:eastAsia="zh-CN"/>
        </w:rPr>
        <w:t>乙方</w:t>
      </w:r>
      <w:r>
        <w:rPr>
          <w:rFonts w:hint="eastAsia" w:ascii="宋体" w:hAnsi="宋体" w:eastAsia="宋体" w:cs="宋体"/>
          <w:sz w:val="24"/>
          <w:szCs w:val="24"/>
        </w:rPr>
        <w:t>应及时</w:t>
      </w:r>
      <w:r>
        <w:rPr>
          <w:rFonts w:hint="eastAsia" w:ascii="宋体" w:hAnsi="宋体" w:eastAsia="宋体" w:cs="宋体"/>
          <w:sz w:val="24"/>
          <w:szCs w:val="24"/>
          <w:lang w:eastAsia="zh-CN"/>
        </w:rPr>
        <w:t>向甲方</w:t>
      </w:r>
      <w:r>
        <w:rPr>
          <w:rFonts w:hint="eastAsia" w:ascii="宋体" w:hAnsi="宋体" w:eastAsia="宋体" w:cs="宋体"/>
          <w:sz w:val="24"/>
          <w:szCs w:val="24"/>
        </w:rPr>
        <w:t>沟通，并进行书面记录变更后生效。</w:t>
      </w:r>
    </w:p>
    <w:p w14:paraId="58EFDBD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三</w:t>
      </w:r>
      <w:r>
        <w:rPr>
          <w:rFonts w:hint="eastAsia" w:ascii="宋体" w:hAnsi="宋体" w:eastAsia="宋体" w:cs="宋体"/>
          <w:sz w:val="24"/>
          <w:szCs w:val="24"/>
        </w:rPr>
        <w:t>）甲乙双方应根据本协议要求，分别认真做好各自的安全管理工作，最大限度减少和杜绝各类伤亡事故的发生。</w:t>
      </w:r>
    </w:p>
    <w:p w14:paraId="79CEB20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）甲乙双方在履行法律法规要求的安全职责过程中，需要合作共同完成的工作，必须严格按照协议约定的工作程序执行，确保法律法规要求的安全职责得到落实。</w:t>
      </w:r>
    </w:p>
    <w:p w14:paraId="458A83C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）依据国家、地方的法律法规及本协议内容，在</w:t>
      </w:r>
      <w:r>
        <w:rPr>
          <w:rFonts w:hint="eastAsia" w:ascii="宋体" w:hAnsi="宋体" w:eastAsia="宋体" w:cs="宋体"/>
          <w:sz w:val="24"/>
          <w:szCs w:val="24"/>
          <w:lang w:eastAsia="zh-CN"/>
        </w:rPr>
        <w:t>项目施工</w:t>
      </w:r>
      <w:r>
        <w:rPr>
          <w:rFonts w:hint="eastAsia" w:ascii="宋体" w:hAnsi="宋体" w:eastAsia="宋体" w:cs="宋体"/>
          <w:sz w:val="24"/>
          <w:szCs w:val="24"/>
        </w:rPr>
        <w:t>过程中留存的书面记录，将作为双方履行各自安全职责的主要证据。</w:t>
      </w:r>
    </w:p>
    <w:p w14:paraId="0EA50D9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五、甲方权利和义务</w:t>
      </w:r>
    </w:p>
    <w:p w14:paraId="1E69DDB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（一）甲方以书面形式告知乙方本</w:t>
      </w:r>
      <w:r>
        <w:rPr>
          <w:rFonts w:hint="eastAsia" w:ascii="宋体" w:hAnsi="宋体" w:eastAsia="宋体" w:cs="宋体"/>
          <w:sz w:val="24"/>
          <w:szCs w:val="24"/>
          <w:lang w:eastAsia="zh-CN"/>
        </w:rPr>
        <w:t>项目</w:t>
      </w:r>
      <w:r>
        <w:rPr>
          <w:rFonts w:hint="eastAsia" w:ascii="宋体" w:hAnsi="宋体" w:eastAsia="宋体" w:cs="宋体"/>
          <w:sz w:val="24"/>
          <w:szCs w:val="24"/>
        </w:rPr>
        <w:t>所涉及的安全生产规章制度，有权要求乙方提供并完善建立与</w:t>
      </w:r>
      <w:r>
        <w:rPr>
          <w:rFonts w:hint="eastAsia" w:ascii="宋体" w:hAnsi="宋体" w:eastAsia="宋体" w:cs="宋体"/>
          <w:sz w:val="24"/>
          <w:szCs w:val="24"/>
          <w:lang w:eastAsia="zh-CN"/>
        </w:rPr>
        <w:t>该项目作业</w:t>
      </w:r>
      <w:r>
        <w:rPr>
          <w:rFonts w:hint="eastAsia" w:ascii="宋体" w:hAnsi="宋体" w:eastAsia="宋体" w:cs="宋体"/>
          <w:sz w:val="24"/>
          <w:szCs w:val="24"/>
        </w:rPr>
        <w:t>相关的安全规章制度、技术文件和有关资料。</w:t>
      </w:r>
    </w:p>
    <w:p w14:paraId="1544FB2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二</w:t>
      </w:r>
      <w:r>
        <w:rPr>
          <w:rFonts w:hint="eastAsia" w:ascii="宋体" w:hAnsi="宋体" w:eastAsia="宋体" w:cs="宋体"/>
          <w:sz w:val="24"/>
          <w:szCs w:val="24"/>
        </w:rPr>
        <w:t>）甲方有权要求乙方必</w:t>
      </w:r>
      <w:r>
        <w:rPr>
          <w:rFonts w:hint="eastAsia" w:ascii="宋体" w:hAnsi="宋体" w:eastAsia="宋体" w:cs="宋体"/>
          <w:sz w:val="24"/>
          <w:szCs w:val="24"/>
          <w:lang w:eastAsia="zh-CN"/>
        </w:rPr>
        <w:t>须</w:t>
      </w:r>
      <w:r>
        <w:rPr>
          <w:rFonts w:hint="eastAsia" w:ascii="宋体" w:hAnsi="宋体" w:eastAsia="宋体" w:cs="宋体"/>
          <w:sz w:val="24"/>
          <w:szCs w:val="24"/>
        </w:rPr>
        <w:t>严格遵守安全生产法律、法规、标准、安全生产规章制度和操作规程，熟练掌握事故防范措施和事故应急处理预案。</w:t>
      </w:r>
    </w:p>
    <w:p w14:paraId="0F7CBDB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三</w:t>
      </w:r>
      <w:r>
        <w:rPr>
          <w:rFonts w:hint="eastAsia" w:ascii="宋体" w:hAnsi="宋体" w:eastAsia="宋体" w:cs="宋体"/>
          <w:sz w:val="24"/>
          <w:szCs w:val="24"/>
        </w:rPr>
        <w:t>）甲方应设立专门安全管理机构和人员，组织协调</w:t>
      </w:r>
      <w:r>
        <w:rPr>
          <w:rFonts w:hint="eastAsia" w:ascii="宋体" w:hAnsi="宋体" w:eastAsia="宋体" w:cs="宋体"/>
          <w:sz w:val="24"/>
          <w:szCs w:val="24"/>
          <w:lang w:eastAsia="zh-CN"/>
        </w:rPr>
        <w:t>该项目</w:t>
      </w:r>
      <w:r>
        <w:rPr>
          <w:rFonts w:hint="eastAsia" w:ascii="宋体" w:hAnsi="宋体" w:eastAsia="宋体" w:cs="宋体"/>
          <w:sz w:val="24"/>
          <w:szCs w:val="24"/>
        </w:rPr>
        <w:t>现场管理工作。配合乙方做好公共区域的安保、环境卫生、施工人员车辆出入、危险作业审批、临时物料场地选址、临时施工用水、用电的接洽工作以及协助做好由施工引发纠纷的调解工作。</w:t>
      </w:r>
    </w:p>
    <w:p w14:paraId="2FF51DC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lang w:eastAsia="zh-CN"/>
        </w:rPr>
      </w:pPr>
      <w:r>
        <w:rPr>
          <w:rFonts w:hint="eastAsia" w:ascii="宋体" w:hAnsi="宋体" w:eastAsia="宋体" w:cs="宋体"/>
          <w:sz w:val="24"/>
          <w:szCs w:val="24"/>
        </w:rPr>
        <w:t>（四）甲方应告知乙方</w:t>
      </w:r>
      <w:r>
        <w:rPr>
          <w:rFonts w:hint="eastAsia" w:ascii="宋体" w:hAnsi="宋体" w:eastAsia="宋体" w:cs="宋体"/>
          <w:sz w:val="24"/>
          <w:szCs w:val="24"/>
          <w:lang w:eastAsia="zh-CN"/>
        </w:rPr>
        <w:t>项目</w:t>
      </w:r>
      <w:r>
        <w:rPr>
          <w:rFonts w:hint="eastAsia" w:ascii="宋体" w:hAnsi="宋体" w:eastAsia="宋体" w:cs="宋体"/>
          <w:sz w:val="24"/>
          <w:szCs w:val="24"/>
        </w:rPr>
        <w:t>施工的禁止行为和相关注意事项。</w:t>
      </w:r>
    </w:p>
    <w:p w14:paraId="3B643E2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甲方有权检查乙方施工现场的各种安全措施的落实情况，有权制止乙方施工人员违章指挥和违章作业行为，有权对于检查发现隐患要求乙方予以整改，并监督乙方整改落实情况。有权对乙方重大违章行为责令其停工整顿，有权对乙方违法行为进行举报。</w:t>
      </w:r>
    </w:p>
    <w:p w14:paraId="0E059C6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）甲方有义务对乙方提出的安全生产要求积极提供帮助，有义务在乙方发生生产安全事故时提供协助救援服务。</w:t>
      </w:r>
    </w:p>
    <w:p w14:paraId="0058706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六、乙方权利和义务</w:t>
      </w:r>
    </w:p>
    <w:p w14:paraId="1D3BC11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（一）施工安全管理</w:t>
      </w:r>
    </w:p>
    <w:p w14:paraId="11EE53B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1、乙方应遵守并贯彻执行国家法律、法规、标准规定的</w:t>
      </w:r>
      <w:r>
        <w:rPr>
          <w:rFonts w:hint="eastAsia" w:ascii="宋体" w:hAnsi="宋体" w:eastAsia="宋体" w:cs="宋体"/>
          <w:sz w:val="24"/>
          <w:szCs w:val="24"/>
          <w:lang w:eastAsia="zh-CN"/>
        </w:rPr>
        <w:t>项目</w:t>
      </w:r>
      <w:r>
        <w:rPr>
          <w:rFonts w:hint="eastAsia" w:ascii="宋体" w:hAnsi="宋体" w:eastAsia="宋体" w:cs="宋体"/>
          <w:sz w:val="24"/>
          <w:szCs w:val="24"/>
        </w:rPr>
        <w:t>施工安全和规范要求，所从事的</w:t>
      </w:r>
      <w:r>
        <w:rPr>
          <w:rFonts w:hint="eastAsia" w:ascii="宋体" w:hAnsi="宋体" w:eastAsia="宋体" w:cs="宋体"/>
          <w:sz w:val="24"/>
          <w:szCs w:val="24"/>
          <w:lang w:eastAsia="zh-CN"/>
        </w:rPr>
        <w:t>项目</w:t>
      </w:r>
      <w:r>
        <w:rPr>
          <w:rFonts w:hint="eastAsia" w:ascii="宋体" w:hAnsi="宋体" w:eastAsia="宋体" w:cs="宋体"/>
          <w:sz w:val="24"/>
          <w:szCs w:val="24"/>
        </w:rPr>
        <w:t>施工应当具备国家规定的注册资本、专业技术人员、技术装备和安全生产等条件，依法取得相应等级的资质证书，承揽资质等级许可范围内的</w:t>
      </w:r>
      <w:r>
        <w:rPr>
          <w:rFonts w:hint="eastAsia" w:ascii="宋体" w:hAnsi="宋体" w:eastAsia="宋体" w:cs="宋体"/>
          <w:sz w:val="24"/>
          <w:szCs w:val="24"/>
          <w:lang w:eastAsia="zh-CN"/>
        </w:rPr>
        <w:t>项目</w:t>
      </w:r>
      <w:r>
        <w:rPr>
          <w:rFonts w:hint="eastAsia" w:ascii="宋体" w:hAnsi="宋体" w:eastAsia="宋体" w:cs="宋体"/>
          <w:sz w:val="24"/>
          <w:szCs w:val="24"/>
        </w:rPr>
        <w:t>。</w:t>
      </w:r>
    </w:p>
    <w:p w14:paraId="0D76CBB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2、乙方接受甲方的施工资质审查，所提供的资料应真实、合法、有效，遵守并服从甲方的安全生产管理制度和规定，有权拒绝甲方违反安全生产法规的指令。</w:t>
      </w:r>
    </w:p>
    <w:p w14:paraId="4A88691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3、乙方依法将</w:t>
      </w:r>
      <w:r>
        <w:rPr>
          <w:rFonts w:hint="eastAsia" w:ascii="宋体" w:hAnsi="宋体" w:eastAsia="宋体" w:cs="宋体"/>
          <w:sz w:val="24"/>
          <w:szCs w:val="24"/>
          <w:lang w:eastAsia="zh-CN"/>
        </w:rPr>
        <w:t>项目</w:t>
      </w:r>
      <w:r>
        <w:rPr>
          <w:rFonts w:hint="eastAsia" w:ascii="宋体" w:hAnsi="宋体" w:eastAsia="宋体" w:cs="宋体"/>
          <w:sz w:val="24"/>
          <w:szCs w:val="24"/>
        </w:rPr>
        <w:t>分包给其他施工单位的，分包合同中应当明确各自的安全生产方面的权利、义务，乙方和分包单位对分包</w:t>
      </w:r>
      <w:r>
        <w:rPr>
          <w:rFonts w:hint="eastAsia" w:ascii="宋体" w:hAnsi="宋体" w:eastAsia="宋体" w:cs="宋体"/>
          <w:sz w:val="24"/>
          <w:szCs w:val="24"/>
          <w:lang w:eastAsia="zh-CN"/>
        </w:rPr>
        <w:t>项目</w:t>
      </w:r>
      <w:r>
        <w:rPr>
          <w:rFonts w:hint="eastAsia" w:ascii="宋体" w:hAnsi="宋体" w:eastAsia="宋体" w:cs="宋体"/>
          <w:sz w:val="24"/>
          <w:szCs w:val="24"/>
        </w:rPr>
        <w:t>的安全生产承担连带责任。</w:t>
      </w:r>
    </w:p>
    <w:p w14:paraId="16A4EEE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4、乙方应当在施工组织设计中编制安全技术措施和施工现场临时用火、用电、用气方案，对危险性较大的分部分项工程编制专项施工方案，达到国家规定规模标准的应当通过专家论证。</w:t>
      </w:r>
    </w:p>
    <w:p w14:paraId="28EFB73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5、乙方必须建立安全生产规章制度、安全生产责任制和操作规程，熟练掌握事故防范措施和事故应急处理预案。确定现场安全负责人和安全管理人员，明确安全管理职责。作业人员必须经过安全技术培训，取得相应的资格证书，作业前进行安全教育、培训和作业安全技术交底，作业时严格遵守操作规程，禁止违章作业。</w:t>
      </w:r>
    </w:p>
    <w:p w14:paraId="0DBD404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6、乙方的安全防护用具、机械设备、机具、配件及材料等应符合安全技术规范、质量和环保要求。特种设备具有特种设备安全检测机构出具的有效的检测合格证书或审批手续，在施工前进行安全查验，并督促作业人员严守操作规程、正确使用。</w:t>
      </w:r>
    </w:p>
    <w:p w14:paraId="2B938D1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7、乙方使用甲方提供的安全防护设施设备需办理相关手续，并负责使用期间的安全维护，对在使用期间由于使用或管理不善造成的生产安全事故负责。</w:t>
      </w:r>
    </w:p>
    <w:p w14:paraId="6AFCA48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8、乙方应在施工作业现场设置围挡，封闭作业区域，设置安全警示标识或告知牌。占道作业的，在作业区域设置交通安全设施。夜间施工的，在作业区域设置警示灯，人员穿着高可视警示服。</w:t>
      </w:r>
    </w:p>
    <w:p w14:paraId="34BF3B7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9、乙方应对施工区域进行安全检查，落实施工区域隐患排查、治理和防控的主体责任，对检查中存在的安全问题应立即落实整改。施工区域存在安全隐患而导致无法施工时，由甲乙方共同协商，隐患未除，禁止施工。</w:t>
      </w:r>
    </w:p>
    <w:p w14:paraId="6A44063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10、发生安全生产事故，应立即组织救援，及时如实向甲方报告。因乙方原因导致设施设备损毁、人员伤亡时，由乙方承担事故责任和经济责任。</w:t>
      </w:r>
    </w:p>
    <w:p w14:paraId="1F32930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（二）治安保卫</w:t>
      </w:r>
    </w:p>
    <w:p w14:paraId="05DE02C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1、乙方对</w:t>
      </w:r>
      <w:r>
        <w:rPr>
          <w:rFonts w:hint="eastAsia" w:ascii="宋体" w:hAnsi="宋体" w:eastAsia="宋体" w:cs="宋体"/>
          <w:sz w:val="24"/>
          <w:szCs w:val="24"/>
          <w:lang w:eastAsia="zh-CN"/>
        </w:rPr>
        <w:t>项目</w:t>
      </w:r>
      <w:r>
        <w:rPr>
          <w:rFonts w:hint="eastAsia" w:ascii="宋体" w:hAnsi="宋体" w:eastAsia="宋体" w:cs="宋体"/>
          <w:sz w:val="24"/>
          <w:szCs w:val="24"/>
        </w:rPr>
        <w:t>施工现场的治安安全负责。</w:t>
      </w:r>
    </w:p>
    <w:p w14:paraId="62E0235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2、根据</w:t>
      </w:r>
      <w:r>
        <w:rPr>
          <w:rFonts w:hint="eastAsia" w:ascii="宋体" w:hAnsi="宋体" w:eastAsia="宋体" w:cs="宋体"/>
          <w:sz w:val="24"/>
          <w:szCs w:val="24"/>
          <w:lang w:eastAsia="zh-CN"/>
        </w:rPr>
        <w:t>项目</w:t>
      </w:r>
      <w:r>
        <w:rPr>
          <w:rFonts w:hint="eastAsia" w:ascii="宋体" w:hAnsi="宋体" w:eastAsia="宋体" w:cs="宋体"/>
          <w:sz w:val="24"/>
          <w:szCs w:val="24"/>
        </w:rPr>
        <w:t>施工现场情况，制定施工区域安全保卫工作计划，明确责任、突出重点、强化措施、落实到人。</w:t>
      </w:r>
    </w:p>
    <w:p w14:paraId="46C49A5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3、乙方应严把施工作业人员政审关，对进场施工人员登记造册备查。</w:t>
      </w:r>
    </w:p>
    <w:p w14:paraId="06EC9EB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4、乙方应加强入场人员思想、职业、法制教育和管理，文明施工，及时妥善解决由</w:t>
      </w:r>
      <w:r>
        <w:rPr>
          <w:rFonts w:hint="eastAsia" w:ascii="宋体" w:hAnsi="宋体" w:eastAsia="宋体" w:cs="宋体"/>
          <w:sz w:val="24"/>
          <w:szCs w:val="24"/>
          <w:lang w:eastAsia="zh-CN"/>
        </w:rPr>
        <w:t>项目</w:t>
      </w:r>
      <w:r>
        <w:rPr>
          <w:rFonts w:hint="eastAsia" w:ascii="宋体" w:hAnsi="宋体" w:eastAsia="宋体" w:cs="宋体"/>
          <w:sz w:val="24"/>
          <w:szCs w:val="24"/>
        </w:rPr>
        <w:t>施工所引发的各种纠纷，杜绝施工期间发生盗窃、赌博、色情、寻衅滋事、打架斗殴等违规、违法犯罪事件的发生。</w:t>
      </w:r>
    </w:p>
    <w:p w14:paraId="172970A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5、乙方应加强施工现场的巡视检查，及时发现和消除安全隐患。阻止与施工无关的人员进入施工现场，施工人员未经允许不得进入非施工区域。</w:t>
      </w:r>
    </w:p>
    <w:p w14:paraId="0F33523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6、乙方严格遵守并执行甲方的各项安全管理规定。</w:t>
      </w:r>
    </w:p>
    <w:p w14:paraId="651F231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（三）职业病危害预防</w:t>
      </w:r>
    </w:p>
    <w:p w14:paraId="1C4DCB0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1、乙方应对</w:t>
      </w:r>
      <w:r>
        <w:rPr>
          <w:rFonts w:hint="eastAsia" w:ascii="宋体" w:hAnsi="宋体" w:eastAsia="宋体" w:cs="宋体"/>
          <w:sz w:val="24"/>
          <w:szCs w:val="24"/>
          <w:lang w:eastAsia="zh-CN"/>
        </w:rPr>
        <w:t>项目</w:t>
      </w:r>
      <w:r>
        <w:rPr>
          <w:rFonts w:hint="eastAsia" w:ascii="宋体" w:hAnsi="宋体" w:eastAsia="宋体" w:cs="宋体"/>
          <w:sz w:val="24"/>
          <w:szCs w:val="24"/>
        </w:rPr>
        <w:t>施工人员因施工产生的职业病危害、工伤、死亡等事故承担全部责任。</w:t>
      </w:r>
    </w:p>
    <w:p w14:paraId="2CDFC8C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2、乙方应严格按照GB/T 13861—2022《生产过程危险和有害因素分类与代码》以及国家法律法规规定的相关职业病危害预防，将</w:t>
      </w:r>
      <w:r>
        <w:rPr>
          <w:rFonts w:hint="eastAsia" w:ascii="宋体" w:hAnsi="宋体" w:eastAsia="宋体" w:cs="宋体"/>
          <w:sz w:val="24"/>
          <w:szCs w:val="24"/>
          <w:lang w:eastAsia="zh-CN"/>
        </w:rPr>
        <w:t>项目</w:t>
      </w:r>
      <w:r>
        <w:rPr>
          <w:rFonts w:hint="eastAsia" w:ascii="宋体" w:hAnsi="宋体" w:eastAsia="宋体" w:cs="宋体"/>
          <w:sz w:val="24"/>
          <w:szCs w:val="24"/>
        </w:rPr>
        <w:t>施工全过程中的危险、有害因素和伤亡事故进行辨识和分析，有效预防、控制，保障从业人员健康和相关权益。</w:t>
      </w:r>
    </w:p>
    <w:p w14:paraId="16AEA38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3、乙方应为本单位从业人员投保意外伤害保险，密切关注施工过程中作业人员的心理和身体健康状态，禁止作业人员带病上岗作业。</w:t>
      </w:r>
    </w:p>
    <w:p w14:paraId="1FF1504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（四）施工车辆管理</w:t>
      </w:r>
    </w:p>
    <w:p w14:paraId="5085EEC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1、乙方对</w:t>
      </w:r>
      <w:r>
        <w:rPr>
          <w:rFonts w:hint="eastAsia" w:ascii="宋体" w:hAnsi="宋体" w:eastAsia="宋体" w:cs="宋体"/>
          <w:sz w:val="24"/>
          <w:szCs w:val="24"/>
          <w:lang w:eastAsia="zh-CN"/>
        </w:rPr>
        <w:t>项目</w:t>
      </w:r>
      <w:r>
        <w:rPr>
          <w:rFonts w:hint="eastAsia" w:ascii="宋体" w:hAnsi="宋体" w:eastAsia="宋体" w:cs="宋体"/>
          <w:sz w:val="24"/>
          <w:szCs w:val="24"/>
        </w:rPr>
        <w:t>施工现场工程车辆、电动车辆的安全管理工作负责。</w:t>
      </w:r>
    </w:p>
    <w:p w14:paraId="57B36B6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2、乙方应严格遵守《中华人民共和国道路交通安全法》和甲方的《车辆出入管理规定》。</w:t>
      </w:r>
    </w:p>
    <w:p w14:paraId="134D5FD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3、乙方保证交通法规培训教育到位，工程车辆车况完好，特种车辆符合特有的安全条件和操作规程要求。</w:t>
      </w:r>
    </w:p>
    <w:p w14:paraId="56713EF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（五）环境卫生管理</w:t>
      </w:r>
    </w:p>
    <w:p w14:paraId="1269ADE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1、乙方对施工现场的环境卫生全面负责。</w:t>
      </w:r>
    </w:p>
    <w:p w14:paraId="75EAEC7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2、乙方应严格遵守甲方的施工作业时间，施工现场采取有效措施，防止或者减少粉尘、废气、废水、固体废物、噪声、振动和施工照明对人和环境的危害和污染。</w:t>
      </w:r>
    </w:p>
    <w:p w14:paraId="11D09BC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3、乙方应将施工物料按照指定位置分类码放，整齐有序，易产生扬尘的物料应全部蓬盖，不得堵塞消防通道，不得妨碍消防设施的使用，不得影响消防安全。</w:t>
      </w:r>
    </w:p>
    <w:p w14:paraId="601B8C3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4、乙方应将建筑垃圾按照指定位置分类存放，及时处置。收集运输、装卸时应采取封闭或其他防护措施，建筑垃圾的消纳和运输按照本市有关垃圾管理的规定处理。</w:t>
      </w:r>
    </w:p>
    <w:p w14:paraId="3C0616F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5、乙方应严格执行国家法律法规规定的环境卫生有关规定。</w:t>
      </w:r>
    </w:p>
    <w:p w14:paraId="2D79A2C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（六）消防安全</w:t>
      </w:r>
    </w:p>
    <w:p w14:paraId="622C805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1、乙方对</w:t>
      </w:r>
      <w:r>
        <w:rPr>
          <w:rFonts w:hint="eastAsia" w:ascii="宋体" w:hAnsi="宋体" w:eastAsia="宋体" w:cs="宋体"/>
          <w:sz w:val="24"/>
          <w:szCs w:val="24"/>
          <w:lang w:eastAsia="zh-CN"/>
        </w:rPr>
        <w:t>项目</w:t>
      </w:r>
      <w:r>
        <w:rPr>
          <w:rFonts w:hint="eastAsia" w:ascii="宋体" w:hAnsi="宋体" w:eastAsia="宋体" w:cs="宋体"/>
          <w:sz w:val="24"/>
          <w:szCs w:val="24"/>
        </w:rPr>
        <w:t>施工现场的消防安全管理负责。</w:t>
      </w:r>
    </w:p>
    <w:p w14:paraId="2B0AD44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2、乙方应严格落实国家法律法规规定的施工消防安全，履行消防责任和义务。</w:t>
      </w:r>
    </w:p>
    <w:p w14:paraId="11F2B7E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3、乙方应加强消防安全风险动态管控，施工前识别、分析施工现场存在的可能引起火灾事故的各类风险源，编制施工现场防火技术方案和灭火及应急疏散预案，根据现场情况变化及时修改、完善。</w:t>
      </w:r>
    </w:p>
    <w:p w14:paraId="1738D0C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4、乙方应制订消防安全管理制度，建立消防安全管理组织机构及义务消防组织，确定现场消防安全负责人和消防安全管理人员，落实相关人员的消防安全管理责任。</w:t>
      </w:r>
    </w:p>
    <w:p w14:paraId="6811808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5、乙方应按规定配备消防设施和灭火器材，放置在明显便于取用的部位，确保消防设施和器材完好、有效。</w:t>
      </w:r>
    </w:p>
    <w:p w14:paraId="6771C4B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6、乙方应向现场</w:t>
      </w:r>
      <w:r>
        <w:rPr>
          <w:rFonts w:hint="eastAsia" w:ascii="宋体" w:hAnsi="宋体" w:eastAsia="宋体" w:cs="宋体"/>
          <w:sz w:val="24"/>
          <w:szCs w:val="24"/>
          <w:lang w:eastAsia="zh-CN"/>
        </w:rPr>
        <w:t>项目</w:t>
      </w:r>
      <w:r>
        <w:rPr>
          <w:rFonts w:hint="eastAsia" w:ascii="宋体" w:hAnsi="宋体" w:eastAsia="宋体" w:cs="宋体"/>
          <w:sz w:val="24"/>
          <w:szCs w:val="24"/>
        </w:rPr>
        <w:t>施工人员进行作业前的消防安全教育、培训和安全技术交底，依据灭火及应急疏散预案组织开展演练。</w:t>
      </w:r>
    </w:p>
    <w:p w14:paraId="4589C1E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7、乙方应对施工现场进行消防安全检查，对火灾隐患迅速整改落实，严防各类火灾事故的发生。</w:t>
      </w:r>
    </w:p>
    <w:p w14:paraId="68BAB42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8、乙方应建立并保存现场消防安全管理的相关文件和记录档案。</w:t>
      </w:r>
    </w:p>
    <w:p w14:paraId="2616788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（七）动火作业</w:t>
      </w:r>
    </w:p>
    <w:p w14:paraId="2F903DA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1、乙方对</w:t>
      </w:r>
      <w:r>
        <w:rPr>
          <w:rFonts w:hint="eastAsia" w:ascii="宋体" w:hAnsi="宋体" w:eastAsia="宋体" w:cs="宋体"/>
          <w:sz w:val="24"/>
          <w:szCs w:val="24"/>
          <w:lang w:eastAsia="zh-CN"/>
        </w:rPr>
        <w:t>项目</w:t>
      </w:r>
      <w:r>
        <w:rPr>
          <w:rFonts w:hint="eastAsia" w:ascii="宋体" w:hAnsi="宋体" w:eastAsia="宋体" w:cs="宋体"/>
          <w:sz w:val="24"/>
          <w:szCs w:val="24"/>
        </w:rPr>
        <w:t>施工现场动火作业的安全负责。</w:t>
      </w:r>
    </w:p>
    <w:p w14:paraId="5A386AC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2、乙方应严格落实国家法律法规规定的动火作业安全有关规定。</w:t>
      </w:r>
    </w:p>
    <w:p w14:paraId="098A0A2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3、乙方动火作业应严格执行作业审批，在动火作业前，制定动火计划，必须办理“动火许可证”。动火许可证应清楚地标明动火等级、动火有效期、申请办证单位、动火详细位置、工作内容、动火方式、防火安全措施等。</w:t>
      </w:r>
    </w:p>
    <w:p w14:paraId="408983A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4、乙方应在动火作业前，安排专人对动火现场周边进行可燃物清理，确认动火现场无可燃物及火灾隐患。对现场动火作业人员进行消防安全教育、培训和动火作业安全技术交底，动火作业人员应具有操作资格。</w:t>
      </w:r>
    </w:p>
    <w:p w14:paraId="0B480D0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5、乙方应在动火区域备足灭火器材和灭火用水，高处作业要配备防火安全带和接火斗。</w:t>
      </w:r>
    </w:p>
    <w:p w14:paraId="42C0BDB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6、乙方应落实旁站看护制度，确保各项防护措施落实到位，遇节假日、重大活动保障期间提级管理，实行“双看火”制度，看火人员具备看火能力以及消防四个能力要求。</w:t>
      </w:r>
    </w:p>
    <w:p w14:paraId="4F23B03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7、遇大风蓝色及以上预警天气时，严禁焊接、切割等室外动火作业。具有火灾、爆炸危险的场所严禁使用明火。</w:t>
      </w:r>
    </w:p>
    <w:p w14:paraId="1F9DDD9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8、乙方应在动火作业后对现场进行清理、检查，确认动火后残留的可燃物等清理干净，无火灾隐患危险。在动火作业结束后应再次前往作业地点进行复查。</w:t>
      </w:r>
    </w:p>
    <w:p w14:paraId="0F24C91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（八）用电安全</w:t>
      </w:r>
    </w:p>
    <w:p w14:paraId="07F9991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1、乙方对</w:t>
      </w:r>
      <w:r>
        <w:rPr>
          <w:rFonts w:hint="eastAsia" w:ascii="宋体" w:hAnsi="宋体" w:eastAsia="宋体" w:cs="宋体"/>
          <w:sz w:val="24"/>
          <w:szCs w:val="24"/>
          <w:lang w:eastAsia="zh-CN"/>
        </w:rPr>
        <w:t>项目</w:t>
      </w:r>
      <w:r>
        <w:rPr>
          <w:rFonts w:hint="eastAsia" w:ascii="宋体" w:hAnsi="宋体" w:eastAsia="宋体" w:cs="宋体"/>
          <w:sz w:val="24"/>
          <w:szCs w:val="24"/>
        </w:rPr>
        <w:t>施工现场的用电安全负责。</w:t>
      </w:r>
    </w:p>
    <w:p w14:paraId="6A8CFA0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2、乙方施工现场供用电设施的设计、施工、运行、维护及拆除，应严格按照中华人民共和国国家标准GB50194-2014《建设工程施工现场供电安全规范》</w:t>
      </w:r>
      <w:r>
        <w:rPr>
          <w:rFonts w:hint="eastAsia" w:ascii="宋体" w:hAnsi="宋体" w:eastAsia="宋体" w:cs="宋体"/>
          <w:sz w:val="24"/>
          <w:szCs w:val="24"/>
          <w:lang w:eastAsia="zh-CN"/>
        </w:rPr>
        <w:t>、</w:t>
      </w:r>
      <w:r>
        <w:rPr>
          <w:rFonts w:hint="eastAsia" w:ascii="宋体" w:hAnsi="宋体" w:eastAsia="宋体" w:cs="宋体"/>
          <w:i w:val="0"/>
          <w:iCs w:val="0"/>
          <w:caps w:val="0"/>
          <w:color w:val="000000"/>
          <w:spacing w:val="0"/>
          <w:sz w:val="24"/>
          <w:szCs w:val="24"/>
          <w:shd w:val="clear" w:fill="FFFFFF"/>
        </w:rPr>
        <w:t>《建筑与市政工程施工现场临时用电安全技术标准》为行业标准，编号为JGJ/T46-2024</w:t>
      </w:r>
      <w:r>
        <w:rPr>
          <w:rFonts w:hint="eastAsia" w:ascii="宋体" w:hAnsi="宋体" w:eastAsia="宋体" w:cs="宋体"/>
          <w:sz w:val="24"/>
          <w:szCs w:val="24"/>
        </w:rPr>
        <w:t>执行，还应符合国家现行有关标准规定。</w:t>
      </w:r>
    </w:p>
    <w:p w14:paraId="2D2AFA9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3、乙方临时用电应严格执行作业审批，临时用电220/380V三相五线制低电压电力系统必须符合“三级配电系统 - TN-S接零保护系统 – 三级漏电保护系统，配备总配电箱 – 二级分配电箱  - 三级配电开关箱系统”，使用前应检查电气装置和保护装置的可靠性。</w:t>
      </w:r>
    </w:p>
    <w:p w14:paraId="0200718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4、乙方临时用电设备和线路应按供电电压等级和容量正确使用，所用的电器元件应符合国家规定的相关产品要求，禁止使用不合格、绝缘老化或失去绝缘性能的电气线路和国家明令禁止淘汰使用的电器产品。</w:t>
      </w:r>
    </w:p>
    <w:p w14:paraId="28870C8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5、乙方配电箱或开关箱应有名称、用途、编号、分路标识及系统接线图，箱内排列整齐，绑扎成束。配置门锁，专人负责，并设有防水、防尘、危险标志、围栏等措施装置。</w:t>
      </w:r>
    </w:p>
    <w:p w14:paraId="38F855D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6、乙方应为电工作业人员提供试验合格的电工工具和防护用具。</w:t>
      </w:r>
    </w:p>
    <w:p w14:paraId="34A0145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7、乙方应配置适用于扑灭电气火灾的消防器材。</w:t>
      </w:r>
    </w:p>
    <w:p w14:paraId="23A3682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（九）高处作业</w:t>
      </w:r>
    </w:p>
    <w:p w14:paraId="338D133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1、乙方对</w:t>
      </w:r>
      <w:r>
        <w:rPr>
          <w:rFonts w:hint="eastAsia" w:ascii="宋体" w:hAnsi="宋体" w:eastAsia="宋体" w:cs="宋体"/>
          <w:sz w:val="24"/>
          <w:szCs w:val="24"/>
          <w:lang w:eastAsia="zh-CN"/>
        </w:rPr>
        <w:t>项目</w:t>
      </w:r>
      <w:r>
        <w:rPr>
          <w:rFonts w:hint="eastAsia" w:ascii="宋体" w:hAnsi="宋体" w:eastAsia="宋体" w:cs="宋体"/>
          <w:sz w:val="24"/>
          <w:szCs w:val="24"/>
        </w:rPr>
        <w:t>施工现场高处作业的安全负责。</w:t>
      </w:r>
    </w:p>
    <w:p w14:paraId="350B891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2、乙方应严格执行中华人民共和国住房和城乡建设部《建筑施工高处作业安全技术规范》，还应符合国家高处作业有关法律法规的规定。</w:t>
      </w:r>
    </w:p>
    <w:p w14:paraId="0B7DFFD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3、乙方应在施工前结合</w:t>
      </w:r>
      <w:r>
        <w:rPr>
          <w:rFonts w:hint="eastAsia" w:ascii="宋体" w:hAnsi="宋体" w:eastAsia="宋体" w:cs="宋体"/>
          <w:sz w:val="24"/>
          <w:szCs w:val="24"/>
          <w:lang w:eastAsia="zh-CN"/>
        </w:rPr>
        <w:t>项目</w:t>
      </w:r>
      <w:r>
        <w:rPr>
          <w:rFonts w:hint="eastAsia" w:ascii="宋体" w:hAnsi="宋体" w:eastAsia="宋体" w:cs="宋体"/>
          <w:sz w:val="24"/>
          <w:szCs w:val="24"/>
        </w:rPr>
        <w:t>特点编制针对性的高处作业安全技术措施，各类操作平台等还应编制专项施工方案。</w:t>
      </w:r>
    </w:p>
    <w:p w14:paraId="5902E21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4、乙方从事高处悬吊作业的人员应当按照国家有关规定设定的特种作业类别，经专门的安全作业培训，取得相应的登高作业的特种作业操作资格证书后，方可上岗作业。</w:t>
      </w:r>
    </w:p>
    <w:p w14:paraId="17D8CB5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5、乙方应对作业设备和装置实施严格的管理，进行经常性的检查、维护和保养，并依法进行定期检测。在租赁悬吊设备时，应当租赁具有产品合格证和使用说明书等相关资料的悬吊设备，并签订租赁合同，明确各自的安全生产管理职责。</w:t>
      </w:r>
    </w:p>
    <w:p w14:paraId="7BF8C7F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6、乙方高处作业应严格执行作业审批。施工前，应当将高处悬吊作业人员的特种作业资格证书复印件、人员意外伤害保险证明、作业设备或防护用具的检测报告、施工方案等有关材料报甲方备案。</w:t>
      </w:r>
    </w:p>
    <w:p w14:paraId="4878758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7、乙方应当依法设置安全生产管理机构，配备专职或者兼职安全生产管理人员，负责作业现场的安全检查和施工过程的安全监控，对发现的从业人员“三违”行为及时阻止或责令停止施工，对检查或监控中发现违章行为，应当立即处理和纠正，对存在的安全隐患及时消除。</w:t>
      </w:r>
    </w:p>
    <w:p w14:paraId="337D152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8、乙方应为从业人员提供符合国家标准或行业标准的劳动防护用具，并督促从业人员按照有关规定使用。</w:t>
      </w:r>
    </w:p>
    <w:p w14:paraId="599B3AA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9、乙方在高处作业施工前，应对相关人员进行针对性的安全教育和安全技术交底，对安全防护设施进行验收。高处作业人员定期体检，身体健康符合作业要求，方可持证上岗作业。</w:t>
      </w:r>
    </w:p>
    <w:p w14:paraId="06F16C5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10、乙方应当在其作业下方设置警戒线，在醒目处设置安全警示标志牌，并设专人看守，符合安全要求方可进行作业。</w:t>
      </w:r>
    </w:p>
    <w:p w14:paraId="2293A98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11、乙方应当制定安全生产应急救援预案，明确应急救援组织、救援人员、救援程序、紧急处置措施等内容。</w:t>
      </w:r>
    </w:p>
    <w:p w14:paraId="2FFACB8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（十）有限空间作业</w:t>
      </w:r>
    </w:p>
    <w:p w14:paraId="2B10797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1、乙方对有限空间作业安全负责。</w:t>
      </w:r>
    </w:p>
    <w:p w14:paraId="23F6BB2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2、乙方有限空间作业应严格按照</w:t>
      </w:r>
      <w:r>
        <w:rPr>
          <w:rFonts w:hint="eastAsia" w:ascii="宋体" w:hAnsi="宋体" w:eastAsia="宋体" w:cs="宋体"/>
          <w:sz w:val="24"/>
          <w:szCs w:val="24"/>
          <w:lang w:eastAsia="zh-CN"/>
        </w:rPr>
        <w:t>中华人民共和国住房城乡建设部《房屋市政工程有限空间识别及施工安全作业指南（试行）》、</w:t>
      </w:r>
      <w:r>
        <w:rPr>
          <w:rFonts w:hint="eastAsia" w:ascii="宋体" w:hAnsi="宋体" w:eastAsia="宋体" w:cs="宋体"/>
          <w:sz w:val="24"/>
          <w:szCs w:val="24"/>
        </w:rPr>
        <w:t>中华人民共和国应急管理部办公厅文件 [2020]299号关于印发《有限空间作业安全指导手册》和4个专项系列折页的通知执行，还应符合国家现行的有限空间作业有关标准规定。</w:t>
      </w:r>
    </w:p>
    <w:p w14:paraId="5376DED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3、乙方有限空间作业严格执行作业审批制度，未经审批严禁作业。</w:t>
      </w:r>
    </w:p>
    <w:p w14:paraId="0A34EB3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4、乙方实施有限空间作业前，应当对作业环境进行评估，分析存在的危险有害因素，提出消除、控制危害的措施，制定有限空间作业方案。</w:t>
      </w:r>
    </w:p>
    <w:p w14:paraId="608A26D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5、乙方应当根据有限空间存在危险有害因素的种类和危害程度，为作业人员提供符合国家标准或者行业标准规定的劳动防护用品，并教育监督作业人员正确佩戴与使用。</w:t>
      </w:r>
    </w:p>
    <w:p w14:paraId="6281102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6、乙方应当明确作业现场负责人、监护人员、作业人员及其安全职责。</w:t>
      </w:r>
    </w:p>
    <w:p w14:paraId="7FECDCF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7、乙方实施有限空间作业前，应当将有限空间作业方案和作业现场可能存在的危险有害因素、防控措施告知作业人员，进行书面安全技术交底。</w:t>
      </w:r>
    </w:p>
    <w:p w14:paraId="3692E64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8、乙方应当采取可靠的安全措施，将可能危及作业安全的设施设备、存在有毒有害物质的空间与作业地点隔开，确认作业环境、作业程序、安全防护设备和个体防护用品等符合作业要求。</w:t>
      </w:r>
    </w:p>
    <w:p w14:paraId="2B4B7D4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9、乙方应当严格遵守“先通风、再检测、后作业</w:t>
      </w:r>
      <w:r>
        <w:rPr>
          <w:rFonts w:hint="eastAsia" w:ascii="宋体" w:hAnsi="宋体" w:eastAsia="宋体" w:cs="宋体"/>
          <w:sz w:val="24"/>
          <w:szCs w:val="24"/>
          <w:lang w:eastAsia="zh-CN"/>
        </w:rPr>
        <w:t>、有监护</w:t>
      </w:r>
      <w:r>
        <w:rPr>
          <w:rFonts w:hint="eastAsia" w:ascii="宋体" w:hAnsi="宋体" w:eastAsia="宋体" w:cs="宋体"/>
          <w:sz w:val="24"/>
          <w:szCs w:val="24"/>
        </w:rPr>
        <w:t>”的原则，作业中对危险有害因素进行连续检测或监测，未经通风和检测合格，严禁作业。</w:t>
      </w:r>
    </w:p>
    <w:p w14:paraId="43E23DC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10、有限空间作业结束后，作业现场负责人、监护人员应当对作业现场进行清理，撤离作业人员。</w:t>
      </w:r>
    </w:p>
    <w:p w14:paraId="5C5E249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11、乙方应当根据有限空间作业的特点，制定应急预案并演练，提高应急处置能力。有限空间作业中发生事故，应当立即报告，应急救援人员在做好自身防护的同时，佩戴必要的呼吸器具和救援器材实施救援，禁止盲目施救。</w:t>
      </w:r>
      <w:r>
        <w:rPr>
          <w:rFonts w:hint="eastAsia" w:ascii="宋体" w:hAnsi="宋体" w:eastAsia="宋体" w:cs="宋体"/>
          <w:sz w:val="24"/>
          <w:szCs w:val="24"/>
          <w:lang w:val="en-US" w:eastAsia="zh-CN"/>
        </w:rPr>
        <w:t xml:space="preserve"> </w:t>
      </w:r>
    </w:p>
    <w:p w14:paraId="5B96556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七、附则</w:t>
      </w:r>
    </w:p>
    <w:p w14:paraId="4397115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（一）本协议书与</w:t>
      </w:r>
      <w:r>
        <w:rPr>
          <w:rFonts w:hint="eastAsia" w:ascii="宋体" w:hAnsi="宋体" w:eastAsia="宋体" w:cs="宋体"/>
          <w:sz w:val="24"/>
          <w:szCs w:val="24"/>
          <w:lang w:eastAsia="zh-CN"/>
        </w:rPr>
        <w:t>项目</w:t>
      </w:r>
      <w:r>
        <w:rPr>
          <w:rFonts w:hint="eastAsia" w:ascii="宋体" w:hAnsi="宋体" w:eastAsia="宋体" w:cs="宋体"/>
          <w:sz w:val="24"/>
          <w:szCs w:val="24"/>
        </w:rPr>
        <w:t>施工合同一并签订，并同时终止。</w:t>
      </w:r>
    </w:p>
    <w:p w14:paraId="14FFD0C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（二）本协议书一式肆份，甲方执贰份、乙方执贰份，具有同等法律效力，自双方签章即生效。</w:t>
      </w:r>
    </w:p>
    <w:p w14:paraId="4A8818E9">
      <w:pPr>
        <w:spacing w:line="400" w:lineRule="exact"/>
        <w:ind w:firstLine="480" w:firstLineChars="200"/>
        <w:jc w:val="center"/>
        <w:rPr>
          <w:rFonts w:hint="eastAsia" w:ascii="宋体" w:hAnsi="宋体" w:cs="宋体"/>
          <w:sz w:val="24"/>
          <w:szCs w:val="24"/>
        </w:rPr>
      </w:pPr>
    </w:p>
    <w:p w14:paraId="10AD4137">
      <w:pPr>
        <w:spacing w:line="480" w:lineRule="auto"/>
        <w:rPr>
          <w:rFonts w:hint="eastAsia" w:ascii="Calibri" w:hAnsi="Calibri"/>
          <w:sz w:val="24"/>
          <w:szCs w:val="24"/>
          <w:lang w:val="en-US" w:eastAsia="zh-CN"/>
        </w:rPr>
      </w:pPr>
      <w:r>
        <w:rPr>
          <w:rFonts w:hint="eastAsia" w:ascii="Calibri" w:hAnsi="Calibri"/>
          <w:sz w:val="24"/>
          <w:szCs w:val="24"/>
          <w:lang w:val="en-US" w:eastAsia="zh-CN"/>
        </w:rPr>
        <w:t>甲方单位：（盖章）                        乙方单位：（盖章）</w:t>
      </w:r>
    </w:p>
    <w:p w14:paraId="4EFD75E1">
      <w:pPr>
        <w:spacing w:line="480" w:lineRule="auto"/>
        <w:rPr>
          <w:rFonts w:hint="default" w:ascii="Calibri" w:hAnsi="Calibri"/>
          <w:sz w:val="24"/>
          <w:szCs w:val="24"/>
          <w:lang w:val="en-US" w:eastAsia="zh-CN"/>
        </w:rPr>
      </w:pPr>
      <w:r>
        <w:rPr>
          <w:rFonts w:hint="eastAsia" w:ascii="Calibri" w:hAnsi="Calibri"/>
          <w:sz w:val="24"/>
          <w:szCs w:val="24"/>
          <w:lang w:val="en-US" w:eastAsia="zh-CN"/>
        </w:rPr>
        <w:t>地址：                                    地址：</w:t>
      </w:r>
    </w:p>
    <w:p w14:paraId="4C4F3EEA">
      <w:pPr>
        <w:spacing w:line="480" w:lineRule="auto"/>
        <w:rPr>
          <w:rFonts w:hint="eastAsia" w:ascii="Calibri" w:hAnsi="Calibri"/>
          <w:sz w:val="24"/>
          <w:szCs w:val="24"/>
          <w:lang w:val="en-US" w:eastAsia="zh-CN"/>
        </w:rPr>
      </w:pPr>
      <w:r>
        <w:rPr>
          <w:rFonts w:hint="eastAsia" w:ascii="Calibri" w:hAnsi="Calibri"/>
          <w:sz w:val="24"/>
          <w:szCs w:val="24"/>
          <w:lang w:val="en-US" w:eastAsia="zh-CN"/>
        </w:rPr>
        <w:t>法定代表人：                              法定代表人：</w:t>
      </w:r>
    </w:p>
    <w:p w14:paraId="7A38052F">
      <w:pPr>
        <w:spacing w:line="480" w:lineRule="auto"/>
        <w:rPr>
          <w:rFonts w:hint="default" w:ascii="Calibri" w:hAnsi="Calibri"/>
          <w:sz w:val="24"/>
          <w:szCs w:val="24"/>
          <w:lang w:val="en-US" w:eastAsia="zh-CN"/>
        </w:rPr>
      </w:pPr>
      <w:r>
        <w:rPr>
          <w:rFonts w:hint="eastAsia" w:ascii="Calibri" w:hAnsi="Calibri"/>
          <w:sz w:val="24"/>
          <w:szCs w:val="24"/>
          <w:lang w:val="en-US" w:eastAsia="zh-CN"/>
        </w:rPr>
        <w:t>委托代理人：                              委托代理人：</w:t>
      </w:r>
    </w:p>
    <w:p w14:paraId="67844558">
      <w:pPr>
        <w:spacing w:line="480" w:lineRule="auto"/>
        <w:rPr>
          <w:rFonts w:hint="eastAsia" w:ascii="Calibri" w:hAnsi="Calibri"/>
          <w:sz w:val="24"/>
          <w:szCs w:val="24"/>
          <w:lang w:val="en-US" w:eastAsia="zh-CN"/>
        </w:rPr>
      </w:pPr>
      <w:r>
        <w:rPr>
          <w:rFonts w:hint="eastAsia" w:ascii="Calibri" w:hAnsi="Calibri"/>
          <w:sz w:val="24"/>
          <w:szCs w:val="24"/>
          <w:lang w:val="en-US" w:eastAsia="zh-CN"/>
        </w:rPr>
        <w:t>联系方式：                                联系方式：</w:t>
      </w:r>
    </w:p>
    <w:p w14:paraId="49FC05E4">
      <w:pPr>
        <w:spacing w:line="480" w:lineRule="auto"/>
        <w:rPr>
          <w:rFonts w:hint="default" w:ascii="Calibri" w:hAnsi="Calibri"/>
          <w:sz w:val="24"/>
          <w:szCs w:val="24"/>
          <w:lang w:val="en-US" w:eastAsia="zh-CN"/>
        </w:rPr>
      </w:pPr>
      <w:r>
        <w:rPr>
          <w:rFonts w:hint="eastAsia" w:ascii="Calibri" w:hAnsi="Calibri"/>
          <w:sz w:val="24"/>
          <w:szCs w:val="24"/>
          <w:lang w:val="en-US" w:eastAsia="zh-CN"/>
        </w:rPr>
        <w:t>签订地点：                                签订时间：</w:t>
      </w:r>
    </w:p>
    <w:p w14:paraId="2FF2F0ED">
      <w:pPr>
        <w:pStyle w:val="8"/>
        <w:rPr>
          <w:sz w:val="24"/>
          <w:szCs w:val="24"/>
        </w:rPr>
      </w:pPr>
    </w:p>
    <w:p w14:paraId="5556CBDA">
      <w:pPr>
        <w:spacing w:line="520" w:lineRule="exact"/>
        <w:jc w:val="left"/>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sectPr>
          <w:footerReference r:id="rId3"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Theme="minorEastAsia" w:hAnsiTheme="minorEastAsia" w:eastAsiaTheme="minorEastAsia"/>
          <w:color w:val="000000"/>
          <w:sz w:val="28"/>
          <w:szCs w:val="28"/>
        </w:rPr>
        <w:t>招标人保留对本合同及协议进行修改和完善的权利</w:t>
      </w:r>
    </w:p>
    <w:p w14:paraId="475F4972">
      <w:pPr>
        <w:spacing w:line="360" w:lineRule="auto"/>
        <w:jc w:val="center"/>
        <w:rPr>
          <w:rFonts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第五章   投标文件格式</w:t>
      </w:r>
    </w:p>
    <w:p w14:paraId="3FF763B6">
      <w:pPr>
        <w:spacing w:line="360" w:lineRule="auto"/>
        <w:ind w:right="-334" w:rightChars="-159"/>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p>
    <w:p w14:paraId="141656D6">
      <w:pPr>
        <w:spacing w:line="360" w:lineRule="auto"/>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p>
    <w:p w14:paraId="6766E71A">
      <w:pPr>
        <w:jc w:val="center"/>
        <w:rPr>
          <w:rFonts w:asciiTheme="minorEastAsia" w:hAnsiTheme="minorEastAsia" w:eastAsiaTheme="minorEastAsia" w:cstheme="minorEastAsia"/>
          <w:bCs/>
          <w:sz w:val="48"/>
          <w:szCs w:val="48"/>
        </w:rPr>
      </w:pPr>
    </w:p>
    <w:p w14:paraId="6F0DB2C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inorEastAsia" w:hAnsiTheme="minorEastAsia" w:eastAsiaTheme="minorEastAsia" w:cstheme="minorEastAsia"/>
          <w:bCs/>
          <w:sz w:val="48"/>
          <w:szCs w:val="48"/>
          <w:highlight w:val="none"/>
          <w:lang w:val="en-US" w:eastAsia="zh-CN"/>
        </w:rPr>
      </w:pPr>
      <w:r>
        <w:rPr>
          <w:rFonts w:hint="eastAsia" w:asciiTheme="minorEastAsia" w:hAnsiTheme="minorEastAsia" w:eastAsiaTheme="minorEastAsia" w:cstheme="minorEastAsia"/>
          <w:bCs/>
          <w:sz w:val="48"/>
          <w:szCs w:val="48"/>
          <w:highlight w:val="none"/>
          <w:lang w:val="en-US" w:eastAsia="zh-CN"/>
        </w:rPr>
        <w:t>通州城区应急水源地供水设施改扩建</w:t>
      </w:r>
    </w:p>
    <w:p w14:paraId="2073E66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heme="minorEastAsia" w:hAnsiTheme="minorEastAsia" w:eastAsiaTheme="minorEastAsia" w:cstheme="minorEastAsia"/>
          <w:bCs/>
          <w:sz w:val="48"/>
          <w:szCs w:val="48"/>
        </w:rPr>
      </w:pPr>
      <w:r>
        <w:rPr>
          <w:rFonts w:hint="eastAsia" w:asciiTheme="minorEastAsia" w:hAnsiTheme="minorEastAsia" w:eastAsiaTheme="minorEastAsia" w:cstheme="minorEastAsia"/>
          <w:bCs/>
          <w:sz w:val="48"/>
          <w:szCs w:val="48"/>
          <w:highlight w:val="none"/>
          <w:lang w:val="en-US" w:eastAsia="zh-CN"/>
        </w:rPr>
        <w:t>和技术改造采购及安装项目</w:t>
      </w:r>
    </w:p>
    <w:p w14:paraId="3FC35F12">
      <w:pPr>
        <w:spacing w:line="360" w:lineRule="auto"/>
        <w:ind w:right="-334" w:rightChars="-159"/>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p>
    <w:p w14:paraId="669CA46F">
      <w:pPr>
        <w:spacing w:line="360" w:lineRule="auto"/>
        <w:ind w:right="-334" w:rightChars="-159"/>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p>
    <w:p w14:paraId="6A6D39D9">
      <w:pPr>
        <w:spacing w:line="360" w:lineRule="auto"/>
        <w:ind w:right="-334" w:rightChars="-159"/>
        <w:jc w:val="center"/>
        <w:rPr>
          <w:rFonts w:asciiTheme="minorEastAsia" w:hAnsiTheme="minorEastAsia" w:eastAsiaTheme="minorEastAsia" w:cstheme="minorEastAsia"/>
          <w:bCs/>
          <w:color w:val="0D0D0D" w:themeColor="text1" w:themeTint="F2"/>
          <w:sz w:val="32"/>
          <w:szCs w:val="32"/>
          <w14:textFill>
            <w14:solidFill>
              <w14:schemeClr w14:val="tx1">
                <w14:lumMod w14:val="95000"/>
                <w14:lumOff w14:val="5000"/>
              </w14:schemeClr>
            </w14:solidFill>
          </w14:textFill>
        </w:rPr>
      </w:pPr>
    </w:p>
    <w:p w14:paraId="1CB179C4">
      <w:pPr>
        <w:spacing w:line="360" w:lineRule="auto"/>
        <w:ind w:right="-334" w:rightChars="-159"/>
        <w:jc w:val="center"/>
        <w:rPr>
          <w:rFonts w:asciiTheme="minorEastAsia" w:hAnsiTheme="minorEastAsia" w:eastAsiaTheme="minorEastAsia" w:cstheme="minorEastAsia"/>
          <w:bCs/>
          <w:color w:val="0D0D0D" w:themeColor="text1" w:themeTint="F2"/>
          <w:sz w:val="32"/>
          <w:szCs w:val="32"/>
          <w14:textFill>
            <w14:solidFill>
              <w14:schemeClr w14:val="tx1">
                <w14:lumMod w14:val="95000"/>
                <w14:lumOff w14:val="5000"/>
              </w14:schemeClr>
            </w14:solidFill>
          </w14:textFill>
        </w:rPr>
      </w:pPr>
    </w:p>
    <w:p w14:paraId="1E8C999B">
      <w:pPr>
        <w:spacing w:line="360" w:lineRule="auto"/>
        <w:ind w:right="-334" w:rightChars="-159"/>
        <w:jc w:val="center"/>
        <w:rPr>
          <w:rFonts w:asciiTheme="minorEastAsia" w:hAnsiTheme="minorEastAsia" w:eastAsiaTheme="minorEastAsia" w:cstheme="minorEastAsia"/>
          <w:bCs/>
          <w:color w:val="0D0D0D" w:themeColor="text1" w:themeTint="F2"/>
          <w:sz w:val="32"/>
          <w:szCs w:val="32"/>
          <w14:textFill>
            <w14:solidFill>
              <w14:schemeClr w14:val="tx1">
                <w14:lumMod w14:val="95000"/>
                <w14:lumOff w14:val="5000"/>
              </w14:schemeClr>
            </w14:solidFill>
          </w14:textFill>
        </w:rPr>
      </w:pPr>
    </w:p>
    <w:p w14:paraId="6C30A5CD">
      <w:pPr>
        <w:spacing w:line="360" w:lineRule="auto"/>
        <w:ind w:right="-334" w:rightChars="-159"/>
        <w:jc w:val="center"/>
        <w:rPr>
          <w:rFonts w:asciiTheme="minorEastAsia" w:hAnsiTheme="minorEastAsia" w:eastAsiaTheme="minorEastAsia" w:cstheme="minorEastAsia"/>
          <w:bCs/>
          <w:color w:val="0D0D0D" w:themeColor="text1" w:themeTint="F2"/>
          <w:sz w:val="44"/>
          <w:szCs w:val="44"/>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44"/>
          <w:szCs w:val="44"/>
          <w14:textFill>
            <w14:solidFill>
              <w14:schemeClr w14:val="tx1">
                <w14:lumMod w14:val="95000"/>
                <w14:lumOff w14:val="5000"/>
              </w14:schemeClr>
            </w14:solidFill>
          </w14:textFill>
        </w:rPr>
        <w:t>资格审查文件/价格标文件</w:t>
      </w:r>
    </w:p>
    <w:p w14:paraId="3EE7D05D">
      <w:pPr>
        <w:spacing w:line="360" w:lineRule="auto"/>
        <w:ind w:right="-334" w:rightChars="-159"/>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p>
    <w:p w14:paraId="07239296">
      <w:pPr>
        <w:spacing w:line="360" w:lineRule="auto"/>
        <w:ind w:right="-334" w:rightChars="-159"/>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p>
    <w:p w14:paraId="318B8553">
      <w:pPr>
        <w:spacing w:line="360" w:lineRule="auto"/>
        <w:ind w:right="-334" w:rightChars="-159"/>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p>
    <w:p w14:paraId="30BBD033">
      <w:pPr>
        <w:pStyle w:val="8"/>
      </w:pPr>
    </w:p>
    <w:p w14:paraId="3B68AC26">
      <w:pPr>
        <w:pStyle w:val="31"/>
        <w:rPr>
          <w:rFonts w:hint="default"/>
        </w:rPr>
      </w:pPr>
    </w:p>
    <w:p w14:paraId="11591C58">
      <w:pPr>
        <w:spacing w:line="360" w:lineRule="auto"/>
        <w:ind w:right="-334" w:rightChars="-159"/>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p>
    <w:p w14:paraId="0528F866">
      <w:pPr>
        <w:spacing w:line="360" w:lineRule="auto"/>
        <w:ind w:right="-334" w:rightChars="-159" w:firstLine="548" w:firstLineChars="196"/>
        <w:rPr>
          <w:rFonts w:asciiTheme="minorEastAsia" w:hAnsiTheme="minorEastAsia" w:eastAsiaTheme="minorEastAsia" w:cstheme="minorEastAsia"/>
          <w:bCs/>
          <w:color w:val="0D0D0D" w:themeColor="text1" w:themeTint="F2"/>
          <w:sz w:val="28"/>
          <w:szCs w:val="28"/>
          <w:u w:val="singl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8"/>
          <w:szCs w:val="28"/>
          <w14:textFill>
            <w14:solidFill>
              <w14:schemeClr w14:val="tx1">
                <w14:lumMod w14:val="95000"/>
                <w14:lumOff w14:val="5000"/>
              </w14:schemeClr>
            </w14:solidFill>
          </w14:textFill>
        </w:rPr>
        <w:t>投标人（盖章）：</w:t>
      </w:r>
    </w:p>
    <w:p w14:paraId="272A077D">
      <w:pPr>
        <w:spacing w:line="360" w:lineRule="auto"/>
        <w:ind w:right="-334" w:rightChars="-159" w:firstLine="548" w:firstLineChars="196"/>
        <w:rPr>
          <w:rFonts w:asciiTheme="minorEastAsia" w:hAnsiTheme="minorEastAsia" w:eastAsiaTheme="minorEastAsia" w:cstheme="minorEastAsia"/>
          <w:bCs/>
          <w:color w:val="0D0D0D" w:themeColor="text1" w:themeTint="F2"/>
          <w:sz w:val="28"/>
          <w:szCs w:val="28"/>
          <w:u w:val="single"/>
          <w14:textFill>
            <w14:solidFill>
              <w14:schemeClr w14:val="tx1">
                <w14:lumMod w14:val="95000"/>
                <w14:lumOff w14:val="5000"/>
              </w14:schemeClr>
            </w14:solidFill>
          </w14:textFill>
        </w:rPr>
      </w:pPr>
    </w:p>
    <w:p w14:paraId="4AE53C0E">
      <w:pPr>
        <w:spacing w:line="360" w:lineRule="auto"/>
        <w:ind w:right="-334" w:rightChars="-159" w:firstLine="548" w:firstLineChars="196"/>
        <w:rPr>
          <w:rFonts w:asciiTheme="minorEastAsia" w:hAnsiTheme="minorEastAsia" w:eastAsiaTheme="minorEastAsia" w:cstheme="minorEastAsia"/>
          <w:bCs/>
          <w:color w:val="0D0D0D" w:themeColor="text1" w:themeTint="F2"/>
          <w:sz w:val="28"/>
          <w:szCs w:val="28"/>
          <w:u w:val="singl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8"/>
          <w:szCs w:val="28"/>
          <w14:textFill>
            <w14:solidFill>
              <w14:schemeClr w14:val="tx1">
                <w14:lumMod w14:val="95000"/>
                <w14:lumOff w14:val="5000"/>
              </w14:schemeClr>
            </w14:solidFill>
          </w14:textFill>
        </w:rPr>
        <w:t>法定代表人或委托代理人（签字或盖章）：</w:t>
      </w:r>
    </w:p>
    <w:p w14:paraId="39D530F8">
      <w:pPr>
        <w:spacing w:line="360" w:lineRule="auto"/>
        <w:ind w:right="-334" w:rightChars="-159" w:firstLine="548" w:firstLineChars="196"/>
        <w:rPr>
          <w:rFonts w:asciiTheme="minorEastAsia" w:hAnsiTheme="minorEastAsia" w:eastAsiaTheme="minorEastAsia" w:cstheme="minorEastAsia"/>
          <w:bCs/>
          <w:color w:val="0D0D0D" w:themeColor="text1" w:themeTint="F2"/>
          <w:sz w:val="28"/>
          <w:szCs w:val="28"/>
          <w:u w:val="single"/>
          <w14:textFill>
            <w14:solidFill>
              <w14:schemeClr w14:val="tx1">
                <w14:lumMod w14:val="95000"/>
                <w14:lumOff w14:val="5000"/>
              </w14:schemeClr>
            </w14:solidFill>
          </w14:textFill>
        </w:rPr>
      </w:pPr>
    </w:p>
    <w:p w14:paraId="4486689E">
      <w:pPr>
        <w:spacing w:line="360" w:lineRule="auto"/>
        <w:ind w:right="-334" w:rightChars="-159" w:firstLine="546" w:firstLineChars="195"/>
        <w:rPr>
          <w:rFonts w:asciiTheme="minorEastAsia" w:hAnsiTheme="minorEastAsia" w:eastAsiaTheme="minorEastAsia" w:cstheme="minorEastAsia"/>
          <w:bCs/>
          <w:color w:val="0D0D0D" w:themeColor="text1" w:themeTint="F2"/>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8"/>
          <w:szCs w:val="28"/>
          <w14:textFill>
            <w14:solidFill>
              <w14:schemeClr w14:val="tx1">
                <w14:lumMod w14:val="95000"/>
                <w14:lumOff w14:val="5000"/>
              </w14:schemeClr>
            </w14:solidFill>
          </w14:textFill>
        </w:rPr>
        <w:t>日期：年月日</w:t>
      </w:r>
    </w:p>
    <w:p w14:paraId="6FA56777">
      <w:pPr>
        <w:spacing w:line="360" w:lineRule="auto"/>
        <w:ind w:right="-334" w:rightChars="-159"/>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p>
    <w:p w14:paraId="0A63E338">
      <w:pPr>
        <w:pStyle w:val="31"/>
        <w:rPr>
          <w:rFonts w:hint="default"/>
        </w:rPr>
      </w:pPr>
    </w:p>
    <w:p w14:paraId="7F4DCEFA">
      <w:pPr>
        <w:pStyle w:val="3"/>
        <w:jc w:val="center"/>
        <w:rPr>
          <w:rFonts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bookmarkStart w:id="16" w:name="_Toc329181719"/>
      <w:bookmarkStart w:id="17" w:name="_Toc329181721"/>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一、法定代表人身份证明书</w:t>
      </w:r>
      <w:bookmarkEnd w:id="16"/>
    </w:p>
    <w:p w14:paraId="5BBE1888">
      <w:pPr>
        <w:spacing w:line="52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投标人单位名称：</w:t>
      </w:r>
    </w:p>
    <w:p w14:paraId="2E5562B5">
      <w:pPr>
        <w:spacing w:line="52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投标人单位地址：</w:t>
      </w:r>
    </w:p>
    <w:p w14:paraId="5613EF87">
      <w:pPr>
        <w:spacing w:line="52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姓名：性别：年龄：职务：</w:t>
      </w:r>
    </w:p>
    <w:p w14:paraId="26EFA3BD">
      <w:pPr>
        <w:spacing w:line="52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系______________（投标人单位名称）的法定代表人。</w:t>
      </w:r>
    </w:p>
    <w:p w14:paraId="7AF978BA">
      <w:pPr>
        <w:spacing w:line="52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特此证明。</w:t>
      </w:r>
    </w:p>
    <w:p w14:paraId="19C9517D">
      <w:pPr>
        <w:spacing w:line="52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投标人（盖单位章）：</w:t>
      </w:r>
    </w:p>
    <w:p w14:paraId="2B60F568">
      <w:pPr>
        <w:spacing w:line="52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日期：年月日</w:t>
      </w:r>
    </w:p>
    <w:p w14:paraId="3C4410E5">
      <w:pPr>
        <w:pStyle w:val="5"/>
        <w:spacing w:line="480" w:lineRule="exact"/>
        <w:ind w:firstLine="0"/>
        <w:jc w:val="both"/>
        <w:rPr>
          <w:rFonts w:hint="eastAsia" w:asciiTheme="minorEastAsia" w:hAnsiTheme="minorEastAsia" w:eastAsiaTheme="minorEastAsia" w:cstheme="minorEastAsia"/>
          <w:b/>
          <w:bCs/>
          <w:color w:val="0D0D0D" w:themeColor="text1" w:themeTint="F2"/>
          <w:sz w:val="21"/>
          <w:szCs w:val="21"/>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21"/>
          <w:szCs w:val="21"/>
          <w:lang w:eastAsia="zh-CN"/>
          <w14:textFill>
            <w14:solidFill>
              <w14:schemeClr w14:val="tx1">
                <w14:lumMod w14:val="95000"/>
                <w14:lumOff w14:val="5000"/>
              </w14:schemeClr>
            </w14:solidFill>
          </w14:textFill>
        </w:rPr>
        <w:t>附法定代表人身份证</w:t>
      </w:r>
    </w:p>
    <w:p w14:paraId="20FEFED6">
      <w:pPr>
        <w:widowControl/>
        <w:jc w:val="cente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bookmarkStart w:id="18" w:name="_Toc329181720"/>
    </w:p>
    <w:p w14:paraId="3B2ACF31">
      <w:pPr>
        <w:widowControl/>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二、授权委托书</w:t>
      </w:r>
      <w:bookmarkEnd w:id="18"/>
    </w:p>
    <w:p w14:paraId="7C3FEAB1">
      <w:pPr>
        <w:spacing w:line="500" w:lineRule="exact"/>
        <w:ind w:firstLine="573"/>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本人_________(姓名)系___________________(投标人单位名称)的法定代表人，现委托_____________(姓名)（身份证号：）为我方代理人。代理人根据授权，以我方名义签署、澄清、说明、补正、递交、撤回、修改（项目名称）投标文件，签订合同和处理有关事宜，其法律后果由我方承担。</w:t>
      </w:r>
    </w:p>
    <w:p w14:paraId="424FBCC9">
      <w:pPr>
        <w:spacing w:line="500" w:lineRule="exact"/>
        <w:ind w:firstLine="573"/>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委托期限：</w:t>
      </w:r>
    </w:p>
    <w:p w14:paraId="4AD99619">
      <w:pPr>
        <w:spacing w:line="500" w:lineRule="exact"/>
        <w:ind w:firstLine="573"/>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代理人无转委托权。</w:t>
      </w:r>
    </w:p>
    <w:p w14:paraId="53432471">
      <w:pPr>
        <w:spacing w:line="500" w:lineRule="exact"/>
        <w:ind w:firstLine="573"/>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代理人：性别：年龄：</w:t>
      </w:r>
    </w:p>
    <w:p w14:paraId="0C8D3E1C">
      <w:pPr>
        <w:spacing w:line="500" w:lineRule="exact"/>
        <w:ind w:firstLine="573"/>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代理人单位：部门：职务：</w:t>
      </w:r>
    </w:p>
    <w:p w14:paraId="3DF50290">
      <w:pPr>
        <w:spacing w:line="500" w:lineRule="exact"/>
        <w:ind w:firstLine="573"/>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投标人（盖单位章）：</w:t>
      </w:r>
    </w:p>
    <w:p w14:paraId="42BAADFB">
      <w:pPr>
        <w:spacing w:line="500" w:lineRule="exact"/>
        <w:ind w:firstLine="573"/>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法人代表人（签字或印章）：</w:t>
      </w:r>
    </w:p>
    <w:p w14:paraId="41647DB2">
      <w:pPr>
        <w:spacing w:line="500" w:lineRule="exact"/>
        <w:ind w:firstLine="573"/>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日期：</w:t>
      </w:r>
    </w:p>
    <w:p w14:paraId="002200BF">
      <w:pPr>
        <w:pStyle w:val="5"/>
        <w:spacing w:line="480" w:lineRule="exact"/>
        <w:ind w:firstLine="0"/>
        <w:jc w:val="both"/>
        <w:rPr>
          <w:rFonts w:hint="eastAsia" w:asciiTheme="minorEastAsia" w:hAnsiTheme="minorEastAsia" w:eastAsiaTheme="minorEastAsia" w:cstheme="minorEastAsia"/>
          <w:b/>
          <w:bCs/>
          <w:color w:val="0D0D0D" w:themeColor="text1" w:themeTint="F2"/>
          <w:sz w:val="21"/>
          <w:szCs w:val="21"/>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21"/>
          <w:szCs w:val="21"/>
          <w:lang w:eastAsia="zh-CN"/>
          <w14:textFill>
            <w14:solidFill>
              <w14:schemeClr w14:val="tx1">
                <w14:lumMod w14:val="95000"/>
                <w14:lumOff w14:val="5000"/>
              </w14:schemeClr>
            </w14:solidFill>
          </w14:textFill>
        </w:rPr>
        <w:t>附委托代理人身份证</w:t>
      </w:r>
    </w:p>
    <w:bookmarkEnd w:id="17"/>
    <w:p w14:paraId="45769A05">
      <w:pPr>
        <w:widowControl/>
        <w:jc w:val="left"/>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br w:type="page"/>
      </w:r>
    </w:p>
    <w:p w14:paraId="7C9E9F85">
      <w:pPr>
        <w:pStyle w:val="3"/>
        <w:spacing w:before="0" w:after="0"/>
        <w:jc w:val="center"/>
        <w:rPr>
          <w:rFonts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三、投标函</w:t>
      </w:r>
    </w:p>
    <w:p w14:paraId="6155CD8C">
      <w:pPr>
        <w:spacing w:line="460" w:lineRule="exact"/>
        <w:rPr>
          <w:rFonts w:asciiTheme="minorEastAsia" w:hAnsiTheme="minorEastAsia" w:eastAsiaTheme="minorEastAsia" w:cstheme="minorEastAsia"/>
          <w:color w:val="0D0D0D" w:themeColor="text1" w:themeTint="F2"/>
          <w:u w:val="singl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致南通市通州区水务有限公司：</w:t>
      </w:r>
    </w:p>
    <w:p w14:paraId="54277F19">
      <w:pPr>
        <w:spacing w:line="400" w:lineRule="exact"/>
        <w:ind w:left="1" w:firstLine="420" w:firstLineChars="200"/>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根据贵方招标文件，授权代表（</w:t>
      </w:r>
      <w:r>
        <w:rPr>
          <w:rFonts w:hint="eastAsia" w:asciiTheme="minorEastAsia" w:hAnsiTheme="minorEastAsia" w:eastAsiaTheme="minorEastAsia" w:cstheme="minorEastAsia"/>
          <w:color w:val="0C0C0C"/>
          <w:u w:val="single"/>
        </w:rPr>
        <w:t>姓名、职务、</w:t>
      </w:r>
      <w:r>
        <w:rPr>
          <w:rFonts w:hint="eastAsia" w:asciiTheme="minorEastAsia" w:hAnsiTheme="minorEastAsia" w:eastAsiaTheme="minorEastAsia" w:cstheme="minorEastAsia"/>
          <w:color w:val="0C0C0C"/>
        </w:rPr>
        <w:t>）经正式授权并代表投标人（</w:t>
      </w:r>
      <w:r>
        <w:rPr>
          <w:rFonts w:hint="eastAsia" w:asciiTheme="minorEastAsia" w:hAnsiTheme="minorEastAsia" w:eastAsiaTheme="minorEastAsia" w:cstheme="minorEastAsia"/>
          <w:color w:val="0C0C0C"/>
          <w:u w:val="single"/>
        </w:rPr>
        <w:t>投标人名称、地址</w:t>
      </w:r>
      <w:r>
        <w:rPr>
          <w:rFonts w:hint="eastAsia" w:asciiTheme="minorEastAsia" w:hAnsiTheme="minorEastAsia" w:eastAsiaTheme="minorEastAsia" w:cstheme="minorEastAsia"/>
          <w:color w:val="0C0C0C"/>
        </w:rPr>
        <w:t>）提交投标文件正本一份及副本贰份。</w:t>
      </w:r>
    </w:p>
    <w:p w14:paraId="5971258C">
      <w:pPr>
        <w:spacing w:line="400" w:lineRule="exact"/>
        <w:ind w:firstLine="480"/>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据此函，我方宣布同意如下：</w:t>
      </w:r>
    </w:p>
    <w:p w14:paraId="66759725">
      <w:pPr>
        <w:spacing w:line="400" w:lineRule="exact"/>
        <w:ind w:firstLine="420" w:firstLineChars="200"/>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1、根据已收到的：</w:t>
      </w:r>
      <w:r>
        <w:rPr>
          <w:rFonts w:hint="eastAsia" w:asciiTheme="minorEastAsia" w:hAnsiTheme="minorEastAsia" w:eastAsiaTheme="minorEastAsia" w:cstheme="minorEastAsia"/>
          <w:color w:val="0C0C0C"/>
          <w:u w:val="single"/>
        </w:rPr>
        <w:t>　　  　</w:t>
      </w:r>
      <w:r>
        <w:rPr>
          <w:rFonts w:hint="eastAsia" w:asciiTheme="minorEastAsia" w:hAnsiTheme="minorEastAsia" w:eastAsiaTheme="minorEastAsia" w:cstheme="minorEastAsia"/>
          <w:color w:val="0C0C0C"/>
        </w:rPr>
        <w:t>招标文件（含答疑），我单位经研究招标文件后，我方愿以</w:t>
      </w:r>
      <w:r>
        <w:rPr>
          <w:rFonts w:hint="eastAsia" w:asciiTheme="minorEastAsia" w:hAnsiTheme="minorEastAsia" w:eastAsiaTheme="minorEastAsia" w:cstheme="minorEastAsia"/>
          <w:b/>
          <w:color w:val="0C0C0C"/>
        </w:rPr>
        <w:t>人民币</w:t>
      </w:r>
      <w:r>
        <w:rPr>
          <w:rFonts w:hint="eastAsia" w:asciiTheme="minorEastAsia" w:hAnsiTheme="minorEastAsia" w:eastAsiaTheme="minorEastAsia" w:cstheme="minorEastAsia"/>
          <w:b/>
          <w:color w:val="0C0C0C"/>
          <w:u w:val="single"/>
        </w:rPr>
        <w:t>　　　　　</w:t>
      </w:r>
      <w:r>
        <w:rPr>
          <w:rFonts w:hint="eastAsia" w:asciiTheme="minorEastAsia" w:hAnsiTheme="minorEastAsia" w:eastAsiaTheme="minorEastAsia" w:cstheme="minorEastAsia"/>
          <w:b/>
          <w:color w:val="0C0C0C"/>
        </w:rPr>
        <w:t>元的投标总价（具体详见明细报价一览表）</w:t>
      </w:r>
      <w:r>
        <w:rPr>
          <w:rFonts w:hint="eastAsia" w:asciiTheme="minorEastAsia" w:hAnsiTheme="minorEastAsia" w:eastAsiaTheme="minorEastAsia" w:cstheme="minorEastAsia"/>
          <w:color w:val="0C0C0C"/>
        </w:rPr>
        <w:t>完成该项目。</w:t>
      </w:r>
    </w:p>
    <w:p w14:paraId="2DA62096">
      <w:pPr>
        <w:spacing w:line="400" w:lineRule="exact"/>
        <w:ind w:firstLine="420" w:firstLineChars="200"/>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2、招标响应人已详细审查全部招标文件，包括有关澄清和补充说明（如果有的话）。我们完全理解并同意放弃对这方面有不明及误解的权力。</w:t>
      </w:r>
    </w:p>
    <w:p w14:paraId="340B0E63">
      <w:pPr>
        <w:spacing w:line="400" w:lineRule="exact"/>
        <w:ind w:firstLine="420" w:firstLineChars="200"/>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3、我们同意在从规定的开标之日起六十天为投标文件有效期内严格遵守本投标书的各项承诺。在此期限届满之前，本投标书始终将对我方具有约束力，并随时接受中标。如果中标，本次招标文件和本投标文件（含承诺书）将作为买卖合同的附件。</w:t>
      </w:r>
    </w:p>
    <w:p w14:paraId="4C320931">
      <w:pPr>
        <w:spacing w:line="400" w:lineRule="exact"/>
        <w:ind w:firstLine="420" w:firstLineChars="200"/>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4、我方愿意履行自己在投标文件中的全部承诺和责任，我方愿意遵守招标文件中对投标者的所有规定。</w:t>
      </w:r>
    </w:p>
    <w:p w14:paraId="07ED1F16">
      <w:pPr>
        <w:spacing w:line="400" w:lineRule="exact"/>
        <w:ind w:firstLine="420" w:firstLineChars="200"/>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5、我方愿意向招标人提供任何与本次招标文件有关的其他资料。</w:t>
      </w:r>
    </w:p>
    <w:p w14:paraId="14B1AD39">
      <w:pPr>
        <w:spacing w:line="400" w:lineRule="exact"/>
        <w:ind w:firstLine="420" w:firstLineChars="200"/>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6、我方完全理解招标人有保留在授标之前任何时候接受或拒绝任何投标，以及宣布招标程序无效或拒绝所有投标的权力。我方完全理解招标人不向未中标人解释未中标理由的义务。</w:t>
      </w:r>
    </w:p>
    <w:p w14:paraId="2E9E920D">
      <w:pPr>
        <w:spacing w:line="400" w:lineRule="exact"/>
        <w:ind w:firstLine="420" w:firstLineChars="200"/>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7、我们出具金额为</w:t>
      </w:r>
      <w:r>
        <w:rPr>
          <w:rFonts w:hint="eastAsia" w:asciiTheme="minorEastAsia" w:hAnsiTheme="minorEastAsia" w:eastAsiaTheme="minorEastAsia" w:cstheme="minorEastAsia"/>
          <w:b/>
          <w:color w:val="0C0C0C"/>
        </w:rPr>
        <w:t>人民币</w:t>
      </w:r>
      <w:r>
        <w:rPr>
          <w:rFonts w:hint="eastAsia" w:asciiTheme="minorEastAsia" w:hAnsiTheme="minorEastAsia" w:eastAsiaTheme="minorEastAsia" w:cstheme="minorEastAsia"/>
          <w:b/>
          <w:color w:val="0C0C0C"/>
          <w:u w:val="single"/>
          <w:lang w:val="en-US" w:eastAsia="zh-CN"/>
        </w:rPr>
        <w:t>6000</w:t>
      </w:r>
      <w:r>
        <w:rPr>
          <w:rFonts w:hint="eastAsia" w:asciiTheme="minorEastAsia" w:hAnsiTheme="minorEastAsia" w:eastAsiaTheme="minorEastAsia" w:cstheme="minorEastAsia"/>
          <w:b/>
          <w:color w:val="0C0C0C"/>
        </w:rPr>
        <w:t>元整/投标单位</w:t>
      </w:r>
      <w:r>
        <w:rPr>
          <w:rFonts w:hint="eastAsia" w:asciiTheme="minorEastAsia" w:hAnsiTheme="minorEastAsia" w:eastAsiaTheme="minorEastAsia" w:cstheme="minorEastAsia"/>
          <w:color w:val="0C0C0C"/>
        </w:rPr>
        <w:t>的投标保证金。如果我们在本投标文件有效期内撤回投标文件；或在接到中标通知书后的7天内未能或拒绝签订合同协议书；出现弄虚作假以及违反招投标法规定的情况；或未能在规定时间内提交履约保证金，招标人有权没收投标担保金，另选中标单位。</w:t>
      </w:r>
    </w:p>
    <w:p w14:paraId="6E3CA276">
      <w:pPr>
        <w:spacing w:line="400" w:lineRule="exact"/>
        <w:ind w:firstLine="420" w:firstLineChars="200"/>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8、投标人同意提供按照招标人可能要求的与其评审有关的一切数据或资料，同时也理解，招标人及招标代理人不负担我们的任何投标费用。</w:t>
      </w:r>
    </w:p>
    <w:p w14:paraId="47AFA5DC">
      <w:pPr>
        <w:spacing w:line="400" w:lineRule="exact"/>
        <w:ind w:firstLine="420" w:firstLineChars="200"/>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9、投标人确认本招标文件限定的投标时间不影响我们的正常投标。</w:t>
      </w:r>
    </w:p>
    <w:p w14:paraId="02400611">
      <w:pPr>
        <w:spacing w:line="400" w:lineRule="exact"/>
        <w:ind w:firstLine="420" w:firstLineChars="200"/>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10、一旦我方成交，我方将按照相关的法律法规和签订的合同来履行自己的责任和义务。除非另外达成协议并生效，你方的招标文件和中标通知书以及本投标文件将构成约束我们双方的合同。</w:t>
      </w:r>
    </w:p>
    <w:p w14:paraId="179D863A">
      <w:pPr>
        <w:spacing w:line="400" w:lineRule="exact"/>
        <w:ind w:firstLine="420" w:firstLineChars="200"/>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11、在整个招标过程中，我方若有违规行为，贵方可按相关的法律法规给予惩罚。</w:t>
      </w:r>
    </w:p>
    <w:p w14:paraId="530418F8">
      <w:pPr>
        <w:spacing w:line="400" w:lineRule="exact"/>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投标单位：（盖单位章）</w:t>
      </w:r>
    </w:p>
    <w:p w14:paraId="4115EF4A">
      <w:pPr>
        <w:spacing w:line="400" w:lineRule="exact"/>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单位地址：</w:t>
      </w:r>
    </w:p>
    <w:p w14:paraId="2A0E2F8A">
      <w:pPr>
        <w:spacing w:line="400" w:lineRule="exact"/>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法定代表人（签名或印鉴）：</w:t>
      </w:r>
    </w:p>
    <w:p w14:paraId="6F001A01">
      <w:pPr>
        <w:spacing w:line="400" w:lineRule="exact"/>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授权委托代理人（签名或印鉴）：</w:t>
      </w:r>
    </w:p>
    <w:p w14:paraId="0AAF30E7">
      <w:pPr>
        <w:spacing w:line="400" w:lineRule="exact"/>
        <w:jc w:val="center"/>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 xml:space="preserve">                                                年   月   日</w:t>
      </w:r>
    </w:p>
    <w:p w14:paraId="05449A88">
      <w:pPr>
        <w:spacing w:line="480" w:lineRule="exact"/>
        <w:jc w:val="center"/>
        <w:rPr>
          <w:rFonts w:asciiTheme="minorEastAsia" w:hAnsiTheme="minorEastAsia" w:eastAsiaTheme="minorEastAsia" w:cstheme="minorEastAsia"/>
          <w:b/>
        </w:rPr>
        <w:sectPr>
          <w:footerReference r:id="rId4" w:type="default"/>
          <w:pgSz w:w="11906" w:h="16838"/>
          <w:pgMar w:top="1440" w:right="1800" w:bottom="1440" w:left="1800" w:header="851" w:footer="992" w:gutter="0"/>
          <w:pgNumType w:fmt="decimal"/>
          <w:cols w:space="720" w:num="1"/>
          <w:docGrid w:type="lines" w:linePitch="312" w:charSpace="0"/>
        </w:sectPr>
      </w:pPr>
    </w:p>
    <w:p w14:paraId="4D997992">
      <w:pPr>
        <w:pStyle w:val="3"/>
        <w:spacing w:before="0" w:after="0"/>
        <w:jc w:val="center"/>
        <w:rPr>
          <w:rFonts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四、明细报价一览表</w:t>
      </w:r>
    </w:p>
    <w:tbl>
      <w:tblPr>
        <w:tblStyle w:val="23"/>
        <w:tblW w:w="8995" w:type="dxa"/>
        <w:jc w:val="center"/>
        <w:shd w:val="clear" w:color="auto" w:fill="auto"/>
        <w:tblLayout w:type="fixed"/>
        <w:tblCellMar>
          <w:top w:w="0" w:type="dxa"/>
          <w:left w:w="0" w:type="dxa"/>
          <w:bottom w:w="0" w:type="dxa"/>
          <w:right w:w="0" w:type="dxa"/>
        </w:tblCellMar>
      </w:tblPr>
      <w:tblGrid>
        <w:gridCol w:w="598"/>
        <w:gridCol w:w="2537"/>
        <w:gridCol w:w="1088"/>
        <w:gridCol w:w="1022"/>
        <w:gridCol w:w="997"/>
        <w:gridCol w:w="1163"/>
        <w:gridCol w:w="1590"/>
      </w:tblGrid>
      <w:tr w14:paraId="13470AC8">
        <w:tblPrEx>
          <w:shd w:val="clear" w:color="auto" w:fill="auto"/>
          <w:tblCellMar>
            <w:top w:w="0" w:type="dxa"/>
            <w:left w:w="0" w:type="dxa"/>
            <w:bottom w:w="0" w:type="dxa"/>
            <w:right w:w="0" w:type="dxa"/>
          </w:tblCellMar>
        </w:tblPrEx>
        <w:trPr>
          <w:trHeight w:val="1029" w:hRule="atLeast"/>
          <w:jc w:val="center"/>
        </w:trPr>
        <w:tc>
          <w:tcPr>
            <w:tcW w:w="59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EB8046A">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序号</w:t>
            </w:r>
          </w:p>
        </w:tc>
        <w:tc>
          <w:tcPr>
            <w:tcW w:w="25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262835E">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项目名称</w:t>
            </w:r>
          </w:p>
        </w:tc>
        <w:tc>
          <w:tcPr>
            <w:tcW w:w="10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258E1A6">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计量单位</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E744B29">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工程量</w:t>
            </w:r>
          </w:p>
        </w:tc>
        <w:tc>
          <w:tcPr>
            <w:tcW w:w="997" w:type="dxa"/>
            <w:tcBorders>
              <w:top w:val="single" w:color="000000" w:sz="8" w:space="0"/>
              <w:left w:val="single" w:color="000000" w:sz="8" w:space="0"/>
              <w:bottom w:val="single" w:color="000000" w:sz="8" w:space="0"/>
              <w:right w:val="single" w:color="auto" w:sz="4" w:space="0"/>
            </w:tcBorders>
            <w:shd w:val="clear" w:color="auto" w:fill="FFFFFF"/>
            <w:tcMar>
              <w:top w:w="15" w:type="dxa"/>
              <w:left w:w="15" w:type="dxa"/>
              <w:right w:w="15" w:type="dxa"/>
            </w:tcMar>
            <w:vAlign w:val="center"/>
          </w:tcPr>
          <w:p w14:paraId="634C605D">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综合单价（元）</w:t>
            </w:r>
          </w:p>
        </w:tc>
        <w:tc>
          <w:tcPr>
            <w:tcW w:w="1163" w:type="dxa"/>
            <w:tcBorders>
              <w:top w:val="single" w:color="000000" w:sz="8"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14:paraId="5CE093C5">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合价（元）</w:t>
            </w:r>
          </w:p>
        </w:tc>
        <w:tc>
          <w:tcPr>
            <w:tcW w:w="1590" w:type="dxa"/>
            <w:tcBorders>
              <w:top w:val="single" w:color="000000" w:sz="8" w:space="0"/>
              <w:left w:val="single" w:color="auto" w:sz="4" w:space="0"/>
              <w:bottom w:val="single" w:color="000000" w:sz="8" w:space="0"/>
              <w:right w:val="single" w:color="000000" w:sz="8" w:space="0"/>
            </w:tcBorders>
            <w:shd w:val="clear" w:color="auto" w:fill="FFFFFF"/>
            <w:tcMar>
              <w:top w:w="15" w:type="dxa"/>
              <w:left w:w="15" w:type="dxa"/>
              <w:right w:w="15" w:type="dxa"/>
            </w:tcMar>
            <w:vAlign w:val="center"/>
          </w:tcPr>
          <w:p w14:paraId="39FD018D">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推荐品牌</w:t>
            </w:r>
          </w:p>
        </w:tc>
      </w:tr>
      <w:tr w14:paraId="4768403F">
        <w:tblPrEx>
          <w:tblCellMar>
            <w:top w:w="0" w:type="dxa"/>
            <w:left w:w="0" w:type="dxa"/>
            <w:bottom w:w="0" w:type="dxa"/>
            <w:right w:w="0" w:type="dxa"/>
          </w:tblCellMar>
        </w:tblPrEx>
        <w:trPr>
          <w:trHeight w:val="338" w:hRule="atLeast"/>
          <w:jc w:val="center"/>
        </w:trPr>
        <w:tc>
          <w:tcPr>
            <w:tcW w:w="5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EC73D8E">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25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741329E">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门卫进出栏杆(开门)</w:t>
            </w:r>
          </w:p>
        </w:tc>
        <w:tc>
          <w:tcPr>
            <w:tcW w:w="108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0903973">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m2</w:t>
            </w:r>
          </w:p>
        </w:tc>
        <w:tc>
          <w:tcPr>
            <w:tcW w:w="102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0C9205A">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5.13</w:t>
            </w:r>
          </w:p>
        </w:tc>
        <w:tc>
          <w:tcPr>
            <w:tcW w:w="997"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14:paraId="79D8E696">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c>
          <w:tcPr>
            <w:tcW w:w="1163" w:type="dxa"/>
            <w:tcBorders>
              <w:top w:val="single" w:color="000000" w:sz="8" w:space="0"/>
              <w:left w:val="single" w:color="auto" w:sz="4" w:space="0"/>
              <w:bottom w:val="single" w:color="000000" w:sz="8" w:space="0"/>
              <w:right w:val="single" w:color="auto" w:sz="4" w:space="0"/>
            </w:tcBorders>
            <w:shd w:val="clear" w:color="auto" w:fill="auto"/>
            <w:tcMar>
              <w:top w:w="15" w:type="dxa"/>
              <w:left w:w="15" w:type="dxa"/>
              <w:right w:w="15" w:type="dxa"/>
            </w:tcMar>
            <w:vAlign w:val="center"/>
          </w:tcPr>
          <w:p w14:paraId="74D8AB74">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c>
          <w:tcPr>
            <w:tcW w:w="1590"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1B3B06E9">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r>
      <w:tr w14:paraId="3E493986">
        <w:tblPrEx>
          <w:tblCellMar>
            <w:top w:w="0" w:type="dxa"/>
            <w:left w:w="0" w:type="dxa"/>
            <w:bottom w:w="0" w:type="dxa"/>
            <w:right w:w="0" w:type="dxa"/>
          </w:tblCellMar>
        </w:tblPrEx>
        <w:trPr>
          <w:trHeight w:val="353" w:hRule="atLeast"/>
          <w:jc w:val="center"/>
        </w:trPr>
        <w:tc>
          <w:tcPr>
            <w:tcW w:w="5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D78B7A9">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25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5F8501">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不锈钢防盗窗</w:t>
            </w:r>
          </w:p>
        </w:tc>
        <w:tc>
          <w:tcPr>
            <w:tcW w:w="108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50855A9">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m2</w:t>
            </w:r>
          </w:p>
        </w:tc>
        <w:tc>
          <w:tcPr>
            <w:tcW w:w="102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B48AF5">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235.93</w:t>
            </w:r>
          </w:p>
        </w:tc>
        <w:tc>
          <w:tcPr>
            <w:tcW w:w="997"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14:paraId="582D2729">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c>
          <w:tcPr>
            <w:tcW w:w="1163" w:type="dxa"/>
            <w:tcBorders>
              <w:top w:val="single" w:color="000000" w:sz="8" w:space="0"/>
              <w:left w:val="single" w:color="auto" w:sz="4" w:space="0"/>
              <w:bottom w:val="single" w:color="000000" w:sz="8" w:space="0"/>
              <w:right w:val="single" w:color="auto" w:sz="4" w:space="0"/>
            </w:tcBorders>
            <w:shd w:val="clear" w:color="auto" w:fill="auto"/>
            <w:tcMar>
              <w:top w:w="15" w:type="dxa"/>
              <w:left w:w="15" w:type="dxa"/>
              <w:right w:w="15" w:type="dxa"/>
            </w:tcMar>
            <w:vAlign w:val="center"/>
          </w:tcPr>
          <w:p w14:paraId="61A9BC28">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c>
          <w:tcPr>
            <w:tcW w:w="1590"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293D6DA0">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r>
      <w:tr w14:paraId="2385F723">
        <w:tblPrEx>
          <w:tblCellMar>
            <w:top w:w="0" w:type="dxa"/>
            <w:left w:w="0" w:type="dxa"/>
            <w:bottom w:w="0" w:type="dxa"/>
            <w:right w:w="0" w:type="dxa"/>
          </w:tblCellMar>
        </w:tblPrEx>
        <w:trPr>
          <w:trHeight w:val="353" w:hRule="atLeast"/>
          <w:jc w:val="center"/>
        </w:trPr>
        <w:tc>
          <w:tcPr>
            <w:tcW w:w="5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ABAE2C6">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w:t>
            </w:r>
          </w:p>
        </w:tc>
        <w:tc>
          <w:tcPr>
            <w:tcW w:w="25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8BACE0D">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厂区地上围栏</w:t>
            </w:r>
          </w:p>
        </w:tc>
        <w:tc>
          <w:tcPr>
            <w:tcW w:w="108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142B077">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m2</w:t>
            </w:r>
          </w:p>
        </w:tc>
        <w:tc>
          <w:tcPr>
            <w:tcW w:w="102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7274442">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120</w:t>
            </w:r>
          </w:p>
        </w:tc>
        <w:tc>
          <w:tcPr>
            <w:tcW w:w="997"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14:paraId="67CDC046">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c>
          <w:tcPr>
            <w:tcW w:w="1163" w:type="dxa"/>
            <w:tcBorders>
              <w:top w:val="single" w:color="000000" w:sz="8" w:space="0"/>
              <w:left w:val="single" w:color="auto" w:sz="4" w:space="0"/>
              <w:bottom w:val="single" w:color="000000" w:sz="8" w:space="0"/>
              <w:right w:val="single" w:color="auto" w:sz="4" w:space="0"/>
            </w:tcBorders>
            <w:shd w:val="clear" w:color="auto" w:fill="auto"/>
            <w:tcMar>
              <w:top w:w="15" w:type="dxa"/>
              <w:left w:w="15" w:type="dxa"/>
              <w:right w:w="15" w:type="dxa"/>
            </w:tcMar>
            <w:vAlign w:val="center"/>
          </w:tcPr>
          <w:p w14:paraId="47F1518F">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c>
          <w:tcPr>
            <w:tcW w:w="1590"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3E391E31">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r>
      <w:tr w14:paraId="72149259">
        <w:tblPrEx>
          <w:tblCellMar>
            <w:top w:w="0" w:type="dxa"/>
            <w:left w:w="0" w:type="dxa"/>
            <w:bottom w:w="0" w:type="dxa"/>
            <w:right w:w="0" w:type="dxa"/>
          </w:tblCellMar>
        </w:tblPrEx>
        <w:trPr>
          <w:trHeight w:val="353" w:hRule="atLeast"/>
          <w:jc w:val="center"/>
        </w:trPr>
        <w:tc>
          <w:tcPr>
            <w:tcW w:w="5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47D163D">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w:t>
            </w:r>
          </w:p>
        </w:tc>
        <w:tc>
          <w:tcPr>
            <w:tcW w:w="25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EB30A6F">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厂区过水钢筋防护网</w:t>
            </w:r>
          </w:p>
        </w:tc>
        <w:tc>
          <w:tcPr>
            <w:tcW w:w="108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C883326">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m2</w:t>
            </w:r>
          </w:p>
        </w:tc>
        <w:tc>
          <w:tcPr>
            <w:tcW w:w="102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3104C29">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85</w:t>
            </w:r>
          </w:p>
        </w:tc>
        <w:tc>
          <w:tcPr>
            <w:tcW w:w="997"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14:paraId="0806767B">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c>
          <w:tcPr>
            <w:tcW w:w="1163" w:type="dxa"/>
            <w:tcBorders>
              <w:top w:val="single" w:color="000000" w:sz="8" w:space="0"/>
              <w:left w:val="single" w:color="auto" w:sz="4" w:space="0"/>
              <w:bottom w:val="single" w:color="000000" w:sz="8" w:space="0"/>
              <w:right w:val="single" w:color="auto" w:sz="4" w:space="0"/>
            </w:tcBorders>
            <w:shd w:val="clear" w:color="auto" w:fill="auto"/>
            <w:tcMar>
              <w:top w:w="15" w:type="dxa"/>
              <w:left w:w="15" w:type="dxa"/>
              <w:right w:w="15" w:type="dxa"/>
            </w:tcMar>
            <w:vAlign w:val="center"/>
          </w:tcPr>
          <w:p w14:paraId="0531C180">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c>
          <w:tcPr>
            <w:tcW w:w="1590"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5E004455">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r>
      <w:tr w14:paraId="411086AA">
        <w:tblPrEx>
          <w:tblCellMar>
            <w:top w:w="0" w:type="dxa"/>
            <w:left w:w="0" w:type="dxa"/>
            <w:bottom w:w="0" w:type="dxa"/>
            <w:right w:w="0" w:type="dxa"/>
          </w:tblCellMar>
        </w:tblPrEx>
        <w:trPr>
          <w:trHeight w:val="353" w:hRule="atLeast"/>
          <w:jc w:val="center"/>
        </w:trPr>
        <w:tc>
          <w:tcPr>
            <w:tcW w:w="5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F7F77D">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5</w:t>
            </w:r>
          </w:p>
        </w:tc>
        <w:tc>
          <w:tcPr>
            <w:tcW w:w="25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BA1946F">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4级钢制防盗门</w:t>
            </w:r>
          </w:p>
        </w:tc>
        <w:tc>
          <w:tcPr>
            <w:tcW w:w="108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23140B9">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m2</w:t>
            </w:r>
          </w:p>
        </w:tc>
        <w:tc>
          <w:tcPr>
            <w:tcW w:w="102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4E37F1E">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44.17</w:t>
            </w:r>
          </w:p>
        </w:tc>
        <w:tc>
          <w:tcPr>
            <w:tcW w:w="997"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14:paraId="67E7A35D">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1163" w:type="dxa"/>
            <w:tcBorders>
              <w:top w:val="single" w:color="000000" w:sz="8" w:space="0"/>
              <w:left w:val="single" w:color="auto" w:sz="4" w:space="0"/>
              <w:bottom w:val="single" w:color="000000" w:sz="8" w:space="0"/>
              <w:right w:val="single" w:color="auto" w:sz="4" w:space="0"/>
            </w:tcBorders>
            <w:shd w:val="clear" w:color="auto" w:fill="auto"/>
            <w:tcMar>
              <w:top w:w="15" w:type="dxa"/>
              <w:left w:w="15" w:type="dxa"/>
              <w:right w:w="15" w:type="dxa"/>
            </w:tcMar>
            <w:vAlign w:val="center"/>
          </w:tcPr>
          <w:p w14:paraId="561D58DA">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1590"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1485D483">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步阳、大力、万嘉、王力</w:t>
            </w:r>
          </w:p>
        </w:tc>
      </w:tr>
      <w:tr w14:paraId="281D4114">
        <w:tblPrEx>
          <w:tblCellMar>
            <w:top w:w="0" w:type="dxa"/>
            <w:left w:w="0" w:type="dxa"/>
            <w:bottom w:w="0" w:type="dxa"/>
            <w:right w:w="0" w:type="dxa"/>
          </w:tblCellMar>
        </w:tblPrEx>
        <w:trPr>
          <w:trHeight w:val="353" w:hRule="atLeast"/>
          <w:jc w:val="center"/>
        </w:trPr>
        <w:tc>
          <w:tcPr>
            <w:tcW w:w="5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44AD657">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6</w:t>
            </w:r>
          </w:p>
        </w:tc>
        <w:tc>
          <w:tcPr>
            <w:tcW w:w="25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B05EEAF">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不锈钢挡鼠板</w:t>
            </w:r>
          </w:p>
        </w:tc>
        <w:tc>
          <w:tcPr>
            <w:tcW w:w="108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A83DB2">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m2</w:t>
            </w:r>
          </w:p>
        </w:tc>
        <w:tc>
          <w:tcPr>
            <w:tcW w:w="102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BC22D38">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6.8</w:t>
            </w:r>
          </w:p>
        </w:tc>
        <w:tc>
          <w:tcPr>
            <w:tcW w:w="997"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14:paraId="2533B95C">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c>
          <w:tcPr>
            <w:tcW w:w="1163" w:type="dxa"/>
            <w:tcBorders>
              <w:top w:val="single" w:color="000000" w:sz="8" w:space="0"/>
              <w:left w:val="single" w:color="auto" w:sz="4" w:space="0"/>
              <w:bottom w:val="single" w:color="000000" w:sz="8" w:space="0"/>
              <w:right w:val="single" w:color="auto" w:sz="4" w:space="0"/>
            </w:tcBorders>
            <w:shd w:val="clear" w:color="auto" w:fill="auto"/>
            <w:tcMar>
              <w:top w:w="15" w:type="dxa"/>
              <w:left w:w="15" w:type="dxa"/>
              <w:right w:w="15" w:type="dxa"/>
            </w:tcMar>
            <w:vAlign w:val="center"/>
          </w:tcPr>
          <w:p w14:paraId="4268A05B">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c>
          <w:tcPr>
            <w:tcW w:w="1590"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06244995">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r>
      <w:tr w14:paraId="577A8A40">
        <w:tblPrEx>
          <w:tblCellMar>
            <w:top w:w="0" w:type="dxa"/>
            <w:left w:w="0" w:type="dxa"/>
            <w:bottom w:w="0" w:type="dxa"/>
            <w:right w:w="0" w:type="dxa"/>
          </w:tblCellMar>
        </w:tblPrEx>
        <w:trPr>
          <w:trHeight w:val="559" w:hRule="atLeast"/>
          <w:jc w:val="center"/>
        </w:trPr>
        <w:tc>
          <w:tcPr>
            <w:tcW w:w="5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3DBB6E5">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7</w:t>
            </w:r>
          </w:p>
        </w:tc>
        <w:tc>
          <w:tcPr>
            <w:tcW w:w="25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C75FA36">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防火堵洞（隔板）、孔洞封堵</w:t>
            </w:r>
          </w:p>
        </w:tc>
        <w:tc>
          <w:tcPr>
            <w:tcW w:w="108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A1EBC21">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m2</w:t>
            </w:r>
          </w:p>
        </w:tc>
        <w:tc>
          <w:tcPr>
            <w:tcW w:w="102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25A07DD">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10.56</w:t>
            </w:r>
          </w:p>
        </w:tc>
        <w:tc>
          <w:tcPr>
            <w:tcW w:w="997"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14:paraId="6BB8F1D0">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c>
          <w:tcPr>
            <w:tcW w:w="1163" w:type="dxa"/>
            <w:tcBorders>
              <w:top w:val="single" w:color="000000" w:sz="8" w:space="0"/>
              <w:left w:val="single" w:color="auto" w:sz="4" w:space="0"/>
              <w:bottom w:val="single" w:color="000000" w:sz="8" w:space="0"/>
              <w:right w:val="single" w:color="auto" w:sz="4" w:space="0"/>
            </w:tcBorders>
            <w:shd w:val="clear" w:color="auto" w:fill="auto"/>
            <w:tcMar>
              <w:top w:w="15" w:type="dxa"/>
              <w:left w:w="15" w:type="dxa"/>
              <w:right w:w="15" w:type="dxa"/>
            </w:tcMar>
            <w:vAlign w:val="center"/>
          </w:tcPr>
          <w:p w14:paraId="751DACAE">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c>
          <w:tcPr>
            <w:tcW w:w="1590"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27628079">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r>
      <w:tr w14:paraId="79A69B3E">
        <w:tblPrEx>
          <w:tblCellMar>
            <w:top w:w="0" w:type="dxa"/>
            <w:left w:w="0" w:type="dxa"/>
            <w:bottom w:w="0" w:type="dxa"/>
            <w:right w:w="0" w:type="dxa"/>
          </w:tblCellMar>
        </w:tblPrEx>
        <w:trPr>
          <w:trHeight w:val="338" w:hRule="atLeast"/>
          <w:jc w:val="center"/>
        </w:trPr>
        <w:tc>
          <w:tcPr>
            <w:tcW w:w="5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00BFD82">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8</w:t>
            </w:r>
          </w:p>
        </w:tc>
        <w:tc>
          <w:tcPr>
            <w:tcW w:w="25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BA61851">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钢桁架</w:t>
            </w:r>
          </w:p>
        </w:tc>
        <w:tc>
          <w:tcPr>
            <w:tcW w:w="108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E424094">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t</w:t>
            </w:r>
          </w:p>
        </w:tc>
        <w:tc>
          <w:tcPr>
            <w:tcW w:w="102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711B5C1">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4.2</w:t>
            </w:r>
          </w:p>
        </w:tc>
        <w:tc>
          <w:tcPr>
            <w:tcW w:w="997"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14:paraId="622921D8">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c>
          <w:tcPr>
            <w:tcW w:w="1163" w:type="dxa"/>
            <w:tcBorders>
              <w:top w:val="single" w:color="000000" w:sz="8" w:space="0"/>
              <w:left w:val="single" w:color="auto" w:sz="4" w:space="0"/>
              <w:bottom w:val="single" w:color="000000" w:sz="8" w:space="0"/>
              <w:right w:val="single" w:color="auto" w:sz="4" w:space="0"/>
            </w:tcBorders>
            <w:shd w:val="clear" w:color="auto" w:fill="auto"/>
            <w:tcMar>
              <w:top w:w="15" w:type="dxa"/>
              <w:left w:w="15" w:type="dxa"/>
              <w:right w:w="15" w:type="dxa"/>
            </w:tcMar>
            <w:vAlign w:val="center"/>
          </w:tcPr>
          <w:p w14:paraId="5F2A5084">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c>
          <w:tcPr>
            <w:tcW w:w="1590"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017A149D">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r>
      <w:tr w14:paraId="4C7FE2BE">
        <w:tblPrEx>
          <w:tblCellMar>
            <w:top w:w="0" w:type="dxa"/>
            <w:left w:w="0" w:type="dxa"/>
            <w:bottom w:w="0" w:type="dxa"/>
            <w:right w:w="0" w:type="dxa"/>
          </w:tblCellMar>
        </w:tblPrEx>
        <w:trPr>
          <w:trHeight w:val="338" w:hRule="atLeast"/>
          <w:jc w:val="center"/>
        </w:trPr>
        <w:tc>
          <w:tcPr>
            <w:tcW w:w="5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07C100E">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9</w:t>
            </w:r>
          </w:p>
        </w:tc>
        <w:tc>
          <w:tcPr>
            <w:tcW w:w="25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1BC9671">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钢桁架混凝土支墩</w:t>
            </w:r>
          </w:p>
        </w:tc>
        <w:tc>
          <w:tcPr>
            <w:tcW w:w="108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E9D524">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m3</w:t>
            </w:r>
          </w:p>
        </w:tc>
        <w:tc>
          <w:tcPr>
            <w:tcW w:w="102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16A429C">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10.59</w:t>
            </w:r>
          </w:p>
        </w:tc>
        <w:tc>
          <w:tcPr>
            <w:tcW w:w="997"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14:paraId="7590F45F">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c>
          <w:tcPr>
            <w:tcW w:w="1163" w:type="dxa"/>
            <w:tcBorders>
              <w:top w:val="single" w:color="000000" w:sz="8" w:space="0"/>
              <w:left w:val="single" w:color="auto" w:sz="4" w:space="0"/>
              <w:bottom w:val="single" w:color="000000" w:sz="8" w:space="0"/>
              <w:right w:val="single" w:color="auto" w:sz="4" w:space="0"/>
            </w:tcBorders>
            <w:shd w:val="clear" w:color="auto" w:fill="auto"/>
            <w:tcMar>
              <w:top w:w="15" w:type="dxa"/>
              <w:left w:w="15" w:type="dxa"/>
              <w:right w:w="15" w:type="dxa"/>
            </w:tcMar>
            <w:vAlign w:val="center"/>
          </w:tcPr>
          <w:p w14:paraId="21DD2D88">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c>
          <w:tcPr>
            <w:tcW w:w="1590"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54C62523">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r>
      <w:tr w14:paraId="3C367927">
        <w:tblPrEx>
          <w:tblCellMar>
            <w:top w:w="0" w:type="dxa"/>
            <w:left w:w="0" w:type="dxa"/>
            <w:bottom w:w="0" w:type="dxa"/>
            <w:right w:w="0" w:type="dxa"/>
          </w:tblCellMar>
        </w:tblPrEx>
        <w:trPr>
          <w:trHeight w:val="675" w:hRule="atLeast"/>
          <w:jc w:val="center"/>
        </w:trPr>
        <w:tc>
          <w:tcPr>
            <w:tcW w:w="5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4013806">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10</w:t>
            </w:r>
          </w:p>
        </w:tc>
        <w:tc>
          <w:tcPr>
            <w:tcW w:w="25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967774E">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钢桁架混凝土支墩挖沟槽土方</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机械挖土（装车），人工修边坡</w:t>
            </w:r>
          </w:p>
        </w:tc>
        <w:tc>
          <w:tcPr>
            <w:tcW w:w="108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68F351A">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m3</w:t>
            </w:r>
          </w:p>
        </w:tc>
        <w:tc>
          <w:tcPr>
            <w:tcW w:w="102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1CA7C26">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34</w:t>
            </w:r>
          </w:p>
        </w:tc>
        <w:tc>
          <w:tcPr>
            <w:tcW w:w="997"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14:paraId="673F9CD0">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c>
          <w:tcPr>
            <w:tcW w:w="1163" w:type="dxa"/>
            <w:tcBorders>
              <w:top w:val="single" w:color="000000" w:sz="8" w:space="0"/>
              <w:left w:val="single" w:color="auto" w:sz="4" w:space="0"/>
              <w:bottom w:val="single" w:color="000000" w:sz="8" w:space="0"/>
              <w:right w:val="single" w:color="auto" w:sz="4" w:space="0"/>
            </w:tcBorders>
            <w:shd w:val="clear" w:color="auto" w:fill="auto"/>
            <w:tcMar>
              <w:top w:w="15" w:type="dxa"/>
              <w:left w:w="15" w:type="dxa"/>
              <w:right w:w="15" w:type="dxa"/>
            </w:tcMar>
            <w:vAlign w:val="center"/>
          </w:tcPr>
          <w:p w14:paraId="18998ABE">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c>
          <w:tcPr>
            <w:tcW w:w="1590"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1FED9888">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r>
      <w:tr w14:paraId="230005C7">
        <w:tblPrEx>
          <w:tblCellMar>
            <w:top w:w="0" w:type="dxa"/>
            <w:left w:w="0" w:type="dxa"/>
            <w:bottom w:w="0" w:type="dxa"/>
            <w:right w:w="0" w:type="dxa"/>
          </w:tblCellMar>
        </w:tblPrEx>
        <w:trPr>
          <w:trHeight w:val="255" w:hRule="atLeast"/>
          <w:jc w:val="center"/>
        </w:trPr>
        <w:tc>
          <w:tcPr>
            <w:tcW w:w="5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D30513A">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11</w:t>
            </w:r>
          </w:p>
        </w:tc>
        <w:tc>
          <w:tcPr>
            <w:tcW w:w="25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A803926">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伸缩器+止回阀安装,法兰连接</w:t>
            </w:r>
          </w:p>
        </w:tc>
        <w:tc>
          <w:tcPr>
            <w:tcW w:w="108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A8EACB5">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个</w:t>
            </w:r>
          </w:p>
        </w:tc>
        <w:tc>
          <w:tcPr>
            <w:tcW w:w="102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5373D7F">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13</w:t>
            </w:r>
          </w:p>
        </w:tc>
        <w:tc>
          <w:tcPr>
            <w:tcW w:w="997"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14:paraId="0428FE76">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1163" w:type="dxa"/>
            <w:tcBorders>
              <w:top w:val="single" w:color="000000" w:sz="8" w:space="0"/>
              <w:left w:val="single" w:color="auto" w:sz="4" w:space="0"/>
              <w:bottom w:val="single" w:color="000000" w:sz="8" w:space="0"/>
              <w:right w:val="single" w:color="auto" w:sz="4" w:space="0"/>
            </w:tcBorders>
            <w:shd w:val="clear" w:color="auto" w:fill="auto"/>
            <w:tcMar>
              <w:top w:w="15" w:type="dxa"/>
              <w:left w:w="15" w:type="dxa"/>
              <w:right w:w="15" w:type="dxa"/>
            </w:tcMar>
            <w:vAlign w:val="center"/>
          </w:tcPr>
          <w:p w14:paraId="3CB59F98">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1590"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3FC14751">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中核苏阀、上海冠龙、上海良工、上海标一</w:t>
            </w:r>
          </w:p>
        </w:tc>
      </w:tr>
      <w:tr w14:paraId="5CCB531C">
        <w:tblPrEx>
          <w:tblCellMar>
            <w:top w:w="0" w:type="dxa"/>
            <w:left w:w="0" w:type="dxa"/>
            <w:bottom w:w="0" w:type="dxa"/>
            <w:right w:w="0" w:type="dxa"/>
          </w:tblCellMar>
        </w:tblPrEx>
        <w:trPr>
          <w:trHeight w:val="338" w:hRule="atLeast"/>
          <w:jc w:val="center"/>
        </w:trPr>
        <w:tc>
          <w:tcPr>
            <w:tcW w:w="5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1A8819A">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12</w:t>
            </w:r>
          </w:p>
        </w:tc>
        <w:tc>
          <w:tcPr>
            <w:tcW w:w="25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A16A197">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新建铝合金取水泵房</w:t>
            </w:r>
          </w:p>
        </w:tc>
        <w:tc>
          <w:tcPr>
            <w:tcW w:w="108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9962072">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座</w:t>
            </w:r>
          </w:p>
        </w:tc>
        <w:tc>
          <w:tcPr>
            <w:tcW w:w="102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03F0EB3">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997"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14:paraId="00688ECE">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c>
          <w:tcPr>
            <w:tcW w:w="1163" w:type="dxa"/>
            <w:tcBorders>
              <w:top w:val="single" w:color="000000" w:sz="8" w:space="0"/>
              <w:left w:val="single" w:color="auto" w:sz="4" w:space="0"/>
              <w:bottom w:val="single" w:color="000000" w:sz="8" w:space="0"/>
              <w:right w:val="single" w:color="auto" w:sz="4" w:space="0"/>
            </w:tcBorders>
            <w:shd w:val="clear" w:color="auto" w:fill="auto"/>
            <w:tcMar>
              <w:top w:w="15" w:type="dxa"/>
              <w:left w:w="15" w:type="dxa"/>
              <w:right w:w="15" w:type="dxa"/>
            </w:tcMar>
            <w:vAlign w:val="center"/>
          </w:tcPr>
          <w:p w14:paraId="708ABEEB">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c>
          <w:tcPr>
            <w:tcW w:w="1590"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39EBA5CD">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r>
      <w:tr w14:paraId="22BCCE10">
        <w:tblPrEx>
          <w:tblCellMar>
            <w:top w:w="0" w:type="dxa"/>
            <w:left w:w="0" w:type="dxa"/>
            <w:bottom w:w="0" w:type="dxa"/>
            <w:right w:w="0" w:type="dxa"/>
          </w:tblCellMar>
        </w:tblPrEx>
        <w:trPr>
          <w:trHeight w:val="338" w:hRule="atLeast"/>
          <w:jc w:val="center"/>
        </w:trPr>
        <w:tc>
          <w:tcPr>
            <w:tcW w:w="5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EBB93AF">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13</w:t>
            </w:r>
          </w:p>
        </w:tc>
        <w:tc>
          <w:tcPr>
            <w:tcW w:w="25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9F9CC4">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中水检测口及管线改造</w:t>
            </w:r>
          </w:p>
        </w:tc>
        <w:tc>
          <w:tcPr>
            <w:tcW w:w="108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78079BB">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项</w:t>
            </w:r>
          </w:p>
        </w:tc>
        <w:tc>
          <w:tcPr>
            <w:tcW w:w="102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FF9C954">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997"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14:paraId="65349CA3">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c>
          <w:tcPr>
            <w:tcW w:w="1163" w:type="dxa"/>
            <w:tcBorders>
              <w:top w:val="single" w:color="000000" w:sz="8" w:space="0"/>
              <w:left w:val="single" w:color="auto" w:sz="4" w:space="0"/>
              <w:bottom w:val="single" w:color="000000" w:sz="8" w:space="0"/>
              <w:right w:val="single" w:color="auto" w:sz="4" w:space="0"/>
            </w:tcBorders>
            <w:shd w:val="clear" w:color="auto" w:fill="auto"/>
            <w:tcMar>
              <w:top w:w="15" w:type="dxa"/>
              <w:left w:w="15" w:type="dxa"/>
              <w:right w:w="15" w:type="dxa"/>
            </w:tcMar>
            <w:vAlign w:val="center"/>
          </w:tcPr>
          <w:p w14:paraId="6F7FE54A">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c>
          <w:tcPr>
            <w:tcW w:w="1590"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2BE95AD4">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r>
      <w:tr w14:paraId="5D85D243">
        <w:tblPrEx>
          <w:tblCellMar>
            <w:top w:w="0" w:type="dxa"/>
            <w:left w:w="0" w:type="dxa"/>
            <w:bottom w:w="0" w:type="dxa"/>
            <w:right w:w="0" w:type="dxa"/>
          </w:tblCellMar>
        </w:tblPrEx>
        <w:trPr>
          <w:trHeight w:val="338" w:hRule="atLeast"/>
          <w:jc w:val="center"/>
        </w:trPr>
        <w:tc>
          <w:tcPr>
            <w:tcW w:w="6242" w:type="dxa"/>
            <w:gridSpan w:val="5"/>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14:paraId="64A3295E">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投标总价（元）</w:t>
            </w:r>
          </w:p>
        </w:tc>
        <w:tc>
          <w:tcPr>
            <w:tcW w:w="1163" w:type="dxa"/>
            <w:tcBorders>
              <w:top w:val="single" w:color="000000" w:sz="8" w:space="0"/>
              <w:left w:val="single" w:color="auto" w:sz="4" w:space="0"/>
              <w:bottom w:val="single" w:color="000000" w:sz="8" w:space="0"/>
              <w:right w:val="single" w:color="auto" w:sz="4" w:space="0"/>
            </w:tcBorders>
            <w:shd w:val="clear" w:color="auto" w:fill="auto"/>
            <w:tcMar>
              <w:top w:w="15" w:type="dxa"/>
              <w:left w:w="15" w:type="dxa"/>
              <w:right w:w="15" w:type="dxa"/>
            </w:tcMar>
            <w:vAlign w:val="center"/>
          </w:tcPr>
          <w:p w14:paraId="228DB30A">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c>
          <w:tcPr>
            <w:tcW w:w="1590"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65DA3C6D">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r>
    </w:tbl>
    <w:p w14:paraId="321ECF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bidi="ar-SA"/>
        </w:rPr>
        <w:t>备注：</w:t>
      </w:r>
    </w:p>
    <w:p w14:paraId="3C9806EB">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bidi="ar-SA"/>
        </w:rPr>
        <w:t>以上工程量清单数量仅供参考，具体要求详见设计图纸，请各投标人务必自行踏勘，以现场实际为准。</w:t>
      </w:r>
    </w:p>
    <w:p w14:paraId="6988D187">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bidi="ar-SA"/>
        </w:rPr>
        <w:t>本项目采用固定总价模式，以上明细报价一览表，投标人可自行扩展增加（不可删减），费用均包含在投标总价内，中标后价格不予调整。</w:t>
      </w:r>
    </w:p>
    <w:p w14:paraId="19189759">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20" w:firstLineChars="200"/>
        <w:textAlignment w:val="auto"/>
        <w:rPr>
          <w:rFonts w:ascii="Calibri" w:hAnsi="Calibri"/>
          <w:b/>
        </w:rPr>
      </w:pPr>
      <w:r>
        <w:rPr>
          <w:rFonts w:hint="eastAsia" w:asciiTheme="minorEastAsia" w:hAnsiTheme="minorEastAsia" w:eastAsiaTheme="minorEastAsia" w:cstheme="minorEastAsia"/>
          <w:kern w:val="0"/>
          <w:sz w:val="21"/>
          <w:szCs w:val="21"/>
          <w:highlight w:val="none"/>
          <w:lang w:val="en-US" w:eastAsia="zh-CN" w:bidi="ar-SA"/>
        </w:rPr>
        <w:t>投标人可以选择推荐品牌，也可以选择推荐品牌以外的品牌，但所选品牌档次必须高于或等于推荐品牌档次，提供①由相关机构出具的检测报告；②技术白皮书；③生产许可证；④地级市及以上质量技术监督单位（如南通市质量技术监督局）出具的所投品牌产品不低于本招标文件项目需求内的“推荐品牌”的技术标准证明文件。以上四项提供复印件加盖生产厂家红章作为佐证材料并作为报价标的组成部分，未提供的或未按要求提供的，评标委员会不予认可。当评标小组三分之二以上评委认定，所选品牌档次低于建议品牌档次的，将作无效投标处理。</w:t>
      </w:r>
    </w:p>
    <w:p w14:paraId="7C4FEF29">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kern w:val="0"/>
          <w:sz w:val="21"/>
          <w:szCs w:val="21"/>
        </w:rPr>
      </w:pPr>
      <w:r>
        <w:rPr>
          <w:rFonts w:hint="eastAsia" w:ascii="宋体" w:hAnsi="宋体" w:cs="宋体"/>
          <w:color w:val="000000"/>
          <w:kern w:val="0"/>
          <w:sz w:val="21"/>
          <w:szCs w:val="21"/>
        </w:rPr>
        <w:t>投标单位（盖章）：</w:t>
      </w:r>
    </w:p>
    <w:p w14:paraId="21C3A6A8">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kern w:val="0"/>
          <w:sz w:val="21"/>
          <w:szCs w:val="21"/>
        </w:rPr>
      </w:pPr>
      <w:r>
        <w:rPr>
          <w:rFonts w:hint="eastAsia" w:ascii="宋体" w:hAnsi="宋体" w:cs="宋体"/>
          <w:color w:val="000000"/>
          <w:kern w:val="0"/>
          <w:sz w:val="21"/>
          <w:szCs w:val="21"/>
        </w:rPr>
        <w:t>授权代表（签字或盖章）：</w:t>
      </w:r>
    </w:p>
    <w:p w14:paraId="504E533A">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r>
        <w:rPr>
          <w:rFonts w:hint="eastAsia" w:ascii="宋体" w:hAnsi="宋体" w:cs="宋体"/>
          <w:color w:val="000000"/>
          <w:kern w:val="0"/>
          <w:sz w:val="21"/>
          <w:szCs w:val="21"/>
        </w:rPr>
        <w:t>日期：</w:t>
      </w:r>
    </w:p>
    <w:p w14:paraId="6607A001">
      <w:pPr>
        <w:pStyle w:val="2"/>
        <w:spacing w:before="0" w:after="0" w:line="360" w:lineRule="auto"/>
        <w:jc w:val="both"/>
        <w:rPr>
          <w:rFonts w:asciiTheme="minorEastAsia" w:hAnsiTheme="minorEastAsia" w:eastAsiaTheme="minorEastAsia" w:cstheme="minorEastAsia"/>
          <w:sz w:val="21"/>
          <w:szCs w:val="21"/>
        </w:rPr>
        <w:sectPr>
          <w:footerReference r:id="rId5" w:type="default"/>
          <w:pgSz w:w="11906" w:h="16838"/>
          <w:pgMar w:top="1440" w:right="1440" w:bottom="1440" w:left="1440" w:header="851" w:footer="992" w:gutter="0"/>
          <w:pgNumType w:fmt="decimal"/>
          <w:cols w:space="720" w:num="1"/>
          <w:docGrid w:type="lines" w:linePitch="312" w:charSpace="0"/>
        </w:sectPr>
      </w:pPr>
      <w:bookmarkStart w:id="19" w:name="_Toc508219336"/>
      <w:bookmarkStart w:id="20" w:name="_Toc508219371"/>
      <w:bookmarkStart w:id="21" w:name="OLE_LINK3"/>
      <w:bookmarkStart w:id="22" w:name="OLE_LINK4"/>
    </w:p>
    <w:p w14:paraId="45BD6F4B">
      <w:pPr>
        <w:spacing w:line="520" w:lineRule="exact"/>
        <w:ind w:firstLine="377" w:firstLineChars="179"/>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五、投标声明函</w:t>
      </w:r>
    </w:p>
    <w:p w14:paraId="0BE5CDAF">
      <w:pPr>
        <w:spacing w:line="360" w:lineRule="exact"/>
        <w:ind w:left="420" w:hanging="420" w:hanging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致</w:t>
      </w:r>
      <w:r>
        <w:rPr>
          <w:rFonts w:hint="eastAsia" w:asciiTheme="minorEastAsia" w:hAnsiTheme="minorEastAsia" w:eastAsiaTheme="minorEastAsia" w:cstheme="minorEastAsia"/>
          <w:color w:val="0D0D0D" w:themeColor="text1" w:themeTint="F2"/>
          <w:u w:val="single"/>
          <w14:textFill>
            <w14:solidFill>
              <w14:schemeClr w14:val="tx1">
                <w14:lumMod w14:val="95000"/>
                <w14:lumOff w14:val="5000"/>
              </w14:schemeClr>
            </w14:solidFill>
          </w14:textFill>
        </w:rPr>
        <w:t>南通市通州区水务有限公司</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w:t>
      </w:r>
    </w:p>
    <w:p w14:paraId="753DAD12">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1、我方承诺（1）</w:t>
      </w: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具有独立承担民事责任的能力；（2）具有良好的商业信誉和健全的财务会计制度；（3）具有履行合同所必需的设备及专业技术能力；（4）有依法缴纳税收和社会保障资金的良好记录；（5）参加本次招标活动前三年内，在经营活动中没有重大违法记录；（6）法律、行政法规规定的其他条件，且符合、承认并承诺履行招标文件各项规定的国内法人、其他组织（不包括在港澳台地区注册成立的法人、其它组织）；</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以及本项目招标文件规定的投标人须满足的特定条件。</w:t>
      </w:r>
    </w:p>
    <w:p w14:paraId="0821CAD5">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2、我方承诺参加本次招标活动前三年内，在经营活动中没有重大违法记录，否则，可将我方的投标文件按照无效投标文件处理。</w:t>
      </w:r>
    </w:p>
    <w:p w14:paraId="51A8C62D">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3、我方承诺完全具有履行合同所必需的设备和专业技术能力。</w:t>
      </w:r>
    </w:p>
    <w:p w14:paraId="79FA465D">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4、我方承诺按照本项目招标文件和相关技术标准的条件，提交评估报告，并承担评估报告的质量。</w:t>
      </w:r>
    </w:p>
    <w:p w14:paraId="444D1839">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5、我方对本项目招标文件（包括修改文件及有关附件）完全理解，并承诺在发生争议时，不会以对招标文件存在误解、不明为由，向你方行使任何法律上的抗辩权。</w:t>
      </w:r>
    </w:p>
    <w:p w14:paraId="76E21A82">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6、我方投标文件有效期为自开标日起60个日历日，若中标，则投标有效期自动延续至合同履行完毕。</w:t>
      </w:r>
    </w:p>
    <w:p w14:paraId="4B5CCAFA">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7、我方承诺接受招标文件规定的付款方式。</w:t>
      </w:r>
    </w:p>
    <w:p w14:paraId="2C7AB9E7">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8、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14:paraId="2709D148">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9、我方承诺投标文件中所有的资料及所作各项承诺均真实准确，所提交的营业执照/《事业单位法人证书》已依法向登记管理机关报送相应的年度报告并予以公示（或所提交的《社会团体法人登记证书》/《民办非企业单位登记证书》已通过登记管理机关的年度检查），不存在任何虚假之处，否则，可将我方的投标文件按照无效投标文件处理，即使我方中标，中标结果无效，对于因此给其他投标人及你方造成的全部损失，我方同意无条件予以赔偿。</w:t>
      </w:r>
    </w:p>
    <w:p w14:paraId="3A475E6E">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10、我方委托授权(姓名:_________，身份证号:_________，联系电话：________)作为我方的代理人参加本项目投标，负责提交投标文件以及其它相关资料，参加开标，接受质询并予以澄清，签署、接受招投标过程中的各种法律文件，办理投标过程中的其他相关事务。</w:t>
      </w:r>
    </w:p>
    <w:p w14:paraId="27BFEA10">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11、我方承诺将严格遵守《中华人民共和国招标投标法》及相关法规，若存在违法违规行为，将承担相应的法律后果。</w:t>
      </w:r>
    </w:p>
    <w:p w14:paraId="114EB5B1">
      <w:pPr>
        <w:spacing w:line="360" w:lineRule="exact"/>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法定代表人签字或盖章：</w:t>
      </w:r>
    </w:p>
    <w:p w14:paraId="779DCC5A">
      <w:pPr>
        <w:spacing w:line="360" w:lineRule="exact"/>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投标人公章：</w:t>
      </w:r>
    </w:p>
    <w:p w14:paraId="495F6D05">
      <w:pPr>
        <w:spacing w:line="360" w:lineRule="exact"/>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日期：</w:t>
      </w:r>
    </w:p>
    <w:p w14:paraId="79FE036C">
      <w:pPr>
        <w:spacing w:line="360" w:lineRule="exact"/>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注：1、出具本函的单位属于非法人组织的，按照法律、行政法规规定能够对外代表其从事民事活动的主要负责人，如个人独资企业的投资人，代表合伙企业执行合伙企业事务的合伙人等，视同法定代表人。</w:t>
      </w:r>
    </w:p>
    <w:p w14:paraId="16C73A38">
      <w:pPr>
        <w:numPr>
          <w:ilvl w:val="0"/>
          <w:numId w:val="4"/>
        </w:numPr>
        <w:spacing w:line="360" w:lineRule="exact"/>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若本项目允许联合体投标，且投标人为联合体的，则上文中“我方”包含联合体各方。</w:t>
      </w:r>
    </w:p>
    <w:p w14:paraId="7B4D92D2">
      <w:pP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sectPr>
          <w:pgSz w:w="11906" w:h="16838"/>
          <w:pgMar w:top="1440" w:right="1440" w:bottom="1440" w:left="1440" w:header="851" w:footer="992" w:gutter="0"/>
          <w:pgNumType w:fmt="decimal"/>
          <w:cols w:space="720" w:num="1"/>
          <w:docGrid w:type="lines" w:linePitch="312" w:charSpace="0"/>
        </w:sect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br w:type="page"/>
      </w:r>
    </w:p>
    <w:bookmarkEnd w:id="19"/>
    <w:bookmarkEnd w:id="20"/>
    <w:p w14:paraId="6ACE6E4C">
      <w:pPr>
        <w:numPr>
          <w:ilvl w:val="0"/>
          <w:numId w:val="5"/>
        </w:numPr>
        <w:spacing w:line="360" w:lineRule="auto"/>
        <w:jc w:val="cente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 xml:space="preserve"> 项目需求</w:t>
      </w:r>
    </w:p>
    <w:bookmarkEnd w:id="21"/>
    <w:bookmarkEnd w:id="22"/>
    <w:p w14:paraId="6A9EF8C5">
      <w:pPr>
        <w:keepNext/>
        <w:keepLines/>
        <w:spacing w:line="360" w:lineRule="auto"/>
        <w:jc w:val="left"/>
        <w:outlineLvl w:val="1"/>
        <w:rPr>
          <w:rFonts w:ascii="宋体" w:hAnsi="宋体" w:cs="宋体"/>
          <w:b/>
          <w:bCs/>
          <w:snapToGrid w:val="0"/>
          <w:sz w:val="24"/>
          <w:szCs w:val="24"/>
        </w:rPr>
      </w:pPr>
      <w:r>
        <w:rPr>
          <w:rFonts w:hint="eastAsia" w:ascii="宋体" w:hAnsi="宋体" w:cs="宋体"/>
          <w:b/>
          <w:bCs/>
          <w:snapToGrid w:val="0"/>
          <w:sz w:val="24"/>
          <w:szCs w:val="24"/>
        </w:rPr>
        <w:t>一、服务范围</w:t>
      </w:r>
    </w:p>
    <w:p w14:paraId="13B979EF">
      <w:pPr>
        <w:tabs>
          <w:tab w:val="left" w:pos="3585"/>
        </w:tabs>
        <w:spacing w:line="360" w:lineRule="auto"/>
        <w:ind w:firstLine="460" w:firstLineChars="192"/>
        <w:rPr>
          <w:rFonts w:hint="eastAsia" w:ascii="Calibri" w:hAnsi="Calibri" w:cs="宋体"/>
          <w:sz w:val="24"/>
          <w:szCs w:val="24"/>
        </w:rPr>
      </w:pPr>
      <w:r>
        <w:rPr>
          <w:rFonts w:hint="eastAsia" w:ascii="Calibri" w:hAnsi="Calibri" w:cs="宋体"/>
          <w:sz w:val="24"/>
          <w:szCs w:val="24"/>
          <w:lang w:val="en-US" w:eastAsia="zh-CN"/>
        </w:rPr>
        <w:t>为确保通州城区应急水源地相关建设符合反恐标准及要求，现需对供水设施改扩建和技术改造，采购安装一批伸缩节、止回阀、跨河钢桁架、围栏及防盗设施等</w:t>
      </w:r>
      <w:r>
        <w:rPr>
          <w:rFonts w:hint="eastAsia" w:ascii="Calibri" w:hAnsi="Calibri" w:cs="宋体"/>
          <w:sz w:val="24"/>
          <w:szCs w:val="24"/>
        </w:rPr>
        <w:t>。采购内容</w:t>
      </w:r>
      <w:r>
        <w:rPr>
          <w:rFonts w:hint="eastAsia" w:ascii="Calibri" w:hAnsi="Calibri" w:cs="宋体"/>
          <w:sz w:val="24"/>
          <w:szCs w:val="24"/>
          <w:lang w:val="en-US" w:eastAsia="zh-CN"/>
        </w:rPr>
        <w:t>包含</w:t>
      </w:r>
      <w:r>
        <w:rPr>
          <w:rFonts w:hint="eastAsia" w:ascii="Calibri" w:hAnsi="Calibri" w:cs="宋体"/>
          <w:sz w:val="24"/>
          <w:szCs w:val="24"/>
        </w:rPr>
        <w:t>如下：</w:t>
      </w:r>
    </w:p>
    <w:tbl>
      <w:tblPr>
        <w:tblStyle w:val="23"/>
        <w:tblW w:w="8281" w:type="dxa"/>
        <w:jc w:val="center"/>
        <w:shd w:val="clear" w:color="auto" w:fill="auto"/>
        <w:tblLayout w:type="fixed"/>
        <w:tblCellMar>
          <w:top w:w="0" w:type="dxa"/>
          <w:left w:w="0" w:type="dxa"/>
          <w:bottom w:w="0" w:type="dxa"/>
          <w:right w:w="0" w:type="dxa"/>
        </w:tblCellMar>
      </w:tblPr>
      <w:tblGrid>
        <w:gridCol w:w="630"/>
        <w:gridCol w:w="2924"/>
        <w:gridCol w:w="1125"/>
        <w:gridCol w:w="1102"/>
        <w:gridCol w:w="2500"/>
      </w:tblGrid>
      <w:tr w14:paraId="62E247A7">
        <w:tblPrEx>
          <w:shd w:val="clear" w:color="auto" w:fill="auto"/>
          <w:tblCellMar>
            <w:top w:w="0" w:type="dxa"/>
            <w:left w:w="0" w:type="dxa"/>
            <w:bottom w:w="0" w:type="dxa"/>
            <w:right w:w="0" w:type="dxa"/>
          </w:tblCellMar>
        </w:tblPrEx>
        <w:trPr>
          <w:trHeight w:val="1029" w:hRule="atLeast"/>
          <w:jc w:val="center"/>
        </w:trPr>
        <w:tc>
          <w:tcPr>
            <w:tcW w:w="63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779B2A0">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序号</w:t>
            </w:r>
          </w:p>
        </w:tc>
        <w:tc>
          <w:tcPr>
            <w:tcW w:w="292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EE33D4D">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项目名称</w:t>
            </w:r>
          </w:p>
        </w:tc>
        <w:tc>
          <w:tcPr>
            <w:tcW w:w="1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864292D">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计量单位</w:t>
            </w:r>
          </w:p>
        </w:tc>
        <w:tc>
          <w:tcPr>
            <w:tcW w:w="11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0D8023D">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工程量</w:t>
            </w:r>
          </w:p>
        </w:tc>
        <w:tc>
          <w:tcPr>
            <w:tcW w:w="250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5B0DDF3">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推荐品牌</w:t>
            </w:r>
          </w:p>
        </w:tc>
      </w:tr>
      <w:tr w14:paraId="0B68775A">
        <w:tblPrEx>
          <w:tblCellMar>
            <w:top w:w="0" w:type="dxa"/>
            <w:left w:w="0" w:type="dxa"/>
            <w:bottom w:w="0" w:type="dxa"/>
            <w:right w:w="0" w:type="dxa"/>
          </w:tblCellMar>
        </w:tblPrEx>
        <w:trPr>
          <w:trHeight w:val="338" w:hRule="atLeast"/>
          <w:jc w:val="center"/>
        </w:trPr>
        <w:tc>
          <w:tcPr>
            <w:tcW w:w="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9C1BF92">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29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FFFC5F">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门卫进出栏杆(开门)</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3255933">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m2</w:t>
            </w:r>
          </w:p>
        </w:tc>
        <w:tc>
          <w:tcPr>
            <w:tcW w:w="110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2B9AAC9">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5.13</w:t>
            </w:r>
          </w:p>
        </w:tc>
        <w:tc>
          <w:tcPr>
            <w:tcW w:w="2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F48F8B0">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r>
      <w:tr w14:paraId="600903D1">
        <w:tblPrEx>
          <w:tblCellMar>
            <w:top w:w="0" w:type="dxa"/>
            <w:left w:w="0" w:type="dxa"/>
            <w:bottom w:w="0" w:type="dxa"/>
            <w:right w:w="0" w:type="dxa"/>
          </w:tblCellMar>
        </w:tblPrEx>
        <w:trPr>
          <w:trHeight w:val="353" w:hRule="atLeast"/>
          <w:jc w:val="center"/>
        </w:trPr>
        <w:tc>
          <w:tcPr>
            <w:tcW w:w="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8FE6559">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29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C737C26">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不锈钢防盗窗</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551C27C">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m2</w:t>
            </w:r>
          </w:p>
        </w:tc>
        <w:tc>
          <w:tcPr>
            <w:tcW w:w="110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811BC6C">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235.93</w:t>
            </w:r>
          </w:p>
        </w:tc>
        <w:tc>
          <w:tcPr>
            <w:tcW w:w="2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3A03B51">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r>
      <w:tr w14:paraId="6DCF5C0F">
        <w:tblPrEx>
          <w:tblCellMar>
            <w:top w:w="0" w:type="dxa"/>
            <w:left w:w="0" w:type="dxa"/>
            <w:bottom w:w="0" w:type="dxa"/>
            <w:right w:w="0" w:type="dxa"/>
          </w:tblCellMar>
        </w:tblPrEx>
        <w:trPr>
          <w:trHeight w:val="353" w:hRule="atLeast"/>
          <w:jc w:val="center"/>
        </w:trPr>
        <w:tc>
          <w:tcPr>
            <w:tcW w:w="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BCE92B4">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w:t>
            </w:r>
          </w:p>
        </w:tc>
        <w:tc>
          <w:tcPr>
            <w:tcW w:w="29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2223A05">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厂区地上围栏</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02A0C60">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m2</w:t>
            </w:r>
          </w:p>
        </w:tc>
        <w:tc>
          <w:tcPr>
            <w:tcW w:w="110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F7449E1">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120</w:t>
            </w:r>
          </w:p>
        </w:tc>
        <w:tc>
          <w:tcPr>
            <w:tcW w:w="2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57E505A">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r>
      <w:tr w14:paraId="14AB3E38">
        <w:tblPrEx>
          <w:tblCellMar>
            <w:top w:w="0" w:type="dxa"/>
            <w:left w:w="0" w:type="dxa"/>
            <w:bottom w:w="0" w:type="dxa"/>
            <w:right w:w="0" w:type="dxa"/>
          </w:tblCellMar>
        </w:tblPrEx>
        <w:trPr>
          <w:trHeight w:val="353" w:hRule="atLeast"/>
          <w:jc w:val="center"/>
        </w:trPr>
        <w:tc>
          <w:tcPr>
            <w:tcW w:w="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3CC5542">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w:t>
            </w:r>
          </w:p>
        </w:tc>
        <w:tc>
          <w:tcPr>
            <w:tcW w:w="29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62DA3CC">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厂区过水钢筋防护网</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A1D8CDE">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m2</w:t>
            </w:r>
          </w:p>
        </w:tc>
        <w:tc>
          <w:tcPr>
            <w:tcW w:w="110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BA2BD23">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85</w:t>
            </w:r>
          </w:p>
        </w:tc>
        <w:tc>
          <w:tcPr>
            <w:tcW w:w="2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5ACDEF7">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r>
      <w:tr w14:paraId="0C35DC0E">
        <w:tblPrEx>
          <w:tblCellMar>
            <w:top w:w="0" w:type="dxa"/>
            <w:left w:w="0" w:type="dxa"/>
            <w:bottom w:w="0" w:type="dxa"/>
            <w:right w:w="0" w:type="dxa"/>
          </w:tblCellMar>
        </w:tblPrEx>
        <w:trPr>
          <w:trHeight w:val="353" w:hRule="atLeast"/>
          <w:jc w:val="center"/>
        </w:trPr>
        <w:tc>
          <w:tcPr>
            <w:tcW w:w="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1DD26A8">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5</w:t>
            </w:r>
          </w:p>
        </w:tc>
        <w:tc>
          <w:tcPr>
            <w:tcW w:w="29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2722717">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4级钢制防盗门</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D61AB7C">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m2</w:t>
            </w:r>
          </w:p>
        </w:tc>
        <w:tc>
          <w:tcPr>
            <w:tcW w:w="110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048FD57">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44.17</w:t>
            </w:r>
          </w:p>
        </w:tc>
        <w:tc>
          <w:tcPr>
            <w:tcW w:w="2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9D333A9">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步阳、大力、万嘉、王力</w:t>
            </w:r>
          </w:p>
        </w:tc>
      </w:tr>
      <w:tr w14:paraId="57DB7E2B">
        <w:tblPrEx>
          <w:tblCellMar>
            <w:top w:w="0" w:type="dxa"/>
            <w:left w:w="0" w:type="dxa"/>
            <w:bottom w:w="0" w:type="dxa"/>
            <w:right w:w="0" w:type="dxa"/>
          </w:tblCellMar>
        </w:tblPrEx>
        <w:trPr>
          <w:trHeight w:val="353" w:hRule="atLeast"/>
          <w:jc w:val="center"/>
        </w:trPr>
        <w:tc>
          <w:tcPr>
            <w:tcW w:w="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710BF29">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6</w:t>
            </w:r>
          </w:p>
        </w:tc>
        <w:tc>
          <w:tcPr>
            <w:tcW w:w="29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FC86A87">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不锈钢挡鼠板</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DB6B70">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m2</w:t>
            </w:r>
          </w:p>
        </w:tc>
        <w:tc>
          <w:tcPr>
            <w:tcW w:w="110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ED989BE">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6.8</w:t>
            </w:r>
          </w:p>
        </w:tc>
        <w:tc>
          <w:tcPr>
            <w:tcW w:w="2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8C31B5A">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r>
      <w:tr w14:paraId="43D0F47F">
        <w:tblPrEx>
          <w:tblCellMar>
            <w:top w:w="0" w:type="dxa"/>
            <w:left w:w="0" w:type="dxa"/>
            <w:bottom w:w="0" w:type="dxa"/>
            <w:right w:w="0" w:type="dxa"/>
          </w:tblCellMar>
        </w:tblPrEx>
        <w:trPr>
          <w:trHeight w:val="559" w:hRule="atLeast"/>
          <w:jc w:val="center"/>
        </w:trPr>
        <w:tc>
          <w:tcPr>
            <w:tcW w:w="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9BDB86E">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7</w:t>
            </w:r>
          </w:p>
        </w:tc>
        <w:tc>
          <w:tcPr>
            <w:tcW w:w="29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7FB6BEC">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防火堵洞（隔板）、孔洞封堵</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75AE1FD">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m2</w:t>
            </w:r>
          </w:p>
        </w:tc>
        <w:tc>
          <w:tcPr>
            <w:tcW w:w="110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4CC4236">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10.56</w:t>
            </w:r>
          </w:p>
        </w:tc>
        <w:tc>
          <w:tcPr>
            <w:tcW w:w="2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512B67B">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r>
      <w:tr w14:paraId="21887141">
        <w:tblPrEx>
          <w:tblCellMar>
            <w:top w:w="0" w:type="dxa"/>
            <w:left w:w="0" w:type="dxa"/>
            <w:bottom w:w="0" w:type="dxa"/>
            <w:right w:w="0" w:type="dxa"/>
          </w:tblCellMar>
        </w:tblPrEx>
        <w:trPr>
          <w:trHeight w:val="338" w:hRule="atLeast"/>
          <w:jc w:val="center"/>
        </w:trPr>
        <w:tc>
          <w:tcPr>
            <w:tcW w:w="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3EFE640">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8</w:t>
            </w:r>
          </w:p>
        </w:tc>
        <w:tc>
          <w:tcPr>
            <w:tcW w:w="29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985A0C4">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钢桁架</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A1E9478">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t</w:t>
            </w:r>
          </w:p>
        </w:tc>
        <w:tc>
          <w:tcPr>
            <w:tcW w:w="110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211F99C">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4.2</w:t>
            </w:r>
          </w:p>
        </w:tc>
        <w:tc>
          <w:tcPr>
            <w:tcW w:w="2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E769BD2">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r>
      <w:tr w14:paraId="75FCA44C">
        <w:tblPrEx>
          <w:tblCellMar>
            <w:top w:w="0" w:type="dxa"/>
            <w:left w:w="0" w:type="dxa"/>
            <w:bottom w:w="0" w:type="dxa"/>
            <w:right w:w="0" w:type="dxa"/>
          </w:tblCellMar>
        </w:tblPrEx>
        <w:trPr>
          <w:trHeight w:val="338" w:hRule="atLeast"/>
          <w:jc w:val="center"/>
        </w:trPr>
        <w:tc>
          <w:tcPr>
            <w:tcW w:w="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1AEC09D">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9</w:t>
            </w:r>
          </w:p>
        </w:tc>
        <w:tc>
          <w:tcPr>
            <w:tcW w:w="29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9BF6747">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钢桁架混凝土支墩</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952A1C7">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m3</w:t>
            </w:r>
          </w:p>
        </w:tc>
        <w:tc>
          <w:tcPr>
            <w:tcW w:w="110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3CAF80">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10.59</w:t>
            </w:r>
          </w:p>
        </w:tc>
        <w:tc>
          <w:tcPr>
            <w:tcW w:w="2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FB412F5">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r>
      <w:tr w14:paraId="4AEB229F">
        <w:tblPrEx>
          <w:tblCellMar>
            <w:top w:w="0" w:type="dxa"/>
            <w:left w:w="0" w:type="dxa"/>
            <w:bottom w:w="0" w:type="dxa"/>
            <w:right w:w="0" w:type="dxa"/>
          </w:tblCellMar>
        </w:tblPrEx>
        <w:trPr>
          <w:trHeight w:val="675" w:hRule="atLeast"/>
          <w:jc w:val="center"/>
        </w:trPr>
        <w:tc>
          <w:tcPr>
            <w:tcW w:w="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4F3294E">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10</w:t>
            </w:r>
          </w:p>
        </w:tc>
        <w:tc>
          <w:tcPr>
            <w:tcW w:w="29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CB6E306">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钢桁架混凝土支墩挖沟槽土方</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机械挖土（装车），人工修边坡</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F15B853">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m3</w:t>
            </w:r>
          </w:p>
        </w:tc>
        <w:tc>
          <w:tcPr>
            <w:tcW w:w="110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58EAC2A">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34</w:t>
            </w:r>
          </w:p>
        </w:tc>
        <w:tc>
          <w:tcPr>
            <w:tcW w:w="2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EB8F8EC">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r>
      <w:tr w14:paraId="5800BD30">
        <w:tblPrEx>
          <w:tblCellMar>
            <w:top w:w="0" w:type="dxa"/>
            <w:left w:w="0" w:type="dxa"/>
            <w:bottom w:w="0" w:type="dxa"/>
            <w:right w:w="0" w:type="dxa"/>
          </w:tblCellMar>
        </w:tblPrEx>
        <w:trPr>
          <w:trHeight w:val="255" w:hRule="atLeast"/>
          <w:jc w:val="center"/>
        </w:trPr>
        <w:tc>
          <w:tcPr>
            <w:tcW w:w="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349A5AB">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11</w:t>
            </w:r>
          </w:p>
        </w:tc>
        <w:tc>
          <w:tcPr>
            <w:tcW w:w="29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0631C86">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伸缩器+止回阀安装,法兰连接</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C73266">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个</w:t>
            </w:r>
          </w:p>
        </w:tc>
        <w:tc>
          <w:tcPr>
            <w:tcW w:w="110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22409D">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13</w:t>
            </w:r>
          </w:p>
        </w:tc>
        <w:tc>
          <w:tcPr>
            <w:tcW w:w="2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6F58186">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中核苏阀、上海冠龙、上海良工、上海标一</w:t>
            </w:r>
          </w:p>
        </w:tc>
      </w:tr>
      <w:tr w14:paraId="3FFAA8CE">
        <w:tblPrEx>
          <w:tblCellMar>
            <w:top w:w="0" w:type="dxa"/>
            <w:left w:w="0" w:type="dxa"/>
            <w:bottom w:w="0" w:type="dxa"/>
            <w:right w:w="0" w:type="dxa"/>
          </w:tblCellMar>
        </w:tblPrEx>
        <w:trPr>
          <w:trHeight w:val="338" w:hRule="atLeast"/>
          <w:jc w:val="center"/>
        </w:trPr>
        <w:tc>
          <w:tcPr>
            <w:tcW w:w="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B50E487">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12</w:t>
            </w:r>
          </w:p>
        </w:tc>
        <w:tc>
          <w:tcPr>
            <w:tcW w:w="29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BD13FD4">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新建铝合金取水泵房</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45D029C">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座</w:t>
            </w:r>
          </w:p>
        </w:tc>
        <w:tc>
          <w:tcPr>
            <w:tcW w:w="110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E26CF1">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2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F9389B9">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r>
      <w:tr w14:paraId="2FF7BE6D">
        <w:tblPrEx>
          <w:tblCellMar>
            <w:top w:w="0" w:type="dxa"/>
            <w:left w:w="0" w:type="dxa"/>
            <w:bottom w:w="0" w:type="dxa"/>
            <w:right w:w="0" w:type="dxa"/>
          </w:tblCellMar>
        </w:tblPrEx>
        <w:trPr>
          <w:trHeight w:val="338" w:hRule="atLeast"/>
          <w:jc w:val="center"/>
        </w:trPr>
        <w:tc>
          <w:tcPr>
            <w:tcW w:w="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79DDAE1">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13</w:t>
            </w:r>
          </w:p>
        </w:tc>
        <w:tc>
          <w:tcPr>
            <w:tcW w:w="29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E02B8C">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中水检测口及管线改造</w:t>
            </w:r>
          </w:p>
        </w:tc>
        <w:tc>
          <w:tcPr>
            <w:tcW w:w="11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AC7B131">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项</w:t>
            </w:r>
          </w:p>
        </w:tc>
        <w:tc>
          <w:tcPr>
            <w:tcW w:w="110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732EC4F">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2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BD8F537">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p>
        </w:tc>
      </w:tr>
    </w:tbl>
    <w:p w14:paraId="20C559A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具体要求详见设计图（招标文件附件）。以上工程量仅供参考，请各投标人自行踏勘，以现场实际为准。本项目采用固定总价模式，中标后价格不予调整。</w:t>
      </w:r>
    </w:p>
    <w:p w14:paraId="4CAF7191">
      <w:pPr>
        <w:pStyle w:val="8"/>
        <w:keepNext w:val="0"/>
        <w:keepLines w:val="0"/>
        <w:pageBreakBefore w:val="0"/>
        <w:widowControl w:val="0"/>
        <w:kinsoku/>
        <w:wordWrap/>
        <w:overflowPunct/>
        <w:topLinePunct w:val="0"/>
        <w:autoSpaceDE/>
        <w:autoSpaceDN/>
        <w:bidi w:val="0"/>
        <w:adjustRightInd/>
        <w:snapToGrid/>
        <w:spacing w:after="0" w:line="400" w:lineRule="exact"/>
        <w:ind w:firstLine="600" w:firstLineChars="250"/>
        <w:textAlignment w:val="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投标人可以选择推荐品牌，也可以选择推荐品牌以外的品牌，但所选品牌档次必须高于或等于推荐品牌档次，</w:t>
      </w:r>
      <w:r>
        <w:rPr>
          <w:rFonts w:hint="eastAsia" w:asciiTheme="minorEastAsia" w:hAnsiTheme="minorEastAsia" w:eastAsiaTheme="minorEastAsia" w:cstheme="minorEastAsia"/>
          <w:b/>
          <w:kern w:val="0"/>
          <w:sz w:val="24"/>
          <w:szCs w:val="24"/>
        </w:rPr>
        <w:t>提供</w:t>
      </w:r>
      <w:r>
        <w:rPr>
          <w:rFonts w:hint="eastAsia" w:asciiTheme="minorEastAsia" w:hAnsiTheme="minorEastAsia" w:eastAsiaTheme="minorEastAsia" w:cstheme="minorEastAsia"/>
          <w:b/>
          <w:kern w:val="0"/>
          <w:sz w:val="24"/>
          <w:szCs w:val="24"/>
          <w:highlight w:val="none"/>
          <w:u w:val="single"/>
        </w:rPr>
        <w:t>①由相关机构出具的检测报告；②技术白皮书；③生产许可证；④地级市及以上质量技术监督单位（如南通市质量技术监督局）出具的所投品牌产品不低于本招标文件项目需求内的“推荐品牌”的技术标准证明文件。</w:t>
      </w:r>
      <w:r>
        <w:rPr>
          <w:rFonts w:hint="eastAsia" w:asciiTheme="minorEastAsia" w:hAnsiTheme="minorEastAsia" w:eastAsiaTheme="minorEastAsia" w:cstheme="minorEastAsia"/>
          <w:b/>
          <w:kern w:val="0"/>
          <w:sz w:val="24"/>
          <w:szCs w:val="24"/>
          <w:highlight w:val="none"/>
        </w:rPr>
        <w:t>以</w:t>
      </w:r>
      <w:r>
        <w:rPr>
          <w:rFonts w:hint="eastAsia" w:asciiTheme="minorEastAsia" w:hAnsiTheme="minorEastAsia" w:eastAsiaTheme="minorEastAsia" w:cstheme="minorEastAsia"/>
          <w:b/>
          <w:kern w:val="0"/>
          <w:sz w:val="24"/>
          <w:szCs w:val="24"/>
        </w:rPr>
        <w:t>上四项提供复印件加盖生产厂家红章作为佐证材料并作为报价标的组成部分，未提供的或未按要求提供的，评标委员会不予认可。</w:t>
      </w:r>
      <w:r>
        <w:rPr>
          <w:rFonts w:hint="eastAsia" w:asciiTheme="minorEastAsia" w:hAnsiTheme="minorEastAsia" w:eastAsiaTheme="minorEastAsia" w:cstheme="minorEastAsia"/>
          <w:kern w:val="0"/>
          <w:sz w:val="24"/>
          <w:szCs w:val="24"/>
        </w:rPr>
        <w:t>当评标小组三分之二以上评委认定，所选品牌档次低于建议品牌档次的，将作无效投标处理。</w:t>
      </w:r>
    </w:p>
    <w:p w14:paraId="6EE278D7">
      <w:pPr>
        <w:keepNext/>
        <w:keepLines/>
        <w:spacing w:line="360" w:lineRule="auto"/>
        <w:jc w:val="left"/>
        <w:outlineLvl w:val="1"/>
        <w:rPr>
          <w:rFonts w:ascii="宋体" w:hAnsi="宋体" w:cs="宋体"/>
          <w:b/>
          <w:bCs/>
          <w:snapToGrid w:val="0"/>
          <w:sz w:val="24"/>
          <w:szCs w:val="24"/>
        </w:rPr>
      </w:pPr>
      <w:r>
        <w:rPr>
          <w:rFonts w:hint="eastAsia" w:ascii="宋体" w:hAnsi="宋体" w:cs="宋体"/>
          <w:b/>
          <w:bCs/>
          <w:snapToGrid w:val="0"/>
          <w:sz w:val="24"/>
          <w:szCs w:val="24"/>
        </w:rPr>
        <w:t xml:space="preserve">二、规范性引用文件 </w:t>
      </w:r>
    </w:p>
    <w:p w14:paraId="3E23B80B">
      <w:pPr>
        <w:pageBreakBefore w:val="0"/>
        <w:widowControl w:val="0"/>
        <w:tabs>
          <w:tab w:val="left" w:pos="3585"/>
        </w:tabs>
        <w:kinsoku/>
        <w:wordWrap/>
        <w:overflowPunct/>
        <w:topLinePunct w:val="0"/>
        <w:bidi w:val="0"/>
        <w:snapToGrid/>
        <w:spacing w:line="400" w:lineRule="exact"/>
        <w:ind w:firstLine="460" w:firstLineChars="192"/>
        <w:textAlignment w:val="auto"/>
        <w:rPr>
          <w:rFonts w:ascii="Calibri" w:hAnsi="Calibri" w:cs="宋体"/>
          <w:sz w:val="24"/>
          <w:szCs w:val="24"/>
        </w:rPr>
      </w:pPr>
      <w:r>
        <w:rPr>
          <w:rFonts w:hint="eastAsia" w:ascii="Calibri" w:hAnsi="Calibri" w:cs="宋体"/>
          <w:sz w:val="24"/>
          <w:szCs w:val="24"/>
        </w:rPr>
        <w:t xml:space="preserve">下列文件中的条款通过本标准的引用而成为本标准的条款。凡注有日期的引用文件，其后的修改或修订版均不适用于本标准（不包括勘误的内容）。凡是未注明日期的引用文件，其最新版本适用于本标准。 </w:t>
      </w:r>
    </w:p>
    <w:p w14:paraId="7B4AE0EF">
      <w:pPr>
        <w:pageBreakBefore w:val="0"/>
        <w:widowControl w:val="0"/>
        <w:tabs>
          <w:tab w:val="left" w:pos="3585"/>
        </w:tabs>
        <w:kinsoku/>
        <w:wordWrap/>
        <w:overflowPunct/>
        <w:topLinePunct w:val="0"/>
        <w:bidi w:val="0"/>
        <w:snapToGrid/>
        <w:spacing w:line="400" w:lineRule="exact"/>
        <w:ind w:firstLine="460" w:firstLineChars="192"/>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rPr>
        <w:t>GB</w:t>
      </w:r>
      <w:r>
        <w:rPr>
          <w:rFonts w:hint="default" w:ascii="Times New Roman" w:hAnsi="Times New Roman" w:cs="Times New Roman"/>
          <w:sz w:val="24"/>
          <w:szCs w:val="24"/>
          <w:lang w:val="en-US" w:eastAsia="zh-CN"/>
        </w:rPr>
        <w:t xml:space="preserve"> 17565-2022</w:t>
      </w:r>
      <w:r>
        <w:rPr>
          <w:rFonts w:hint="default" w:ascii="Times New Roman" w:hAnsi="Times New Roman" w:cs="Times New Roman"/>
          <w:sz w:val="24"/>
          <w:szCs w:val="24"/>
        </w:rPr>
        <w:t xml:space="preserve"> </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防盗安全门通用技术条件</w:t>
      </w:r>
      <w:r>
        <w:rPr>
          <w:rFonts w:hint="default" w:ascii="Times New Roman" w:hAnsi="Times New Roman" w:cs="Times New Roman"/>
          <w:sz w:val="24"/>
          <w:szCs w:val="24"/>
          <w:lang w:eastAsia="zh-CN"/>
        </w:rPr>
        <w:t>》</w:t>
      </w:r>
    </w:p>
    <w:p w14:paraId="5F94C46C">
      <w:pPr>
        <w:pStyle w:val="8"/>
        <w:pageBreakBefore w:val="0"/>
        <w:widowControl w:val="0"/>
        <w:kinsoku/>
        <w:wordWrap/>
        <w:overflowPunct/>
        <w:topLinePunct w:val="0"/>
        <w:bidi w:val="0"/>
        <w:snapToGrid/>
        <w:spacing w:after="0" w:line="400" w:lineRule="exact"/>
        <w:ind w:firstLine="48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 xml:space="preserve">T/CECS 1334-2023  </w:t>
      </w:r>
      <w:r>
        <w:rPr>
          <w:rFonts w:hint="default" w:ascii="Times New Roman" w:hAnsi="Times New Roman" w:eastAsia="宋体" w:cs="Times New Roman"/>
          <w:kern w:val="2"/>
          <w:sz w:val="24"/>
          <w:szCs w:val="24"/>
          <w:lang w:val="en-US" w:eastAsia="zh-CN" w:bidi="ar-SA"/>
        </w:rPr>
        <w:t>《建筑门窗安装工程技术规程》</w:t>
      </w:r>
    </w:p>
    <w:p w14:paraId="195DDFC5">
      <w:pPr>
        <w:pStyle w:val="31"/>
        <w:pageBreakBefore w:val="0"/>
        <w:widowControl w:val="0"/>
        <w:kinsoku/>
        <w:wordWrap/>
        <w:overflowPunct/>
        <w:topLinePunct w:val="0"/>
        <w:bidi w:val="0"/>
        <w:snapToGrid/>
        <w:spacing w:line="400" w:lineRule="exact"/>
        <w:ind w:firstLine="48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YS/T 5408-2022    《门窗安装工程施工操作规程》</w:t>
      </w:r>
    </w:p>
    <w:p w14:paraId="71B42E1A">
      <w:pPr>
        <w:pStyle w:val="31"/>
        <w:pageBreakBefore w:val="0"/>
        <w:widowControl w:val="0"/>
        <w:kinsoku/>
        <w:wordWrap/>
        <w:overflowPunct/>
        <w:topLinePunct w:val="0"/>
        <w:bidi w:val="0"/>
        <w:snapToGrid/>
        <w:spacing w:line="400" w:lineRule="exact"/>
        <w:ind w:firstLine="480"/>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GB 50205-2020</w:t>
      </w:r>
      <w:r>
        <w:rPr>
          <w:rFonts w:hint="eastAsia" w:ascii="Times New Roman" w:hAnsi="Times New Roman" w:eastAsia="宋体" w:cs="Times New Roman"/>
          <w:kern w:val="2"/>
          <w:sz w:val="24"/>
          <w:szCs w:val="24"/>
          <w:lang w:val="en-US" w:eastAsia="zh-CN" w:bidi="ar-SA"/>
        </w:rPr>
        <w:t xml:space="preserve">    《钢结构工程施工质量验收标准》</w:t>
      </w:r>
    </w:p>
    <w:p w14:paraId="7993E071">
      <w:pPr>
        <w:pStyle w:val="31"/>
        <w:pageBreakBefore w:val="0"/>
        <w:widowControl w:val="0"/>
        <w:kinsoku/>
        <w:wordWrap/>
        <w:overflowPunct/>
        <w:topLinePunct w:val="0"/>
        <w:bidi w:val="0"/>
        <w:snapToGrid/>
        <w:spacing w:line="400" w:lineRule="exact"/>
        <w:ind w:firstLine="48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GB 50268-2008</w:t>
      </w:r>
      <w:r>
        <w:rPr>
          <w:rFonts w:hint="eastAsia" w:ascii="Times New Roman" w:hAnsi="Times New Roman" w:eastAsia="宋体" w:cs="Times New Roman"/>
          <w:kern w:val="2"/>
          <w:sz w:val="24"/>
          <w:szCs w:val="24"/>
          <w:lang w:val="en-US" w:eastAsia="zh-CN" w:bidi="ar-SA"/>
        </w:rPr>
        <w:t xml:space="preserve">    《给水排水管道工程施工及验收规范》</w:t>
      </w:r>
    </w:p>
    <w:p w14:paraId="7DAFE170">
      <w:pPr>
        <w:keepNext/>
        <w:keepLines/>
        <w:pageBreakBefore w:val="0"/>
        <w:widowControl w:val="0"/>
        <w:kinsoku/>
        <w:wordWrap/>
        <w:overflowPunct/>
        <w:topLinePunct w:val="0"/>
        <w:bidi w:val="0"/>
        <w:snapToGrid/>
        <w:spacing w:line="400" w:lineRule="exact"/>
        <w:jc w:val="left"/>
        <w:textAlignment w:val="auto"/>
        <w:outlineLvl w:val="1"/>
        <w:rPr>
          <w:rFonts w:ascii="宋体" w:hAnsi="宋体" w:cs="宋体"/>
          <w:b/>
          <w:bCs/>
          <w:snapToGrid w:val="0"/>
          <w:sz w:val="24"/>
          <w:szCs w:val="24"/>
        </w:rPr>
      </w:pPr>
      <w:r>
        <w:rPr>
          <w:rFonts w:hint="eastAsia" w:ascii="宋体" w:hAnsi="宋体" w:cs="宋体"/>
          <w:b/>
          <w:bCs/>
          <w:snapToGrid w:val="0"/>
          <w:sz w:val="24"/>
          <w:szCs w:val="24"/>
        </w:rPr>
        <w:t>三、质保</w:t>
      </w:r>
    </w:p>
    <w:p w14:paraId="18156A39">
      <w:pPr>
        <w:pageBreakBefore w:val="0"/>
        <w:widowControl w:val="0"/>
        <w:kinsoku/>
        <w:wordWrap/>
        <w:overflowPunct/>
        <w:topLinePunct w:val="0"/>
        <w:bidi w:val="0"/>
        <w:snapToGrid/>
        <w:spacing w:line="400" w:lineRule="exact"/>
        <w:textAlignment w:val="auto"/>
        <w:rPr>
          <w:rFonts w:ascii="仿宋" w:hAnsi="仿宋" w:cs="Arial"/>
          <w:bCs/>
          <w:sz w:val="24"/>
          <w:szCs w:val="24"/>
        </w:rPr>
      </w:pPr>
      <w:r>
        <w:rPr>
          <w:rFonts w:hint="eastAsia" w:ascii="Calibri" w:hAnsi="Calibri" w:cs="宋体"/>
          <w:sz w:val="24"/>
          <w:szCs w:val="24"/>
        </w:rPr>
        <w:t xml:space="preserve">    质保期</w:t>
      </w:r>
      <w:r>
        <w:rPr>
          <w:rFonts w:hint="eastAsia" w:ascii="Calibri" w:hAnsi="Calibri" w:cs="宋体"/>
          <w:sz w:val="24"/>
          <w:szCs w:val="24"/>
          <w:lang w:val="en-US" w:eastAsia="zh-CN"/>
        </w:rPr>
        <w:t>两</w:t>
      </w:r>
      <w:r>
        <w:rPr>
          <w:rFonts w:hint="eastAsia" w:ascii="Calibri" w:hAnsi="Calibri" w:cs="宋体"/>
          <w:sz w:val="24"/>
          <w:szCs w:val="24"/>
        </w:rPr>
        <w:t>年，质保期从安装调试完毕，并经买方验收合格之日开始计算，质保期内的服务均为免费上门服务。</w:t>
      </w:r>
    </w:p>
    <w:p w14:paraId="6D7F93D9">
      <w:pPr>
        <w:pStyle w:val="31"/>
        <w:pageBreakBefore w:val="0"/>
        <w:widowControl w:val="0"/>
        <w:kinsoku/>
        <w:wordWrap/>
        <w:overflowPunct/>
        <w:topLinePunct w:val="0"/>
        <w:bidi w:val="0"/>
        <w:snapToGrid/>
        <w:spacing w:line="400" w:lineRule="exact"/>
        <w:textAlignment w:val="auto"/>
        <w:rPr>
          <w:rFonts w:hint="default" w:cs="仿宋" w:asciiTheme="minorEastAsia" w:hAnsiTheme="minorEastAsia" w:eastAsiaTheme="minorEastAsia"/>
          <w:b/>
          <w:bCs/>
          <w:color w:val="auto"/>
          <w:kern w:val="2"/>
          <w:szCs w:val="32"/>
        </w:rPr>
      </w:pPr>
    </w:p>
    <w:sectPr>
      <w:pgSz w:w="11906" w:h="16838"/>
      <w:pgMar w:top="1440" w:right="1440" w:bottom="144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7A114CD-DEE0-48CA-91DC-300759E58CAD}"/>
  </w:font>
  <w:font w:name="黑体">
    <w:panose1 w:val="02010600030101010101"/>
    <w:charset w:val="86"/>
    <w:family w:val="auto"/>
    <w:pitch w:val="default"/>
    <w:sig w:usb0="800002BF" w:usb1="38CF7CFA" w:usb2="00000016" w:usb3="00000000" w:csb0="00040001" w:csb1="00000000"/>
    <w:embedRegular r:id="rId2" w:fontKey="{2B25AC3A-1193-4370-9119-94AA6F0D590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281D609E-F211-4E58-848A-2F92A07DE9F8}"/>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1A17B62B-97EB-4365-AAEE-837D9E490AD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魏碑简体">
    <w:altName w:val="宋体"/>
    <w:panose1 w:val="00000000000000000000"/>
    <w:charset w:val="86"/>
    <w:family w:val="auto"/>
    <w:pitch w:val="default"/>
    <w:sig w:usb0="00000000" w:usb1="00000000" w:usb2="00000010" w:usb3="00000000" w:csb0="00040000" w:csb1="00000000"/>
    <w:embedRegular r:id="rId5" w:fontKey="{8FEF7B6E-7B1D-4B5D-8E88-FDA752E95C2B}"/>
  </w:font>
  <w:font w:name="隶书">
    <w:panose1 w:val="02010509060101010101"/>
    <w:charset w:val="86"/>
    <w:family w:val="modern"/>
    <w:pitch w:val="default"/>
    <w:sig w:usb0="00000001" w:usb1="080E0000" w:usb2="00000000" w:usb3="00000000" w:csb0="00040000" w:csb1="00000000"/>
    <w:embedRegular r:id="rId6" w:fontKey="{A5EE5047-CA40-45D0-A4E4-F11795730668}"/>
  </w:font>
  <w:font w:name="方正仿宋_GBK">
    <w:panose1 w:val="03000509000000000000"/>
    <w:charset w:val="86"/>
    <w:family w:val="script"/>
    <w:pitch w:val="default"/>
    <w:sig w:usb0="00000001" w:usb1="080E0000" w:usb2="00000000" w:usb3="00000000" w:csb0="00040000" w:csb1="00000000"/>
    <w:embedRegular r:id="rId7" w:fontKey="{300217BD-1C5D-4901-A226-B3C96CF695E5}"/>
  </w:font>
  <w:font w:name="仿宋">
    <w:panose1 w:val="02010609060101010101"/>
    <w:charset w:val="86"/>
    <w:family w:val="modern"/>
    <w:pitch w:val="default"/>
    <w:sig w:usb0="800002BF" w:usb1="38CF7CFA" w:usb2="00000016" w:usb3="00000000" w:csb0="00040001" w:csb1="00000000"/>
    <w:embedRegular r:id="rId8" w:fontKey="{87C7D147-778F-4AA1-BCA9-DDE5A6CC373A}"/>
  </w:font>
  <w:font w:name="WPSEMBED3">
    <w:panose1 w:val="02010609030101010101"/>
    <w:charset w:val="86"/>
    <w:family w:val="auto"/>
    <w:pitch w:val="default"/>
    <w:sig w:usb0="00000001" w:usb1="080E0000" w:usb2="00000000" w:usb3="00000000" w:csb0="00040000" w:csb1="00000000"/>
  </w:font>
  <w:font w:name="WPSEMBED4">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6AB32">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0261C1">
                          <w:pPr>
                            <w:pStyle w:val="13"/>
                            <w:jc w:val="center"/>
                          </w:pPr>
                          <w:r>
                            <w:fldChar w:fldCharType="begin"/>
                          </w:r>
                          <w:r>
                            <w:instrText xml:space="preserve"> PAGE   \* MERGEFORMAT </w:instrText>
                          </w:r>
                          <w:r>
                            <w:fldChar w:fldCharType="separate"/>
                          </w:r>
                          <w:r>
                            <w:rPr>
                              <w:lang w:val="zh-CN"/>
                            </w:rPr>
                            <w:t>37</w:t>
                          </w:r>
                          <w:r>
                            <w:rPr>
                              <w:lang w:val="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6C0261C1">
                    <w:pPr>
                      <w:pStyle w:val="13"/>
                      <w:jc w:val="center"/>
                    </w:pPr>
                    <w:r>
                      <w:fldChar w:fldCharType="begin"/>
                    </w:r>
                    <w:r>
                      <w:instrText xml:space="preserve"> PAGE   \* MERGEFORMAT </w:instrText>
                    </w:r>
                    <w:r>
                      <w:fldChar w:fldCharType="separate"/>
                    </w:r>
                    <w:r>
                      <w:rPr>
                        <w:lang w:val="zh-CN"/>
                      </w:rPr>
                      <w:t>37</w:t>
                    </w:r>
                    <w:r>
                      <w:rPr>
                        <w:lang w:val="zh-CN"/>
                      </w:rPr>
                      <w:fldChar w:fldCharType="end"/>
                    </w:r>
                  </w:p>
                </w:txbxContent>
              </v:textbox>
            </v:shape>
          </w:pict>
        </mc:Fallback>
      </mc:AlternateContent>
    </w:r>
  </w:p>
  <w:p w14:paraId="04063161">
    <w:pPr>
      <w:pStyle w:val="1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A6074">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E5FC72">
                          <w:pPr>
                            <w:pStyle w:val="13"/>
                            <w:jc w:val="center"/>
                          </w:pPr>
                          <w:r>
                            <w:fldChar w:fldCharType="begin"/>
                          </w:r>
                          <w:r>
                            <w:instrText xml:space="preserve"> PAGE   \* MERGEFORMAT </w:instrText>
                          </w:r>
                          <w:r>
                            <w:fldChar w:fldCharType="separate"/>
                          </w:r>
                          <w:r>
                            <w:rPr>
                              <w:lang w:val="zh-CN"/>
                            </w:rPr>
                            <w:t>33</w:t>
                          </w:r>
                          <w:r>
                            <w:rPr>
                              <w:lang w:val="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0CE5FC72">
                    <w:pPr>
                      <w:pStyle w:val="13"/>
                      <w:jc w:val="center"/>
                    </w:pPr>
                    <w:r>
                      <w:fldChar w:fldCharType="begin"/>
                    </w:r>
                    <w:r>
                      <w:instrText xml:space="preserve"> PAGE   \* MERGEFORMAT </w:instrText>
                    </w:r>
                    <w:r>
                      <w:fldChar w:fldCharType="separate"/>
                    </w:r>
                    <w:r>
                      <w:rPr>
                        <w:lang w:val="zh-CN"/>
                      </w:rPr>
                      <w:t>33</w:t>
                    </w:r>
                    <w:r>
                      <w:rPr>
                        <w:lang w:val="zh-CN"/>
                      </w:rPr>
                      <w:fldChar w:fldCharType="end"/>
                    </w:r>
                  </w:p>
                </w:txbxContent>
              </v:textbox>
            </v:shape>
          </w:pict>
        </mc:Fallback>
      </mc:AlternateContent>
    </w:r>
  </w:p>
  <w:p w14:paraId="222C2CF5">
    <w:pPr>
      <w:pStyle w:val="13"/>
      <w:jc w:val="right"/>
      <w:rPr>
        <w:bdr w:val="single" w:color="auto" w:sz="4" w:space="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988DF">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9FCEE0">
                          <w:pPr>
                            <w:pStyle w:val="13"/>
                            <w:jc w:val="center"/>
                          </w:pPr>
                          <w:r>
                            <w:fldChar w:fldCharType="begin"/>
                          </w:r>
                          <w:r>
                            <w:instrText xml:space="preserve"> PAGE   \* MERGEFORMAT </w:instrText>
                          </w:r>
                          <w:r>
                            <w:fldChar w:fldCharType="separate"/>
                          </w:r>
                          <w:r>
                            <w:rPr>
                              <w:lang w:val="zh-CN"/>
                            </w:rPr>
                            <w:t>37</w:t>
                          </w:r>
                          <w:r>
                            <w:rPr>
                              <w:lang w:val="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459FCEE0">
                    <w:pPr>
                      <w:pStyle w:val="13"/>
                      <w:jc w:val="center"/>
                    </w:pPr>
                    <w:r>
                      <w:fldChar w:fldCharType="begin"/>
                    </w:r>
                    <w:r>
                      <w:instrText xml:space="preserve"> PAGE   \* MERGEFORMAT </w:instrText>
                    </w:r>
                    <w:r>
                      <w:fldChar w:fldCharType="separate"/>
                    </w:r>
                    <w:r>
                      <w:rPr>
                        <w:lang w:val="zh-CN"/>
                      </w:rPr>
                      <w:t>37</w:t>
                    </w:r>
                    <w:r>
                      <w:rPr>
                        <w:lang w:val="zh-CN"/>
                      </w:rPr>
                      <w:fldChar w:fldCharType="end"/>
                    </w:r>
                  </w:p>
                </w:txbxContent>
              </v:textbox>
            </v:shape>
          </w:pict>
        </mc:Fallback>
      </mc:AlternateContent>
    </w:r>
  </w:p>
  <w:p w14:paraId="08890F99">
    <w:pPr>
      <w:pStyle w:val="13"/>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F120C"/>
    <w:multiLevelType w:val="singleLevel"/>
    <w:tmpl w:val="B4EF120C"/>
    <w:lvl w:ilvl="0" w:tentative="0">
      <w:start w:val="2"/>
      <w:numFmt w:val="decimal"/>
      <w:suff w:val="nothing"/>
      <w:lvlText w:val="%1、"/>
      <w:lvlJc w:val="left"/>
    </w:lvl>
  </w:abstractNum>
  <w:abstractNum w:abstractNumId="1">
    <w:nsid w:val="BEC0AC2D"/>
    <w:multiLevelType w:val="singleLevel"/>
    <w:tmpl w:val="BEC0AC2D"/>
    <w:lvl w:ilvl="0" w:tentative="0">
      <w:start w:val="1"/>
      <w:numFmt w:val="decimal"/>
      <w:suff w:val="nothing"/>
      <w:lvlText w:val="（%1）"/>
      <w:lvlJc w:val="left"/>
    </w:lvl>
  </w:abstractNum>
  <w:abstractNum w:abstractNumId="2">
    <w:nsid w:val="00000001"/>
    <w:multiLevelType w:val="multilevel"/>
    <w:tmpl w:val="00000001"/>
    <w:lvl w:ilvl="0" w:tentative="0">
      <w:start w:val="1"/>
      <w:numFmt w:val="decimal"/>
      <w:pStyle w:val="6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0D0C1D"/>
    <w:multiLevelType w:val="singleLevel"/>
    <w:tmpl w:val="3F0D0C1D"/>
    <w:lvl w:ilvl="0" w:tentative="0">
      <w:start w:val="6"/>
      <w:numFmt w:val="chineseCounting"/>
      <w:suff w:val="space"/>
      <w:lvlText w:val="第%1章"/>
      <w:lvlJc w:val="left"/>
      <w:rPr>
        <w:rFonts w:hint="eastAsia"/>
      </w:rPr>
    </w:lvl>
  </w:abstractNum>
  <w:abstractNum w:abstractNumId="4">
    <w:nsid w:val="7E7B7994"/>
    <w:multiLevelType w:val="multilevel"/>
    <w:tmpl w:val="7E7B7994"/>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MmFlYjAzOGFkN2ViOTliZTYyYmViOWQ1NWVlNzkifQ=="/>
  </w:docVars>
  <w:rsids>
    <w:rsidRoot w:val="001D7491"/>
    <w:rsid w:val="000008CD"/>
    <w:rsid w:val="00000CD6"/>
    <w:rsid w:val="00000D34"/>
    <w:rsid w:val="000013E5"/>
    <w:rsid w:val="0000175C"/>
    <w:rsid w:val="00001D0F"/>
    <w:rsid w:val="00002A1D"/>
    <w:rsid w:val="00002B2A"/>
    <w:rsid w:val="00002E4A"/>
    <w:rsid w:val="00003A13"/>
    <w:rsid w:val="00003A8A"/>
    <w:rsid w:val="00003BBF"/>
    <w:rsid w:val="0000422B"/>
    <w:rsid w:val="00004888"/>
    <w:rsid w:val="00005383"/>
    <w:rsid w:val="0000673A"/>
    <w:rsid w:val="000068EB"/>
    <w:rsid w:val="00006BD8"/>
    <w:rsid w:val="00007632"/>
    <w:rsid w:val="000079E4"/>
    <w:rsid w:val="00007B04"/>
    <w:rsid w:val="00007B18"/>
    <w:rsid w:val="00010C98"/>
    <w:rsid w:val="00010E2A"/>
    <w:rsid w:val="00010EE2"/>
    <w:rsid w:val="00014048"/>
    <w:rsid w:val="00014224"/>
    <w:rsid w:val="00014B97"/>
    <w:rsid w:val="000154FC"/>
    <w:rsid w:val="00016452"/>
    <w:rsid w:val="00017BE3"/>
    <w:rsid w:val="0002052D"/>
    <w:rsid w:val="0002079F"/>
    <w:rsid w:val="0002094E"/>
    <w:rsid w:val="00020AE0"/>
    <w:rsid w:val="0002104C"/>
    <w:rsid w:val="00021147"/>
    <w:rsid w:val="000212E6"/>
    <w:rsid w:val="000214C4"/>
    <w:rsid w:val="00021746"/>
    <w:rsid w:val="000224C7"/>
    <w:rsid w:val="00022938"/>
    <w:rsid w:val="00022C93"/>
    <w:rsid w:val="00022FA4"/>
    <w:rsid w:val="000237F7"/>
    <w:rsid w:val="00023BF8"/>
    <w:rsid w:val="00024935"/>
    <w:rsid w:val="000269FB"/>
    <w:rsid w:val="00026F4C"/>
    <w:rsid w:val="000271C3"/>
    <w:rsid w:val="0003018B"/>
    <w:rsid w:val="000305DE"/>
    <w:rsid w:val="00030BF4"/>
    <w:rsid w:val="0003137F"/>
    <w:rsid w:val="00031729"/>
    <w:rsid w:val="00031959"/>
    <w:rsid w:val="000319C7"/>
    <w:rsid w:val="00032DF9"/>
    <w:rsid w:val="00033E8E"/>
    <w:rsid w:val="00034950"/>
    <w:rsid w:val="00035655"/>
    <w:rsid w:val="000364EA"/>
    <w:rsid w:val="000365BC"/>
    <w:rsid w:val="000370DF"/>
    <w:rsid w:val="0003796A"/>
    <w:rsid w:val="00037CAA"/>
    <w:rsid w:val="0004006F"/>
    <w:rsid w:val="0004036B"/>
    <w:rsid w:val="0004068D"/>
    <w:rsid w:val="00040F70"/>
    <w:rsid w:val="0004106B"/>
    <w:rsid w:val="00041326"/>
    <w:rsid w:val="00043A9B"/>
    <w:rsid w:val="00043E69"/>
    <w:rsid w:val="0004461D"/>
    <w:rsid w:val="00045093"/>
    <w:rsid w:val="00045700"/>
    <w:rsid w:val="00045FE6"/>
    <w:rsid w:val="000464AA"/>
    <w:rsid w:val="00046B24"/>
    <w:rsid w:val="00046E4F"/>
    <w:rsid w:val="000474EC"/>
    <w:rsid w:val="00047CCA"/>
    <w:rsid w:val="00047D2D"/>
    <w:rsid w:val="0005032D"/>
    <w:rsid w:val="000518FD"/>
    <w:rsid w:val="00051F1B"/>
    <w:rsid w:val="0005241F"/>
    <w:rsid w:val="00052711"/>
    <w:rsid w:val="000532E7"/>
    <w:rsid w:val="00053F53"/>
    <w:rsid w:val="00054122"/>
    <w:rsid w:val="000545C6"/>
    <w:rsid w:val="00055DD9"/>
    <w:rsid w:val="000561B6"/>
    <w:rsid w:val="00056479"/>
    <w:rsid w:val="000568DA"/>
    <w:rsid w:val="00056D34"/>
    <w:rsid w:val="00056DA3"/>
    <w:rsid w:val="00056FA0"/>
    <w:rsid w:val="000573FD"/>
    <w:rsid w:val="00057517"/>
    <w:rsid w:val="00060A0D"/>
    <w:rsid w:val="000615ED"/>
    <w:rsid w:val="00061B6D"/>
    <w:rsid w:val="00062170"/>
    <w:rsid w:val="000623BC"/>
    <w:rsid w:val="0006295D"/>
    <w:rsid w:val="000630E5"/>
    <w:rsid w:val="0006371D"/>
    <w:rsid w:val="00063CFF"/>
    <w:rsid w:val="000641F5"/>
    <w:rsid w:val="000649EE"/>
    <w:rsid w:val="00064D62"/>
    <w:rsid w:val="0006522F"/>
    <w:rsid w:val="00065690"/>
    <w:rsid w:val="00065A53"/>
    <w:rsid w:val="000661A1"/>
    <w:rsid w:val="00066E52"/>
    <w:rsid w:val="00067108"/>
    <w:rsid w:val="000675BA"/>
    <w:rsid w:val="00067605"/>
    <w:rsid w:val="0006771F"/>
    <w:rsid w:val="000705C8"/>
    <w:rsid w:val="000706CC"/>
    <w:rsid w:val="00070D8D"/>
    <w:rsid w:val="00070FCC"/>
    <w:rsid w:val="000720E0"/>
    <w:rsid w:val="00072CB2"/>
    <w:rsid w:val="00073129"/>
    <w:rsid w:val="000739A8"/>
    <w:rsid w:val="00073A3A"/>
    <w:rsid w:val="000748A6"/>
    <w:rsid w:val="00074AD5"/>
    <w:rsid w:val="00074FC6"/>
    <w:rsid w:val="00075507"/>
    <w:rsid w:val="00075A53"/>
    <w:rsid w:val="000763E9"/>
    <w:rsid w:val="00077360"/>
    <w:rsid w:val="0007778C"/>
    <w:rsid w:val="00077942"/>
    <w:rsid w:val="00077E23"/>
    <w:rsid w:val="0008023A"/>
    <w:rsid w:val="00080BB2"/>
    <w:rsid w:val="00081B89"/>
    <w:rsid w:val="00082F2D"/>
    <w:rsid w:val="00083057"/>
    <w:rsid w:val="000832B0"/>
    <w:rsid w:val="00083647"/>
    <w:rsid w:val="00083767"/>
    <w:rsid w:val="00083A11"/>
    <w:rsid w:val="00083A66"/>
    <w:rsid w:val="00083C89"/>
    <w:rsid w:val="00084332"/>
    <w:rsid w:val="00084438"/>
    <w:rsid w:val="00084945"/>
    <w:rsid w:val="00084946"/>
    <w:rsid w:val="0008562F"/>
    <w:rsid w:val="00086499"/>
    <w:rsid w:val="0008694E"/>
    <w:rsid w:val="00086D0C"/>
    <w:rsid w:val="00086E7E"/>
    <w:rsid w:val="00087144"/>
    <w:rsid w:val="00087348"/>
    <w:rsid w:val="0008758E"/>
    <w:rsid w:val="0009060A"/>
    <w:rsid w:val="0009092C"/>
    <w:rsid w:val="00090F73"/>
    <w:rsid w:val="00091AF3"/>
    <w:rsid w:val="00091BE4"/>
    <w:rsid w:val="000939E2"/>
    <w:rsid w:val="0009428F"/>
    <w:rsid w:val="000948E1"/>
    <w:rsid w:val="00095043"/>
    <w:rsid w:val="0009532B"/>
    <w:rsid w:val="000954F1"/>
    <w:rsid w:val="000968E5"/>
    <w:rsid w:val="00096F7B"/>
    <w:rsid w:val="00097B78"/>
    <w:rsid w:val="00097E8C"/>
    <w:rsid w:val="00097F0C"/>
    <w:rsid w:val="000A01A9"/>
    <w:rsid w:val="000A0208"/>
    <w:rsid w:val="000A2050"/>
    <w:rsid w:val="000A20BB"/>
    <w:rsid w:val="000A29DA"/>
    <w:rsid w:val="000A30D1"/>
    <w:rsid w:val="000A3448"/>
    <w:rsid w:val="000A3A41"/>
    <w:rsid w:val="000A4C6E"/>
    <w:rsid w:val="000A4E81"/>
    <w:rsid w:val="000A5A82"/>
    <w:rsid w:val="000A5B80"/>
    <w:rsid w:val="000A625A"/>
    <w:rsid w:val="000A6EDD"/>
    <w:rsid w:val="000A7404"/>
    <w:rsid w:val="000B00A4"/>
    <w:rsid w:val="000B0B83"/>
    <w:rsid w:val="000B0F8C"/>
    <w:rsid w:val="000B2120"/>
    <w:rsid w:val="000B28BA"/>
    <w:rsid w:val="000B349E"/>
    <w:rsid w:val="000B5483"/>
    <w:rsid w:val="000B64FD"/>
    <w:rsid w:val="000B6C26"/>
    <w:rsid w:val="000B71E7"/>
    <w:rsid w:val="000B7312"/>
    <w:rsid w:val="000C0858"/>
    <w:rsid w:val="000C0943"/>
    <w:rsid w:val="000C0B92"/>
    <w:rsid w:val="000C1198"/>
    <w:rsid w:val="000C13F1"/>
    <w:rsid w:val="000C1BF4"/>
    <w:rsid w:val="000C1F8B"/>
    <w:rsid w:val="000C3363"/>
    <w:rsid w:val="000C3392"/>
    <w:rsid w:val="000C3DD6"/>
    <w:rsid w:val="000C4405"/>
    <w:rsid w:val="000C4A3E"/>
    <w:rsid w:val="000C4B70"/>
    <w:rsid w:val="000C5CBA"/>
    <w:rsid w:val="000C5E0E"/>
    <w:rsid w:val="000C5E58"/>
    <w:rsid w:val="000C64AF"/>
    <w:rsid w:val="000C6EEC"/>
    <w:rsid w:val="000C6FA1"/>
    <w:rsid w:val="000C6FDF"/>
    <w:rsid w:val="000C7A73"/>
    <w:rsid w:val="000C7C67"/>
    <w:rsid w:val="000D11A7"/>
    <w:rsid w:val="000D230C"/>
    <w:rsid w:val="000D28F1"/>
    <w:rsid w:val="000D2A11"/>
    <w:rsid w:val="000D4138"/>
    <w:rsid w:val="000D444C"/>
    <w:rsid w:val="000D4E55"/>
    <w:rsid w:val="000D506C"/>
    <w:rsid w:val="000D7408"/>
    <w:rsid w:val="000D74EB"/>
    <w:rsid w:val="000D764A"/>
    <w:rsid w:val="000E05F4"/>
    <w:rsid w:val="000E0E5D"/>
    <w:rsid w:val="000E14A4"/>
    <w:rsid w:val="000E1EB6"/>
    <w:rsid w:val="000E3383"/>
    <w:rsid w:val="000E363D"/>
    <w:rsid w:val="000E371F"/>
    <w:rsid w:val="000E384A"/>
    <w:rsid w:val="000E3AC9"/>
    <w:rsid w:val="000E3B18"/>
    <w:rsid w:val="000E3D72"/>
    <w:rsid w:val="000E4023"/>
    <w:rsid w:val="000E4A90"/>
    <w:rsid w:val="000E53AA"/>
    <w:rsid w:val="000E5D43"/>
    <w:rsid w:val="000E7417"/>
    <w:rsid w:val="000E7937"/>
    <w:rsid w:val="000F039D"/>
    <w:rsid w:val="000F18AD"/>
    <w:rsid w:val="000F1CAA"/>
    <w:rsid w:val="000F21E0"/>
    <w:rsid w:val="000F2385"/>
    <w:rsid w:val="000F253B"/>
    <w:rsid w:val="000F2D5D"/>
    <w:rsid w:val="000F3093"/>
    <w:rsid w:val="000F328D"/>
    <w:rsid w:val="000F460E"/>
    <w:rsid w:val="000F52DF"/>
    <w:rsid w:val="000F54F3"/>
    <w:rsid w:val="000F5BBA"/>
    <w:rsid w:val="000F6E37"/>
    <w:rsid w:val="000F7A72"/>
    <w:rsid w:val="001015EB"/>
    <w:rsid w:val="00101842"/>
    <w:rsid w:val="00101AAC"/>
    <w:rsid w:val="00101F4A"/>
    <w:rsid w:val="00103CD3"/>
    <w:rsid w:val="00104A0F"/>
    <w:rsid w:val="001065AC"/>
    <w:rsid w:val="00106641"/>
    <w:rsid w:val="0010685D"/>
    <w:rsid w:val="00107D51"/>
    <w:rsid w:val="00107FA8"/>
    <w:rsid w:val="001106AD"/>
    <w:rsid w:val="001110F1"/>
    <w:rsid w:val="00112151"/>
    <w:rsid w:val="00113D59"/>
    <w:rsid w:val="00113E06"/>
    <w:rsid w:val="001144DE"/>
    <w:rsid w:val="001146B0"/>
    <w:rsid w:val="00114FC2"/>
    <w:rsid w:val="001155D4"/>
    <w:rsid w:val="00115A48"/>
    <w:rsid w:val="0011616A"/>
    <w:rsid w:val="0011635C"/>
    <w:rsid w:val="00116668"/>
    <w:rsid w:val="0011681F"/>
    <w:rsid w:val="0011767E"/>
    <w:rsid w:val="00121368"/>
    <w:rsid w:val="001214C5"/>
    <w:rsid w:val="001216A7"/>
    <w:rsid w:val="0012181B"/>
    <w:rsid w:val="00122262"/>
    <w:rsid w:val="001236BD"/>
    <w:rsid w:val="00123E99"/>
    <w:rsid w:val="00124214"/>
    <w:rsid w:val="00125361"/>
    <w:rsid w:val="00126C8D"/>
    <w:rsid w:val="00127360"/>
    <w:rsid w:val="001273C1"/>
    <w:rsid w:val="00127429"/>
    <w:rsid w:val="00127FD4"/>
    <w:rsid w:val="00130D89"/>
    <w:rsid w:val="001310DB"/>
    <w:rsid w:val="001313AF"/>
    <w:rsid w:val="00131599"/>
    <w:rsid w:val="00132BA0"/>
    <w:rsid w:val="00133B3A"/>
    <w:rsid w:val="00134A67"/>
    <w:rsid w:val="00134D8C"/>
    <w:rsid w:val="00135200"/>
    <w:rsid w:val="0013569F"/>
    <w:rsid w:val="001361EB"/>
    <w:rsid w:val="00136706"/>
    <w:rsid w:val="00136A12"/>
    <w:rsid w:val="00136A6E"/>
    <w:rsid w:val="00137429"/>
    <w:rsid w:val="00137711"/>
    <w:rsid w:val="0013795D"/>
    <w:rsid w:val="00137B91"/>
    <w:rsid w:val="00137FED"/>
    <w:rsid w:val="0014002B"/>
    <w:rsid w:val="00140318"/>
    <w:rsid w:val="0014062A"/>
    <w:rsid w:val="00140B29"/>
    <w:rsid w:val="0014120B"/>
    <w:rsid w:val="001419ED"/>
    <w:rsid w:val="00142077"/>
    <w:rsid w:val="00142189"/>
    <w:rsid w:val="001421B0"/>
    <w:rsid w:val="00143D92"/>
    <w:rsid w:val="00144014"/>
    <w:rsid w:val="001445A8"/>
    <w:rsid w:val="0014564B"/>
    <w:rsid w:val="00146C71"/>
    <w:rsid w:val="00147370"/>
    <w:rsid w:val="0014746A"/>
    <w:rsid w:val="001479C1"/>
    <w:rsid w:val="00150586"/>
    <w:rsid w:val="00150626"/>
    <w:rsid w:val="0015106B"/>
    <w:rsid w:val="0015165B"/>
    <w:rsid w:val="00151EFE"/>
    <w:rsid w:val="001526AA"/>
    <w:rsid w:val="00152B85"/>
    <w:rsid w:val="00152F95"/>
    <w:rsid w:val="00153618"/>
    <w:rsid w:val="001539A0"/>
    <w:rsid w:val="00153B9B"/>
    <w:rsid w:val="00153FA9"/>
    <w:rsid w:val="00154307"/>
    <w:rsid w:val="0015540F"/>
    <w:rsid w:val="00155F67"/>
    <w:rsid w:val="0015622A"/>
    <w:rsid w:val="00156387"/>
    <w:rsid w:val="00156C09"/>
    <w:rsid w:val="0015763F"/>
    <w:rsid w:val="00157F91"/>
    <w:rsid w:val="001602D0"/>
    <w:rsid w:val="00160997"/>
    <w:rsid w:val="00162ECD"/>
    <w:rsid w:val="001634F0"/>
    <w:rsid w:val="001640FF"/>
    <w:rsid w:val="00165482"/>
    <w:rsid w:val="001663B1"/>
    <w:rsid w:val="00166ADF"/>
    <w:rsid w:val="00167867"/>
    <w:rsid w:val="00167D82"/>
    <w:rsid w:val="00170640"/>
    <w:rsid w:val="00170985"/>
    <w:rsid w:val="00170B09"/>
    <w:rsid w:val="00170C80"/>
    <w:rsid w:val="00171353"/>
    <w:rsid w:val="001722C1"/>
    <w:rsid w:val="00173056"/>
    <w:rsid w:val="0017415D"/>
    <w:rsid w:val="00174712"/>
    <w:rsid w:val="0017496F"/>
    <w:rsid w:val="00174FA7"/>
    <w:rsid w:val="00175288"/>
    <w:rsid w:val="00176113"/>
    <w:rsid w:val="0017622E"/>
    <w:rsid w:val="00176476"/>
    <w:rsid w:val="00176AC2"/>
    <w:rsid w:val="00176BD8"/>
    <w:rsid w:val="00176FB9"/>
    <w:rsid w:val="00177C4B"/>
    <w:rsid w:val="00180384"/>
    <w:rsid w:val="001803F1"/>
    <w:rsid w:val="00181748"/>
    <w:rsid w:val="00181ECD"/>
    <w:rsid w:val="00181EFE"/>
    <w:rsid w:val="00182B1C"/>
    <w:rsid w:val="00182C2F"/>
    <w:rsid w:val="00185FE7"/>
    <w:rsid w:val="0018636A"/>
    <w:rsid w:val="00186669"/>
    <w:rsid w:val="00186732"/>
    <w:rsid w:val="00187627"/>
    <w:rsid w:val="00187A9A"/>
    <w:rsid w:val="001903F1"/>
    <w:rsid w:val="00190946"/>
    <w:rsid w:val="00190A2F"/>
    <w:rsid w:val="00190FD9"/>
    <w:rsid w:val="00191B7E"/>
    <w:rsid w:val="00192889"/>
    <w:rsid w:val="001928A6"/>
    <w:rsid w:val="001937C0"/>
    <w:rsid w:val="00193A91"/>
    <w:rsid w:val="00193DC5"/>
    <w:rsid w:val="00194366"/>
    <w:rsid w:val="00195C2D"/>
    <w:rsid w:val="00196318"/>
    <w:rsid w:val="001970CD"/>
    <w:rsid w:val="001A016A"/>
    <w:rsid w:val="001A034C"/>
    <w:rsid w:val="001A0670"/>
    <w:rsid w:val="001A0918"/>
    <w:rsid w:val="001A0A91"/>
    <w:rsid w:val="001A0ABE"/>
    <w:rsid w:val="001A1222"/>
    <w:rsid w:val="001A19CF"/>
    <w:rsid w:val="001A1A0C"/>
    <w:rsid w:val="001A226F"/>
    <w:rsid w:val="001A3259"/>
    <w:rsid w:val="001A4965"/>
    <w:rsid w:val="001A5753"/>
    <w:rsid w:val="001A5957"/>
    <w:rsid w:val="001A64A9"/>
    <w:rsid w:val="001A64B9"/>
    <w:rsid w:val="001A6552"/>
    <w:rsid w:val="001A7378"/>
    <w:rsid w:val="001A7833"/>
    <w:rsid w:val="001B148B"/>
    <w:rsid w:val="001B1738"/>
    <w:rsid w:val="001B27D5"/>
    <w:rsid w:val="001B4297"/>
    <w:rsid w:val="001B43EB"/>
    <w:rsid w:val="001B5072"/>
    <w:rsid w:val="001B53B9"/>
    <w:rsid w:val="001B5ECD"/>
    <w:rsid w:val="001B6340"/>
    <w:rsid w:val="001B635E"/>
    <w:rsid w:val="001B6557"/>
    <w:rsid w:val="001B6A2F"/>
    <w:rsid w:val="001B6A63"/>
    <w:rsid w:val="001B718A"/>
    <w:rsid w:val="001B7266"/>
    <w:rsid w:val="001B78D3"/>
    <w:rsid w:val="001C0606"/>
    <w:rsid w:val="001C0B8A"/>
    <w:rsid w:val="001C0D92"/>
    <w:rsid w:val="001C0DDF"/>
    <w:rsid w:val="001C1DE3"/>
    <w:rsid w:val="001C1E87"/>
    <w:rsid w:val="001C2D69"/>
    <w:rsid w:val="001C3046"/>
    <w:rsid w:val="001C3903"/>
    <w:rsid w:val="001C4146"/>
    <w:rsid w:val="001C5002"/>
    <w:rsid w:val="001C5013"/>
    <w:rsid w:val="001C505E"/>
    <w:rsid w:val="001C562F"/>
    <w:rsid w:val="001C5ACD"/>
    <w:rsid w:val="001C63E3"/>
    <w:rsid w:val="001C7589"/>
    <w:rsid w:val="001C7A2C"/>
    <w:rsid w:val="001D091A"/>
    <w:rsid w:val="001D0BB3"/>
    <w:rsid w:val="001D0E91"/>
    <w:rsid w:val="001D30EE"/>
    <w:rsid w:val="001D328F"/>
    <w:rsid w:val="001D35D4"/>
    <w:rsid w:val="001D42C0"/>
    <w:rsid w:val="001D4AAE"/>
    <w:rsid w:val="001D4F74"/>
    <w:rsid w:val="001D5664"/>
    <w:rsid w:val="001D5976"/>
    <w:rsid w:val="001D5C74"/>
    <w:rsid w:val="001D684B"/>
    <w:rsid w:val="001D6ADA"/>
    <w:rsid w:val="001D7491"/>
    <w:rsid w:val="001D7790"/>
    <w:rsid w:val="001D77D6"/>
    <w:rsid w:val="001D782F"/>
    <w:rsid w:val="001D7B1B"/>
    <w:rsid w:val="001D7C5C"/>
    <w:rsid w:val="001E0040"/>
    <w:rsid w:val="001E0800"/>
    <w:rsid w:val="001E0AC1"/>
    <w:rsid w:val="001E15D6"/>
    <w:rsid w:val="001E1B8D"/>
    <w:rsid w:val="001E2388"/>
    <w:rsid w:val="001E2776"/>
    <w:rsid w:val="001E2929"/>
    <w:rsid w:val="001E3D26"/>
    <w:rsid w:val="001E4F65"/>
    <w:rsid w:val="001E5182"/>
    <w:rsid w:val="001E5249"/>
    <w:rsid w:val="001E5FDD"/>
    <w:rsid w:val="001E6616"/>
    <w:rsid w:val="001E6690"/>
    <w:rsid w:val="001E6D1C"/>
    <w:rsid w:val="001E6D39"/>
    <w:rsid w:val="001E6DE1"/>
    <w:rsid w:val="001E7234"/>
    <w:rsid w:val="001E74F1"/>
    <w:rsid w:val="001E753C"/>
    <w:rsid w:val="001F055B"/>
    <w:rsid w:val="001F0A7B"/>
    <w:rsid w:val="001F0A8B"/>
    <w:rsid w:val="001F0ADE"/>
    <w:rsid w:val="001F0AFB"/>
    <w:rsid w:val="001F0F52"/>
    <w:rsid w:val="001F1E1C"/>
    <w:rsid w:val="001F364F"/>
    <w:rsid w:val="001F447E"/>
    <w:rsid w:val="001F575C"/>
    <w:rsid w:val="001F5820"/>
    <w:rsid w:val="001F58CA"/>
    <w:rsid w:val="001F610B"/>
    <w:rsid w:val="001F6F90"/>
    <w:rsid w:val="001F7031"/>
    <w:rsid w:val="001F7095"/>
    <w:rsid w:val="001F7589"/>
    <w:rsid w:val="00200293"/>
    <w:rsid w:val="002003D3"/>
    <w:rsid w:val="00200631"/>
    <w:rsid w:val="00200F32"/>
    <w:rsid w:val="00201D83"/>
    <w:rsid w:val="00201F11"/>
    <w:rsid w:val="002021F8"/>
    <w:rsid w:val="00202474"/>
    <w:rsid w:val="00202E71"/>
    <w:rsid w:val="002031B4"/>
    <w:rsid w:val="00203DE7"/>
    <w:rsid w:val="00204579"/>
    <w:rsid w:val="00205832"/>
    <w:rsid w:val="002062B0"/>
    <w:rsid w:val="00206E3A"/>
    <w:rsid w:val="00207851"/>
    <w:rsid w:val="00207C7A"/>
    <w:rsid w:val="0021006E"/>
    <w:rsid w:val="002100D8"/>
    <w:rsid w:val="00210ADB"/>
    <w:rsid w:val="00210EF1"/>
    <w:rsid w:val="0021100F"/>
    <w:rsid w:val="0021140D"/>
    <w:rsid w:val="00212987"/>
    <w:rsid w:val="0021329B"/>
    <w:rsid w:val="00213548"/>
    <w:rsid w:val="002149D8"/>
    <w:rsid w:val="00215ED9"/>
    <w:rsid w:val="00215F57"/>
    <w:rsid w:val="002168EB"/>
    <w:rsid w:val="00216BD5"/>
    <w:rsid w:val="00216FA5"/>
    <w:rsid w:val="00217008"/>
    <w:rsid w:val="00217DDD"/>
    <w:rsid w:val="002207FD"/>
    <w:rsid w:val="00220E67"/>
    <w:rsid w:val="0022111D"/>
    <w:rsid w:val="00221167"/>
    <w:rsid w:val="002213FA"/>
    <w:rsid w:val="00221470"/>
    <w:rsid w:val="00221E8E"/>
    <w:rsid w:val="00221EEA"/>
    <w:rsid w:val="002228E4"/>
    <w:rsid w:val="00222D57"/>
    <w:rsid w:val="00222E75"/>
    <w:rsid w:val="00223D03"/>
    <w:rsid w:val="002262A8"/>
    <w:rsid w:val="002268A1"/>
    <w:rsid w:val="00226BCE"/>
    <w:rsid w:val="00226C64"/>
    <w:rsid w:val="002270E0"/>
    <w:rsid w:val="002277AB"/>
    <w:rsid w:val="00230AC7"/>
    <w:rsid w:val="00230C8F"/>
    <w:rsid w:val="002315AC"/>
    <w:rsid w:val="002316F1"/>
    <w:rsid w:val="002319B1"/>
    <w:rsid w:val="00231C16"/>
    <w:rsid w:val="0023246E"/>
    <w:rsid w:val="00233035"/>
    <w:rsid w:val="002333EF"/>
    <w:rsid w:val="002335C6"/>
    <w:rsid w:val="00233A7B"/>
    <w:rsid w:val="00233D14"/>
    <w:rsid w:val="002349F1"/>
    <w:rsid w:val="0023530A"/>
    <w:rsid w:val="00235976"/>
    <w:rsid w:val="00235F7C"/>
    <w:rsid w:val="00237BC0"/>
    <w:rsid w:val="00240986"/>
    <w:rsid w:val="0024153C"/>
    <w:rsid w:val="00241A57"/>
    <w:rsid w:val="0024232F"/>
    <w:rsid w:val="00242AEE"/>
    <w:rsid w:val="00242DCE"/>
    <w:rsid w:val="00242F24"/>
    <w:rsid w:val="002434E0"/>
    <w:rsid w:val="002451D2"/>
    <w:rsid w:val="00245221"/>
    <w:rsid w:val="00245553"/>
    <w:rsid w:val="00245768"/>
    <w:rsid w:val="00245AEE"/>
    <w:rsid w:val="00246082"/>
    <w:rsid w:val="00246AD3"/>
    <w:rsid w:val="002476EF"/>
    <w:rsid w:val="002479BF"/>
    <w:rsid w:val="00247C61"/>
    <w:rsid w:val="002504BA"/>
    <w:rsid w:val="00251554"/>
    <w:rsid w:val="00251EB1"/>
    <w:rsid w:val="0025231E"/>
    <w:rsid w:val="0025243C"/>
    <w:rsid w:val="00253130"/>
    <w:rsid w:val="0025332D"/>
    <w:rsid w:val="00253764"/>
    <w:rsid w:val="00253DDB"/>
    <w:rsid w:val="002555BE"/>
    <w:rsid w:val="00255AD5"/>
    <w:rsid w:val="00255B4E"/>
    <w:rsid w:val="00255CF4"/>
    <w:rsid w:val="00255DF9"/>
    <w:rsid w:val="00255E58"/>
    <w:rsid w:val="00256524"/>
    <w:rsid w:val="002568D3"/>
    <w:rsid w:val="0025697F"/>
    <w:rsid w:val="00256DC6"/>
    <w:rsid w:val="00256EA7"/>
    <w:rsid w:val="00257239"/>
    <w:rsid w:val="0025733F"/>
    <w:rsid w:val="002574F5"/>
    <w:rsid w:val="0025794E"/>
    <w:rsid w:val="00257A41"/>
    <w:rsid w:val="00257C12"/>
    <w:rsid w:val="00257C95"/>
    <w:rsid w:val="002606EA"/>
    <w:rsid w:val="00260C59"/>
    <w:rsid w:val="00261257"/>
    <w:rsid w:val="0026190E"/>
    <w:rsid w:val="00261C73"/>
    <w:rsid w:val="00262DB2"/>
    <w:rsid w:val="0026326C"/>
    <w:rsid w:val="002637F5"/>
    <w:rsid w:val="00263B23"/>
    <w:rsid w:val="0026444B"/>
    <w:rsid w:val="00264E29"/>
    <w:rsid w:val="002656A2"/>
    <w:rsid w:val="00265CF3"/>
    <w:rsid w:val="00266E50"/>
    <w:rsid w:val="0026715A"/>
    <w:rsid w:val="00267255"/>
    <w:rsid w:val="0026770D"/>
    <w:rsid w:val="00267833"/>
    <w:rsid w:val="002702FA"/>
    <w:rsid w:val="0027118C"/>
    <w:rsid w:val="002712DC"/>
    <w:rsid w:val="00271406"/>
    <w:rsid w:val="00271AE8"/>
    <w:rsid w:val="00271F37"/>
    <w:rsid w:val="00272229"/>
    <w:rsid w:val="00272442"/>
    <w:rsid w:val="0027247A"/>
    <w:rsid w:val="002727F7"/>
    <w:rsid w:val="00272861"/>
    <w:rsid w:val="00272991"/>
    <w:rsid w:val="002729E6"/>
    <w:rsid w:val="00273C98"/>
    <w:rsid w:val="00273E05"/>
    <w:rsid w:val="002740B9"/>
    <w:rsid w:val="002747B0"/>
    <w:rsid w:val="002748D8"/>
    <w:rsid w:val="0027506C"/>
    <w:rsid w:val="00275C73"/>
    <w:rsid w:val="00276011"/>
    <w:rsid w:val="0027611A"/>
    <w:rsid w:val="00276409"/>
    <w:rsid w:val="002764F3"/>
    <w:rsid w:val="002766B3"/>
    <w:rsid w:val="00276E3F"/>
    <w:rsid w:val="002778ED"/>
    <w:rsid w:val="00277FF9"/>
    <w:rsid w:val="002806C4"/>
    <w:rsid w:val="00281132"/>
    <w:rsid w:val="002813E0"/>
    <w:rsid w:val="00281945"/>
    <w:rsid w:val="00282762"/>
    <w:rsid w:val="002827BF"/>
    <w:rsid w:val="00282ADD"/>
    <w:rsid w:val="00282BE9"/>
    <w:rsid w:val="002837A5"/>
    <w:rsid w:val="00284395"/>
    <w:rsid w:val="002843F9"/>
    <w:rsid w:val="0028448D"/>
    <w:rsid w:val="0028501F"/>
    <w:rsid w:val="0028531D"/>
    <w:rsid w:val="00285352"/>
    <w:rsid w:val="002861BF"/>
    <w:rsid w:val="0028674A"/>
    <w:rsid w:val="00286779"/>
    <w:rsid w:val="00286BF8"/>
    <w:rsid w:val="00287456"/>
    <w:rsid w:val="00290718"/>
    <w:rsid w:val="00291167"/>
    <w:rsid w:val="002915CF"/>
    <w:rsid w:val="002918FF"/>
    <w:rsid w:val="00291B47"/>
    <w:rsid w:val="00292727"/>
    <w:rsid w:val="002931D5"/>
    <w:rsid w:val="00293390"/>
    <w:rsid w:val="00295D52"/>
    <w:rsid w:val="0029605A"/>
    <w:rsid w:val="00296247"/>
    <w:rsid w:val="00296958"/>
    <w:rsid w:val="00296C8F"/>
    <w:rsid w:val="00296F40"/>
    <w:rsid w:val="00296FDD"/>
    <w:rsid w:val="00297059"/>
    <w:rsid w:val="0029724E"/>
    <w:rsid w:val="0029797A"/>
    <w:rsid w:val="002A109A"/>
    <w:rsid w:val="002A1741"/>
    <w:rsid w:val="002A182F"/>
    <w:rsid w:val="002A210E"/>
    <w:rsid w:val="002A36E5"/>
    <w:rsid w:val="002A476B"/>
    <w:rsid w:val="002A4CE0"/>
    <w:rsid w:val="002A560B"/>
    <w:rsid w:val="002A5B33"/>
    <w:rsid w:val="002A63FC"/>
    <w:rsid w:val="002A6EC7"/>
    <w:rsid w:val="002A7097"/>
    <w:rsid w:val="002A71FD"/>
    <w:rsid w:val="002A72D0"/>
    <w:rsid w:val="002A72E3"/>
    <w:rsid w:val="002A7556"/>
    <w:rsid w:val="002A779C"/>
    <w:rsid w:val="002B05E1"/>
    <w:rsid w:val="002B0B4E"/>
    <w:rsid w:val="002B18B8"/>
    <w:rsid w:val="002B18D5"/>
    <w:rsid w:val="002B1B84"/>
    <w:rsid w:val="002B1C1A"/>
    <w:rsid w:val="002B1D26"/>
    <w:rsid w:val="002B2190"/>
    <w:rsid w:val="002B220E"/>
    <w:rsid w:val="002B292E"/>
    <w:rsid w:val="002B2C1C"/>
    <w:rsid w:val="002B382B"/>
    <w:rsid w:val="002B3926"/>
    <w:rsid w:val="002B4B28"/>
    <w:rsid w:val="002B5603"/>
    <w:rsid w:val="002B6AC5"/>
    <w:rsid w:val="002B6C95"/>
    <w:rsid w:val="002B6CC4"/>
    <w:rsid w:val="002B711B"/>
    <w:rsid w:val="002B71BB"/>
    <w:rsid w:val="002C0924"/>
    <w:rsid w:val="002C0945"/>
    <w:rsid w:val="002C1A64"/>
    <w:rsid w:val="002C3110"/>
    <w:rsid w:val="002C38C7"/>
    <w:rsid w:val="002C457D"/>
    <w:rsid w:val="002C4640"/>
    <w:rsid w:val="002C5165"/>
    <w:rsid w:val="002C594A"/>
    <w:rsid w:val="002C6039"/>
    <w:rsid w:val="002C66A6"/>
    <w:rsid w:val="002C68C2"/>
    <w:rsid w:val="002C70BB"/>
    <w:rsid w:val="002C719A"/>
    <w:rsid w:val="002C7790"/>
    <w:rsid w:val="002D17C1"/>
    <w:rsid w:val="002D1C10"/>
    <w:rsid w:val="002D1DE6"/>
    <w:rsid w:val="002D235B"/>
    <w:rsid w:val="002D4294"/>
    <w:rsid w:val="002D4EC2"/>
    <w:rsid w:val="002D593A"/>
    <w:rsid w:val="002D5ECA"/>
    <w:rsid w:val="002D62E1"/>
    <w:rsid w:val="002D6A83"/>
    <w:rsid w:val="002D766B"/>
    <w:rsid w:val="002D7764"/>
    <w:rsid w:val="002D7AD7"/>
    <w:rsid w:val="002D7AF4"/>
    <w:rsid w:val="002E30E7"/>
    <w:rsid w:val="002E35C3"/>
    <w:rsid w:val="002E37C2"/>
    <w:rsid w:val="002E3ED1"/>
    <w:rsid w:val="002E439B"/>
    <w:rsid w:val="002E471B"/>
    <w:rsid w:val="002E5D0D"/>
    <w:rsid w:val="002E5FD6"/>
    <w:rsid w:val="002E6C16"/>
    <w:rsid w:val="002E6F53"/>
    <w:rsid w:val="002E74E7"/>
    <w:rsid w:val="002E7A41"/>
    <w:rsid w:val="002F02D8"/>
    <w:rsid w:val="002F0378"/>
    <w:rsid w:val="002F039E"/>
    <w:rsid w:val="002F0956"/>
    <w:rsid w:val="002F1C18"/>
    <w:rsid w:val="002F1D4D"/>
    <w:rsid w:val="002F2269"/>
    <w:rsid w:val="002F3ABE"/>
    <w:rsid w:val="002F4215"/>
    <w:rsid w:val="002F4664"/>
    <w:rsid w:val="002F496A"/>
    <w:rsid w:val="002F53B2"/>
    <w:rsid w:val="002F5534"/>
    <w:rsid w:val="002F5F6F"/>
    <w:rsid w:val="002F659E"/>
    <w:rsid w:val="002F68C4"/>
    <w:rsid w:val="00300149"/>
    <w:rsid w:val="00300D12"/>
    <w:rsid w:val="0030174C"/>
    <w:rsid w:val="00301E32"/>
    <w:rsid w:val="00302C64"/>
    <w:rsid w:val="00302DBF"/>
    <w:rsid w:val="00303145"/>
    <w:rsid w:val="00303C76"/>
    <w:rsid w:val="00304C2F"/>
    <w:rsid w:val="0031138C"/>
    <w:rsid w:val="003130EE"/>
    <w:rsid w:val="00313580"/>
    <w:rsid w:val="00313804"/>
    <w:rsid w:val="00314A6E"/>
    <w:rsid w:val="00314B32"/>
    <w:rsid w:val="00314F6B"/>
    <w:rsid w:val="003153DC"/>
    <w:rsid w:val="00315874"/>
    <w:rsid w:val="00315AF1"/>
    <w:rsid w:val="00315CEC"/>
    <w:rsid w:val="00315FDB"/>
    <w:rsid w:val="00316B6B"/>
    <w:rsid w:val="00316E35"/>
    <w:rsid w:val="00320207"/>
    <w:rsid w:val="003207BB"/>
    <w:rsid w:val="00320AA3"/>
    <w:rsid w:val="00321512"/>
    <w:rsid w:val="00321A37"/>
    <w:rsid w:val="00323823"/>
    <w:rsid w:val="0032392D"/>
    <w:rsid w:val="00323BC4"/>
    <w:rsid w:val="00323D06"/>
    <w:rsid w:val="00323DA0"/>
    <w:rsid w:val="003244D2"/>
    <w:rsid w:val="00324571"/>
    <w:rsid w:val="00324F9D"/>
    <w:rsid w:val="003253E8"/>
    <w:rsid w:val="00326A9E"/>
    <w:rsid w:val="00326CC3"/>
    <w:rsid w:val="003271E6"/>
    <w:rsid w:val="00330EA6"/>
    <w:rsid w:val="00330FFD"/>
    <w:rsid w:val="00331D18"/>
    <w:rsid w:val="00332937"/>
    <w:rsid w:val="003332DE"/>
    <w:rsid w:val="00333553"/>
    <w:rsid w:val="00333A99"/>
    <w:rsid w:val="00333B1D"/>
    <w:rsid w:val="00333D8C"/>
    <w:rsid w:val="00334149"/>
    <w:rsid w:val="00334521"/>
    <w:rsid w:val="0033520C"/>
    <w:rsid w:val="0033643D"/>
    <w:rsid w:val="00336658"/>
    <w:rsid w:val="0033690C"/>
    <w:rsid w:val="00336C46"/>
    <w:rsid w:val="00336E38"/>
    <w:rsid w:val="00336FC4"/>
    <w:rsid w:val="00336FF7"/>
    <w:rsid w:val="0033756D"/>
    <w:rsid w:val="003376BE"/>
    <w:rsid w:val="00337C75"/>
    <w:rsid w:val="0034051F"/>
    <w:rsid w:val="00340732"/>
    <w:rsid w:val="00340A2C"/>
    <w:rsid w:val="00340A54"/>
    <w:rsid w:val="00341326"/>
    <w:rsid w:val="003415BE"/>
    <w:rsid w:val="003420E1"/>
    <w:rsid w:val="00343496"/>
    <w:rsid w:val="003434CE"/>
    <w:rsid w:val="00344F99"/>
    <w:rsid w:val="00345CC2"/>
    <w:rsid w:val="00345EFC"/>
    <w:rsid w:val="0034624F"/>
    <w:rsid w:val="003463F1"/>
    <w:rsid w:val="00346A1D"/>
    <w:rsid w:val="00346C08"/>
    <w:rsid w:val="00346C6A"/>
    <w:rsid w:val="003470C2"/>
    <w:rsid w:val="003470DD"/>
    <w:rsid w:val="0034741B"/>
    <w:rsid w:val="00347479"/>
    <w:rsid w:val="0035044E"/>
    <w:rsid w:val="00350955"/>
    <w:rsid w:val="0035180F"/>
    <w:rsid w:val="00352C80"/>
    <w:rsid w:val="00352F61"/>
    <w:rsid w:val="003531A1"/>
    <w:rsid w:val="003536C7"/>
    <w:rsid w:val="00353946"/>
    <w:rsid w:val="003544AE"/>
    <w:rsid w:val="00355109"/>
    <w:rsid w:val="00355CD7"/>
    <w:rsid w:val="003560F9"/>
    <w:rsid w:val="00356AF5"/>
    <w:rsid w:val="003571CA"/>
    <w:rsid w:val="0035783F"/>
    <w:rsid w:val="003603A0"/>
    <w:rsid w:val="0036054D"/>
    <w:rsid w:val="00360DA6"/>
    <w:rsid w:val="00360FDF"/>
    <w:rsid w:val="003610FA"/>
    <w:rsid w:val="00361391"/>
    <w:rsid w:val="003615BC"/>
    <w:rsid w:val="00361F31"/>
    <w:rsid w:val="0036215F"/>
    <w:rsid w:val="00362407"/>
    <w:rsid w:val="003632C2"/>
    <w:rsid w:val="003634E4"/>
    <w:rsid w:val="00364BF2"/>
    <w:rsid w:val="003661CF"/>
    <w:rsid w:val="00366822"/>
    <w:rsid w:val="00366C89"/>
    <w:rsid w:val="0036701D"/>
    <w:rsid w:val="003679AA"/>
    <w:rsid w:val="00367D6D"/>
    <w:rsid w:val="00370EDD"/>
    <w:rsid w:val="0037131A"/>
    <w:rsid w:val="00371DDF"/>
    <w:rsid w:val="00372353"/>
    <w:rsid w:val="0037278D"/>
    <w:rsid w:val="00373013"/>
    <w:rsid w:val="00373396"/>
    <w:rsid w:val="003738B6"/>
    <w:rsid w:val="00373948"/>
    <w:rsid w:val="00374317"/>
    <w:rsid w:val="00374BA9"/>
    <w:rsid w:val="003764E2"/>
    <w:rsid w:val="0037660F"/>
    <w:rsid w:val="003766CC"/>
    <w:rsid w:val="003768D8"/>
    <w:rsid w:val="00376D78"/>
    <w:rsid w:val="0038007D"/>
    <w:rsid w:val="003802D7"/>
    <w:rsid w:val="0038051A"/>
    <w:rsid w:val="00381521"/>
    <w:rsid w:val="00381888"/>
    <w:rsid w:val="0038195C"/>
    <w:rsid w:val="00382065"/>
    <w:rsid w:val="003829B0"/>
    <w:rsid w:val="00383A84"/>
    <w:rsid w:val="003844FE"/>
    <w:rsid w:val="00384AD9"/>
    <w:rsid w:val="00384CE3"/>
    <w:rsid w:val="00384D95"/>
    <w:rsid w:val="003856EF"/>
    <w:rsid w:val="00385711"/>
    <w:rsid w:val="0038644F"/>
    <w:rsid w:val="00386C84"/>
    <w:rsid w:val="00387A8A"/>
    <w:rsid w:val="00390440"/>
    <w:rsid w:val="00390629"/>
    <w:rsid w:val="00390AC3"/>
    <w:rsid w:val="00390C55"/>
    <w:rsid w:val="00391801"/>
    <w:rsid w:val="003919D4"/>
    <w:rsid w:val="003927EE"/>
    <w:rsid w:val="00392EB8"/>
    <w:rsid w:val="00393509"/>
    <w:rsid w:val="003938C8"/>
    <w:rsid w:val="00394EAE"/>
    <w:rsid w:val="00395A14"/>
    <w:rsid w:val="00396788"/>
    <w:rsid w:val="003971BB"/>
    <w:rsid w:val="00397EF3"/>
    <w:rsid w:val="003A04F7"/>
    <w:rsid w:val="003A0EED"/>
    <w:rsid w:val="003A2653"/>
    <w:rsid w:val="003A309A"/>
    <w:rsid w:val="003A368A"/>
    <w:rsid w:val="003A3944"/>
    <w:rsid w:val="003A4CFC"/>
    <w:rsid w:val="003A5E96"/>
    <w:rsid w:val="003A6236"/>
    <w:rsid w:val="003A62F5"/>
    <w:rsid w:val="003A699D"/>
    <w:rsid w:val="003A6AE7"/>
    <w:rsid w:val="003A6B90"/>
    <w:rsid w:val="003A6CCC"/>
    <w:rsid w:val="003A6E11"/>
    <w:rsid w:val="003A6F05"/>
    <w:rsid w:val="003A7973"/>
    <w:rsid w:val="003B010A"/>
    <w:rsid w:val="003B07A4"/>
    <w:rsid w:val="003B08ED"/>
    <w:rsid w:val="003B1B59"/>
    <w:rsid w:val="003B20A2"/>
    <w:rsid w:val="003B2589"/>
    <w:rsid w:val="003B275F"/>
    <w:rsid w:val="003B3E88"/>
    <w:rsid w:val="003B3EB7"/>
    <w:rsid w:val="003B4182"/>
    <w:rsid w:val="003B47D4"/>
    <w:rsid w:val="003B491D"/>
    <w:rsid w:val="003B4BF1"/>
    <w:rsid w:val="003B544E"/>
    <w:rsid w:val="003B605A"/>
    <w:rsid w:val="003B68A9"/>
    <w:rsid w:val="003B7DEE"/>
    <w:rsid w:val="003B7E5F"/>
    <w:rsid w:val="003C0EEB"/>
    <w:rsid w:val="003C1019"/>
    <w:rsid w:val="003C1F7B"/>
    <w:rsid w:val="003C219A"/>
    <w:rsid w:val="003C328B"/>
    <w:rsid w:val="003C349C"/>
    <w:rsid w:val="003C3EFA"/>
    <w:rsid w:val="003C3F59"/>
    <w:rsid w:val="003C4360"/>
    <w:rsid w:val="003C468F"/>
    <w:rsid w:val="003C4E2C"/>
    <w:rsid w:val="003C5547"/>
    <w:rsid w:val="003C56A5"/>
    <w:rsid w:val="003C5830"/>
    <w:rsid w:val="003C58B6"/>
    <w:rsid w:val="003C6214"/>
    <w:rsid w:val="003C6F8B"/>
    <w:rsid w:val="003D0BC4"/>
    <w:rsid w:val="003D17B7"/>
    <w:rsid w:val="003D1845"/>
    <w:rsid w:val="003D18A6"/>
    <w:rsid w:val="003D1B9E"/>
    <w:rsid w:val="003D1BDE"/>
    <w:rsid w:val="003D1E9B"/>
    <w:rsid w:val="003D3C18"/>
    <w:rsid w:val="003D3C63"/>
    <w:rsid w:val="003D4BBD"/>
    <w:rsid w:val="003D4DEF"/>
    <w:rsid w:val="003D4F4F"/>
    <w:rsid w:val="003D4FE0"/>
    <w:rsid w:val="003D5788"/>
    <w:rsid w:val="003D71D5"/>
    <w:rsid w:val="003D72CB"/>
    <w:rsid w:val="003D7D28"/>
    <w:rsid w:val="003E01BE"/>
    <w:rsid w:val="003E0A6F"/>
    <w:rsid w:val="003E1838"/>
    <w:rsid w:val="003E305E"/>
    <w:rsid w:val="003E3885"/>
    <w:rsid w:val="003E4218"/>
    <w:rsid w:val="003E47B6"/>
    <w:rsid w:val="003E5602"/>
    <w:rsid w:val="003E6743"/>
    <w:rsid w:val="003E6953"/>
    <w:rsid w:val="003E6A0F"/>
    <w:rsid w:val="003E7CF5"/>
    <w:rsid w:val="003E7F4A"/>
    <w:rsid w:val="003F1234"/>
    <w:rsid w:val="003F1B15"/>
    <w:rsid w:val="003F1D2F"/>
    <w:rsid w:val="003F2C86"/>
    <w:rsid w:val="003F321F"/>
    <w:rsid w:val="003F42BF"/>
    <w:rsid w:val="003F47A9"/>
    <w:rsid w:val="003F4E58"/>
    <w:rsid w:val="003F5B1F"/>
    <w:rsid w:val="003F623D"/>
    <w:rsid w:val="003F670C"/>
    <w:rsid w:val="003F6877"/>
    <w:rsid w:val="003F77CB"/>
    <w:rsid w:val="003F7D9C"/>
    <w:rsid w:val="004002B7"/>
    <w:rsid w:val="0040089C"/>
    <w:rsid w:val="00400AE9"/>
    <w:rsid w:val="00401423"/>
    <w:rsid w:val="00401474"/>
    <w:rsid w:val="004017B6"/>
    <w:rsid w:val="00401C7E"/>
    <w:rsid w:val="00402121"/>
    <w:rsid w:val="0040242E"/>
    <w:rsid w:val="00402511"/>
    <w:rsid w:val="00402989"/>
    <w:rsid w:val="004029AD"/>
    <w:rsid w:val="00402A7F"/>
    <w:rsid w:val="00403991"/>
    <w:rsid w:val="004039DC"/>
    <w:rsid w:val="00403C4F"/>
    <w:rsid w:val="00405BB2"/>
    <w:rsid w:val="00406178"/>
    <w:rsid w:val="004061CB"/>
    <w:rsid w:val="00406378"/>
    <w:rsid w:val="0040676A"/>
    <w:rsid w:val="004069DB"/>
    <w:rsid w:val="00406E4B"/>
    <w:rsid w:val="00407472"/>
    <w:rsid w:val="00407C78"/>
    <w:rsid w:val="004107F4"/>
    <w:rsid w:val="00410FE1"/>
    <w:rsid w:val="004113E7"/>
    <w:rsid w:val="00411802"/>
    <w:rsid w:val="0041248A"/>
    <w:rsid w:val="00412EE3"/>
    <w:rsid w:val="00413D88"/>
    <w:rsid w:val="004141E8"/>
    <w:rsid w:val="00414B0E"/>
    <w:rsid w:val="0041505B"/>
    <w:rsid w:val="0041509D"/>
    <w:rsid w:val="004154CF"/>
    <w:rsid w:val="004159D2"/>
    <w:rsid w:val="0041665E"/>
    <w:rsid w:val="00416757"/>
    <w:rsid w:val="004200AC"/>
    <w:rsid w:val="004201E5"/>
    <w:rsid w:val="004205FC"/>
    <w:rsid w:val="0042071A"/>
    <w:rsid w:val="00420B67"/>
    <w:rsid w:val="00421435"/>
    <w:rsid w:val="004216A3"/>
    <w:rsid w:val="0042181F"/>
    <w:rsid w:val="00422268"/>
    <w:rsid w:val="0042231C"/>
    <w:rsid w:val="004230F5"/>
    <w:rsid w:val="00423492"/>
    <w:rsid w:val="004245AA"/>
    <w:rsid w:val="0042487C"/>
    <w:rsid w:val="00425338"/>
    <w:rsid w:val="00425D47"/>
    <w:rsid w:val="0042603A"/>
    <w:rsid w:val="00430327"/>
    <w:rsid w:val="00430E7D"/>
    <w:rsid w:val="0043100B"/>
    <w:rsid w:val="004311CC"/>
    <w:rsid w:val="00431426"/>
    <w:rsid w:val="00431600"/>
    <w:rsid w:val="00431F38"/>
    <w:rsid w:val="00432657"/>
    <w:rsid w:val="00432B7E"/>
    <w:rsid w:val="00432FDB"/>
    <w:rsid w:val="00433662"/>
    <w:rsid w:val="0043369C"/>
    <w:rsid w:val="00434011"/>
    <w:rsid w:val="00434257"/>
    <w:rsid w:val="00435692"/>
    <w:rsid w:val="00435B95"/>
    <w:rsid w:val="00435E9B"/>
    <w:rsid w:val="00435F45"/>
    <w:rsid w:val="004366D8"/>
    <w:rsid w:val="00437343"/>
    <w:rsid w:val="004373E7"/>
    <w:rsid w:val="00441356"/>
    <w:rsid w:val="00443F48"/>
    <w:rsid w:val="0044402F"/>
    <w:rsid w:val="00444413"/>
    <w:rsid w:val="0044451C"/>
    <w:rsid w:val="0044464D"/>
    <w:rsid w:val="0044559C"/>
    <w:rsid w:val="0044568D"/>
    <w:rsid w:val="0044568E"/>
    <w:rsid w:val="00445BA7"/>
    <w:rsid w:val="00445E90"/>
    <w:rsid w:val="00446E30"/>
    <w:rsid w:val="00446FAF"/>
    <w:rsid w:val="004475D5"/>
    <w:rsid w:val="004479A8"/>
    <w:rsid w:val="00447CD7"/>
    <w:rsid w:val="00450982"/>
    <w:rsid w:val="00451284"/>
    <w:rsid w:val="0045366E"/>
    <w:rsid w:val="00453A10"/>
    <w:rsid w:val="00454621"/>
    <w:rsid w:val="0045490F"/>
    <w:rsid w:val="00454D6D"/>
    <w:rsid w:val="004552D5"/>
    <w:rsid w:val="0045554B"/>
    <w:rsid w:val="0045613E"/>
    <w:rsid w:val="0045648A"/>
    <w:rsid w:val="004567E5"/>
    <w:rsid w:val="00457CB6"/>
    <w:rsid w:val="004600A0"/>
    <w:rsid w:val="004603BF"/>
    <w:rsid w:val="004603E1"/>
    <w:rsid w:val="00460703"/>
    <w:rsid w:val="00460937"/>
    <w:rsid w:val="00460EEF"/>
    <w:rsid w:val="0046120B"/>
    <w:rsid w:val="00461808"/>
    <w:rsid w:val="004630CB"/>
    <w:rsid w:val="00463265"/>
    <w:rsid w:val="00463B61"/>
    <w:rsid w:val="00463BC2"/>
    <w:rsid w:val="00463FB9"/>
    <w:rsid w:val="00463FCF"/>
    <w:rsid w:val="0046412B"/>
    <w:rsid w:val="004644F7"/>
    <w:rsid w:val="00464A9A"/>
    <w:rsid w:val="004652C4"/>
    <w:rsid w:val="004660AE"/>
    <w:rsid w:val="00466A39"/>
    <w:rsid w:val="00466B35"/>
    <w:rsid w:val="00467041"/>
    <w:rsid w:val="0046753D"/>
    <w:rsid w:val="00467EB2"/>
    <w:rsid w:val="00470099"/>
    <w:rsid w:val="0047034B"/>
    <w:rsid w:val="004706D4"/>
    <w:rsid w:val="00471128"/>
    <w:rsid w:val="004725F3"/>
    <w:rsid w:val="00472A16"/>
    <w:rsid w:val="004730AB"/>
    <w:rsid w:val="004736B1"/>
    <w:rsid w:val="004738C3"/>
    <w:rsid w:val="00474482"/>
    <w:rsid w:val="00474735"/>
    <w:rsid w:val="00474BE3"/>
    <w:rsid w:val="00474F20"/>
    <w:rsid w:val="00475C46"/>
    <w:rsid w:val="00475CC8"/>
    <w:rsid w:val="00476003"/>
    <w:rsid w:val="004763A0"/>
    <w:rsid w:val="0047659A"/>
    <w:rsid w:val="00476716"/>
    <w:rsid w:val="00477E92"/>
    <w:rsid w:val="0048028E"/>
    <w:rsid w:val="00480F22"/>
    <w:rsid w:val="004812F7"/>
    <w:rsid w:val="00481D94"/>
    <w:rsid w:val="00481EC3"/>
    <w:rsid w:val="00482372"/>
    <w:rsid w:val="00483D42"/>
    <w:rsid w:val="004842A5"/>
    <w:rsid w:val="00484F94"/>
    <w:rsid w:val="00485780"/>
    <w:rsid w:val="00485CBC"/>
    <w:rsid w:val="004864BD"/>
    <w:rsid w:val="00486F33"/>
    <w:rsid w:val="00487788"/>
    <w:rsid w:val="00487852"/>
    <w:rsid w:val="004904E1"/>
    <w:rsid w:val="004906E1"/>
    <w:rsid w:val="00490C9E"/>
    <w:rsid w:val="00490D73"/>
    <w:rsid w:val="00490F81"/>
    <w:rsid w:val="004924D3"/>
    <w:rsid w:val="00492EAC"/>
    <w:rsid w:val="00492FEE"/>
    <w:rsid w:val="0049300C"/>
    <w:rsid w:val="00493219"/>
    <w:rsid w:val="0049378A"/>
    <w:rsid w:val="00494020"/>
    <w:rsid w:val="00494D49"/>
    <w:rsid w:val="00494FBB"/>
    <w:rsid w:val="00494FDA"/>
    <w:rsid w:val="00495322"/>
    <w:rsid w:val="0049597A"/>
    <w:rsid w:val="00495D1D"/>
    <w:rsid w:val="00496136"/>
    <w:rsid w:val="004966FA"/>
    <w:rsid w:val="00496877"/>
    <w:rsid w:val="00497091"/>
    <w:rsid w:val="0049768E"/>
    <w:rsid w:val="00497F21"/>
    <w:rsid w:val="004A015E"/>
    <w:rsid w:val="004A0242"/>
    <w:rsid w:val="004A0598"/>
    <w:rsid w:val="004A06CA"/>
    <w:rsid w:val="004A0749"/>
    <w:rsid w:val="004A0A89"/>
    <w:rsid w:val="004A0F2A"/>
    <w:rsid w:val="004A1DE5"/>
    <w:rsid w:val="004A20A8"/>
    <w:rsid w:val="004A2199"/>
    <w:rsid w:val="004A267E"/>
    <w:rsid w:val="004A288D"/>
    <w:rsid w:val="004A28E7"/>
    <w:rsid w:val="004A3411"/>
    <w:rsid w:val="004A35BE"/>
    <w:rsid w:val="004A3873"/>
    <w:rsid w:val="004A517D"/>
    <w:rsid w:val="004A5447"/>
    <w:rsid w:val="004A6545"/>
    <w:rsid w:val="004A71EA"/>
    <w:rsid w:val="004A7506"/>
    <w:rsid w:val="004A76DB"/>
    <w:rsid w:val="004B0D73"/>
    <w:rsid w:val="004B1355"/>
    <w:rsid w:val="004B1AFA"/>
    <w:rsid w:val="004B2185"/>
    <w:rsid w:val="004B2D10"/>
    <w:rsid w:val="004B2EF8"/>
    <w:rsid w:val="004B379D"/>
    <w:rsid w:val="004B4013"/>
    <w:rsid w:val="004B41EC"/>
    <w:rsid w:val="004B48F4"/>
    <w:rsid w:val="004B4F23"/>
    <w:rsid w:val="004B61C6"/>
    <w:rsid w:val="004B7387"/>
    <w:rsid w:val="004B73FB"/>
    <w:rsid w:val="004C0606"/>
    <w:rsid w:val="004C13A4"/>
    <w:rsid w:val="004C1937"/>
    <w:rsid w:val="004C1F30"/>
    <w:rsid w:val="004C1F7A"/>
    <w:rsid w:val="004C23ED"/>
    <w:rsid w:val="004C3020"/>
    <w:rsid w:val="004C35DF"/>
    <w:rsid w:val="004C45CF"/>
    <w:rsid w:val="004C4DBB"/>
    <w:rsid w:val="004C5086"/>
    <w:rsid w:val="004C5648"/>
    <w:rsid w:val="004C5AEA"/>
    <w:rsid w:val="004C5D9C"/>
    <w:rsid w:val="004C63B1"/>
    <w:rsid w:val="004C796A"/>
    <w:rsid w:val="004C7F75"/>
    <w:rsid w:val="004D07D5"/>
    <w:rsid w:val="004D0945"/>
    <w:rsid w:val="004D1F69"/>
    <w:rsid w:val="004D25F1"/>
    <w:rsid w:val="004D2940"/>
    <w:rsid w:val="004D29B6"/>
    <w:rsid w:val="004D2A0A"/>
    <w:rsid w:val="004D2BEB"/>
    <w:rsid w:val="004D30F2"/>
    <w:rsid w:val="004D324E"/>
    <w:rsid w:val="004D3462"/>
    <w:rsid w:val="004D4247"/>
    <w:rsid w:val="004D5202"/>
    <w:rsid w:val="004D5FEC"/>
    <w:rsid w:val="004D642C"/>
    <w:rsid w:val="004D688E"/>
    <w:rsid w:val="004D7F5D"/>
    <w:rsid w:val="004E057F"/>
    <w:rsid w:val="004E08A6"/>
    <w:rsid w:val="004E0C8A"/>
    <w:rsid w:val="004E11D5"/>
    <w:rsid w:val="004E1363"/>
    <w:rsid w:val="004E15CC"/>
    <w:rsid w:val="004E16C2"/>
    <w:rsid w:val="004E3B4E"/>
    <w:rsid w:val="004E419B"/>
    <w:rsid w:val="004E44DB"/>
    <w:rsid w:val="004E4B6A"/>
    <w:rsid w:val="004E5765"/>
    <w:rsid w:val="004E5954"/>
    <w:rsid w:val="004E5D2B"/>
    <w:rsid w:val="004E6DD1"/>
    <w:rsid w:val="004E707A"/>
    <w:rsid w:val="004E77D1"/>
    <w:rsid w:val="004E785E"/>
    <w:rsid w:val="004E7BFF"/>
    <w:rsid w:val="004F0237"/>
    <w:rsid w:val="004F0DE9"/>
    <w:rsid w:val="004F0E10"/>
    <w:rsid w:val="004F104F"/>
    <w:rsid w:val="004F140E"/>
    <w:rsid w:val="004F19A4"/>
    <w:rsid w:val="004F1C45"/>
    <w:rsid w:val="004F234F"/>
    <w:rsid w:val="004F26B7"/>
    <w:rsid w:val="004F3375"/>
    <w:rsid w:val="004F33C6"/>
    <w:rsid w:val="004F400C"/>
    <w:rsid w:val="004F4047"/>
    <w:rsid w:val="004F4889"/>
    <w:rsid w:val="004F4B82"/>
    <w:rsid w:val="004F4E37"/>
    <w:rsid w:val="004F5007"/>
    <w:rsid w:val="004F563A"/>
    <w:rsid w:val="004F566B"/>
    <w:rsid w:val="004F5B37"/>
    <w:rsid w:val="004F6139"/>
    <w:rsid w:val="004F648D"/>
    <w:rsid w:val="004F676C"/>
    <w:rsid w:val="004F791A"/>
    <w:rsid w:val="004F7A99"/>
    <w:rsid w:val="004F7DA3"/>
    <w:rsid w:val="004F7FEF"/>
    <w:rsid w:val="00500792"/>
    <w:rsid w:val="00501BAB"/>
    <w:rsid w:val="00501EB1"/>
    <w:rsid w:val="0050241D"/>
    <w:rsid w:val="00504551"/>
    <w:rsid w:val="0050476F"/>
    <w:rsid w:val="00504AB9"/>
    <w:rsid w:val="00504AD6"/>
    <w:rsid w:val="00505360"/>
    <w:rsid w:val="005060D5"/>
    <w:rsid w:val="005062AE"/>
    <w:rsid w:val="005065DE"/>
    <w:rsid w:val="0050734A"/>
    <w:rsid w:val="005073D5"/>
    <w:rsid w:val="0050747B"/>
    <w:rsid w:val="005074FE"/>
    <w:rsid w:val="00507595"/>
    <w:rsid w:val="00507954"/>
    <w:rsid w:val="00507BE5"/>
    <w:rsid w:val="0051007B"/>
    <w:rsid w:val="0051156D"/>
    <w:rsid w:val="00511E99"/>
    <w:rsid w:val="0051268C"/>
    <w:rsid w:val="00513877"/>
    <w:rsid w:val="00514662"/>
    <w:rsid w:val="00514C17"/>
    <w:rsid w:val="005161BA"/>
    <w:rsid w:val="00516F1E"/>
    <w:rsid w:val="00517044"/>
    <w:rsid w:val="00517202"/>
    <w:rsid w:val="005202FB"/>
    <w:rsid w:val="0052042C"/>
    <w:rsid w:val="0052069D"/>
    <w:rsid w:val="005212CA"/>
    <w:rsid w:val="00521967"/>
    <w:rsid w:val="00521BD5"/>
    <w:rsid w:val="00521F7A"/>
    <w:rsid w:val="00522332"/>
    <w:rsid w:val="00522DB3"/>
    <w:rsid w:val="005232A8"/>
    <w:rsid w:val="00524788"/>
    <w:rsid w:val="00524B14"/>
    <w:rsid w:val="00524F07"/>
    <w:rsid w:val="00525349"/>
    <w:rsid w:val="00527835"/>
    <w:rsid w:val="00527ACC"/>
    <w:rsid w:val="00531D69"/>
    <w:rsid w:val="00532404"/>
    <w:rsid w:val="0053261A"/>
    <w:rsid w:val="00533263"/>
    <w:rsid w:val="0053359E"/>
    <w:rsid w:val="00533787"/>
    <w:rsid w:val="005337F6"/>
    <w:rsid w:val="005350D0"/>
    <w:rsid w:val="0053525E"/>
    <w:rsid w:val="005360BC"/>
    <w:rsid w:val="00537D28"/>
    <w:rsid w:val="00537DB9"/>
    <w:rsid w:val="00540D26"/>
    <w:rsid w:val="005412B5"/>
    <w:rsid w:val="00541F0B"/>
    <w:rsid w:val="005429C0"/>
    <w:rsid w:val="00542CB5"/>
    <w:rsid w:val="005432A0"/>
    <w:rsid w:val="005434BE"/>
    <w:rsid w:val="00543609"/>
    <w:rsid w:val="0054397D"/>
    <w:rsid w:val="00543A7A"/>
    <w:rsid w:val="00543B80"/>
    <w:rsid w:val="00543CE4"/>
    <w:rsid w:val="005446BF"/>
    <w:rsid w:val="00544A69"/>
    <w:rsid w:val="00545637"/>
    <w:rsid w:val="0054666B"/>
    <w:rsid w:val="00546A49"/>
    <w:rsid w:val="00547134"/>
    <w:rsid w:val="00547BEC"/>
    <w:rsid w:val="00547DDC"/>
    <w:rsid w:val="005500A7"/>
    <w:rsid w:val="005509B6"/>
    <w:rsid w:val="00551069"/>
    <w:rsid w:val="00551144"/>
    <w:rsid w:val="00551529"/>
    <w:rsid w:val="00551986"/>
    <w:rsid w:val="00551C32"/>
    <w:rsid w:val="005527A5"/>
    <w:rsid w:val="00554BFA"/>
    <w:rsid w:val="005554BA"/>
    <w:rsid w:val="00555863"/>
    <w:rsid w:val="00555957"/>
    <w:rsid w:val="005566FE"/>
    <w:rsid w:val="0055761B"/>
    <w:rsid w:val="00557B52"/>
    <w:rsid w:val="005611A5"/>
    <w:rsid w:val="005619BA"/>
    <w:rsid w:val="0056270B"/>
    <w:rsid w:val="00562AC9"/>
    <w:rsid w:val="00562C25"/>
    <w:rsid w:val="00562FA3"/>
    <w:rsid w:val="00563C68"/>
    <w:rsid w:val="0056407A"/>
    <w:rsid w:val="005640EA"/>
    <w:rsid w:val="00564A74"/>
    <w:rsid w:val="00564E99"/>
    <w:rsid w:val="005651CB"/>
    <w:rsid w:val="00566371"/>
    <w:rsid w:val="00566A6B"/>
    <w:rsid w:val="00567060"/>
    <w:rsid w:val="0057034C"/>
    <w:rsid w:val="00571607"/>
    <w:rsid w:val="00572E87"/>
    <w:rsid w:val="00573B03"/>
    <w:rsid w:val="00573B0D"/>
    <w:rsid w:val="00573B14"/>
    <w:rsid w:val="005743ED"/>
    <w:rsid w:val="00574F58"/>
    <w:rsid w:val="0057537C"/>
    <w:rsid w:val="00575AAC"/>
    <w:rsid w:val="00580081"/>
    <w:rsid w:val="00580203"/>
    <w:rsid w:val="005811F8"/>
    <w:rsid w:val="00581975"/>
    <w:rsid w:val="00581DC2"/>
    <w:rsid w:val="005830F1"/>
    <w:rsid w:val="00583734"/>
    <w:rsid w:val="00583ACF"/>
    <w:rsid w:val="00585C5A"/>
    <w:rsid w:val="00585D65"/>
    <w:rsid w:val="005900AB"/>
    <w:rsid w:val="005908AE"/>
    <w:rsid w:val="00590CB2"/>
    <w:rsid w:val="005912C2"/>
    <w:rsid w:val="00591DEB"/>
    <w:rsid w:val="0059252D"/>
    <w:rsid w:val="00594178"/>
    <w:rsid w:val="005943B5"/>
    <w:rsid w:val="00594808"/>
    <w:rsid w:val="00594BC6"/>
    <w:rsid w:val="0059507D"/>
    <w:rsid w:val="00595CAB"/>
    <w:rsid w:val="00595DE2"/>
    <w:rsid w:val="00596290"/>
    <w:rsid w:val="00596A83"/>
    <w:rsid w:val="005A0978"/>
    <w:rsid w:val="005A0A24"/>
    <w:rsid w:val="005A1D75"/>
    <w:rsid w:val="005A2566"/>
    <w:rsid w:val="005A44B5"/>
    <w:rsid w:val="005A5699"/>
    <w:rsid w:val="005A5C19"/>
    <w:rsid w:val="005A5EE8"/>
    <w:rsid w:val="005B03F9"/>
    <w:rsid w:val="005B0580"/>
    <w:rsid w:val="005B1066"/>
    <w:rsid w:val="005B1272"/>
    <w:rsid w:val="005B1289"/>
    <w:rsid w:val="005B2E00"/>
    <w:rsid w:val="005B3027"/>
    <w:rsid w:val="005B479E"/>
    <w:rsid w:val="005B5679"/>
    <w:rsid w:val="005B5E57"/>
    <w:rsid w:val="005B6C3F"/>
    <w:rsid w:val="005B731B"/>
    <w:rsid w:val="005B7986"/>
    <w:rsid w:val="005C01F2"/>
    <w:rsid w:val="005C02C4"/>
    <w:rsid w:val="005C0640"/>
    <w:rsid w:val="005C088A"/>
    <w:rsid w:val="005C2522"/>
    <w:rsid w:val="005C42A2"/>
    <w:rsid w:val="005C453A"/>
    <w:rsid w:val="005C463F"/>
    <w:rsid w:val="005C4758"/>
    <w:rsid w:val="005C5676"/>
    <w:rsid w:val="005C6EA0"/>
    <w:rsid w:val="005C732B"/>
    <w:rsid w:val="005C7FA8"/>
    <w:rsid w:val="005D1377"/>
    <w:rsid w:val="005D2A03"/>
    <w:rsid w:val="005D34AC"/>
    <w:rsid w:val="005D4A4A"/>
    <w:rsid w:val="005D531C"/>
    <w:rsid w:val="005D54BB"/>
    <w:rsid w:val="005D5B57"/>
    <w:rsid w:val="005D6608"/>
    <w:rsid w:val="005D70EF"/>
    <w:rsid w:val="005D76F9"/>
    <w:rsid w:val="005D773F"/>
    <w:rsid w:val="005D7EC3"/>
    <w:rsid w:val="005E1CBF"/>
    <w:rsid w:val="005E1DA5"/>
    <w:rsid w:val="005E28D1"/>
    <w:rsid w:val="005E3AE5"/>
    <w:rsid w:val="005E42AE"/>
    <w:rsid w:val="005E42F6"/>
    <w:rsid w:val="005E5452"/>
    <w:rsid w:val="005E5A98"/>
    <w:rsid w:val="005E5EDC"/>
    <w:rsid w:val="005E64DD"/>
    <w:rsid w:val="005E7390"/>
    <w:rsid w:val="005F027C"/>
    <w:rsid w:val="005F126B"/>
    <w:rsid w:val="005F1937"/>
    <w:rsid w:val="005F1ED6"/>
    <w:rsid w:val="005F27D2"/>
    <w:rsid w:val="005F393B"/>
    <w:rsid w:val="005F4CF7"/>
    <w:rsid w:val="005F515B"/>
    <w:rsid w:val="005F523E"/>
    <w:rsid w:val="005F52D2"/>
    <w:rsid w:val="005F52F8"/>
    <w:rsid w:val="005F5D04"/>
    <w:rsid w:val="00600AC1"/>
    <w:rsid w:val="00601A8E"/>
    <w:rsid w:val="00601FEE"/>
    <w:rsid w:val="00602516"/>
    <w:rsid w:val="00602972"/>
    <w:rsid w:val="00602A9E"/>
    <w:rsid w:val="00602B3D"/>
    <w:rsid w:val="00603150"/>
    <w:rsid w:val="0060376D"/>
    <w:rsid w:val="00603E3E"/>
    <w:rsid w:val="00603F0B"/>
    <w:rsid w:val="00604430"/>
    <w:rsid w:val="006048AD"/>
    <w:rsid w:val="00604C46"/>
    <w:rsid w:val="00605F25"/>
    <w:rsid w:val="006066F8"/>
    <w:rsid w:val="00607F79"/>
    <w:rsid w:val="0061068F"/>
    <w:rsid w:val="0061081A"/>
    <w:rsid w:val="00610A12"/>
    <w:rsid w:val="00610CC2"/>
    <w:rsid w:val="006112E4"/>
    <w:rsid w:val="0061147E"/>
    <w:rsid w:val="0061213A"/>
    <w:rsid w:val="006124B6"/>
    <w:rsid w:val="00612647"/>
    <w:rsid w:val="0061288F"/>
    <w:rsid w:val="0061411A"/>
    <w:rsid w:val="00614247"/>
    <w:rsid w:val="006142D9"/>
    <w:rsid w:val="006147D8"/>
    <w:rsid w:val="00614F5A"/>
    <w:rsid w:val="00615558"/>
    <w:rsid w:val="006155EB"/>
    <w:rsid w:val="00615843"/>
    <w:rsid w:val="00617C96"/>
    <w:rsid w:val="00617F79"/>
    <w:rsid w:val="00620839"/>
    <w:rsid w:val="00620965"/>
    <w:rsid w:val="006213F4"/>
    <w:rsid w:val="0062279B"/>
    <w:rsid w:val="006233AB"/>
    <w:rsid w:val="006233D5"/>
    <w:rsid w:val="00623DFA"/>
    <w:rsid w:val="00623FAF"/>
    <w:rsid w:val="006247D9"/>
    <w:rsid w:val="00624AF9"/>
    <w:rsid w:val="006252F4"/>
    <w:rsid w:val="00625511"/>
    <w:rsid w:val="0062583C"/>
    <w:rsid w:val="00626850"/>
    <w:rsid w:val="00626D14"/>
    <w:rsid w:val="00626FA9"/>
    <w:rsid w:val="00627314"/>
    <w:rsid w:val="00627C39"/>
    <w:rsid w:val="00627E3E"/>
    <w:rsid w:val="00630E67"/>
    <w:rsid w:val="0063100A"/>
    <w:rsid w:val="00631C2A"/>
    <w:rsid w:val="006321E0"/>
    <w:rsid w:val="0063308D"/>
    <w:rsid w:val="00633428"/>
    <w:rsid w:val="00633CD8"/>
    <w:rsid w:val="00633F06"/>
    <w:rsid w:val="0063485B"/>
    <w:rsid w:val="00634B74"/>
    <w:rsid w:val="00634D65"/>
    <w:rsid w:val="00635903"/>
    <w:rsid w:val="00635BFF"/>
    <w:rsid w:val="00636193"/>
    <w:rsid w:val="006367C0"/>
    <w:rsid w:val="006370AD"/>
    <w:rsid w:val="006372CA"/>
    <w:rsid w:val="0063734F"/>
    <w:rsid w:val="00640107"/>
    <w:rsid w:val="00640689"/>
    <w:rsid w:val="006410D6"/>
    <w:rsid w:val="006415E4"/>
    <w:rsid w:val="0064254F"/>
    <w:rsid w:val="0064256F"/>
    <w:rsid w:val="00642730"/>
    <w:rsid w:val="0064278D"/>
    <w:rsid w:val="006431F8"/>
    <w:rsid w:val="00643296"/>
    <w:rsid w:val="00643C50"/>
    <w:rsid w:val="006453D0"/>
    <w:rsid w:val="0064584D"/>
    <w:rsid w:val="00645B54"/>
    <w:rsid w:val="006462AB"/>
    <w:rsid w:val="00646399"/>
    <w:rsid w:val="00646BE4"/>
    <w:rsid w:val="00647967"/>
    <w:rsid w:val="00647E10"/>
    <w:rsid w:val="00650E43"/>
    <w:rsid w:val="00650F59"/>
    <w:rsid w:val="00650FBC"/>
    <w:rsid w:val="00651567"/>
    <w:rsid w:val="006516FA"/>
    <w:rsid w:val="006523FA"/>
    <w:rsid w:val="0065628E"/>
    <w:rsid w:val="006570E4"/>
    <w:rsid w:val="006575B0"/>
    <w:rsid w:val="0065792E"/>
    <w:rsid w:val="00657FB2"/>
    <w:rsid w:val="00660041"/>
    <w:rsid w:val="0066041C"/>
    <w:rsid w:val="0066066E"/>
    <w:rsid w:val="00660AB8"/>
    <w:rsid w:val="00660E23"/>
    <w:rsid w:val="006611DA"/>
    <w:rsid w:val="00661619"/>
    <w:rsid w:val="00661782"/>
    <w:rsid w:val="00661CD8"/>
    <w:rsid w:val="0066267E"/>
    <w:rsid w:val="006635FD"/>
    <w:rsid w:val="0066451F"/>
    <w:rsid w:val="00664DB5"/>
    <w:rsid w:val="00665AF9"/>
    <w:rsid w:val="00665D8B"/>
    <w:rsid w:val="00667080"/>
    <w:rsid w:val="006673B7"/>
    <w:rsid w:val="00667663"/>
    <w:rsid w:val="00671C14"/>
    <w:rsid w:val="00672061"/>
    <w:rsid w:val="00672E30"/>
    <w:rsid w:val="00673562"/>
    <w:rsid w:val="00676FFA"/>
    <w:rsid w:val="00677338"/>
    <w:rsid w:val="00677481"/>
    <w:rsid w:val="00677950"/>
    <w:rsid w:val="00677959"/>
    <w:rsid w:val="00681E54"/>
    <w:rsid w:val="00682E76"/>
    <w:rsid w:val="00683731"/>
    <w:rsid w:val="006847C7"/>
    <w:rsid w:val="00684B36"/>
    <w:rsid w:val="00684C01"/>
    <w:rsid w:val="00684E54"/>
    <w:rsid w:val="00685312"/>
    <w:rsid w:val="00685FB2"/>
    <w:rsid w:val="00687C01"/>
    <w:rsid w:val="0069005E"/>
    <w:rsid w:val="00691E11"/>
    <w:rsid w:val="00692378"/>
    <w:rsid w:val="00692727"/>
    <w:rsid w:val="00694675"/>
    <w:rsid w:val="00694853"/>
    <w:rsid w:val="0069538D"/>
    <w:rsid w:val="00695562"/>
    <w:rsid w:val="006956B4"/>
    <w:rsid w:val="00695863"/>
    <w:rsid w:val="00696530"/>
    <w:rsid w:val="006967C6"/>
    <w:rsid w:val="00696FFD"/>
    <w:rsid w:val="006970F0"/>
    <w:rsid w:val="00697542"/>
    <w:rsid w:val="006975CD"/>
    <w:rsid w:val="006A0287"/>
    <w:rsid w:val="006A0CD2"/>
    <w:rsid w:val="006A141F"/>
    <w:rsid w:val="006A15C2"/>
    <w:rsid w:val="006A1933"/>
    <w:rsid w:val="006A1948"/>
    <w:rsid w:val="006A37C0"/>
    <w:rsid w:val="006A3C8C"/>
    <w:rsid w:val="006A520D"/>
    <w:rsid w:val="006A57B8"/>
    <w:rsid w:val="006A5B41"/>
    <w:rsid w:val="006A6054"/>
    <w:rsid w:val="006A61F2"/>
    <w:rsid w:val="006A63BE"/>
    <w:rsid w:val="006A7037"/>
    <w:rsid w:val="006A7560"/>
    <w:rsid w:val="006A756F"/>
    <w:rsid w:val="006A7E23"/>
    <w:rsid w:val="006B0070"/>
    <w:rsid w:val="006B00FF"/>
    <w:rsid w:val="006B0184"/>
    <w:rsid w:val="006B0718"/>
    <w:rsid w:val="006B085A"/>
    <w:rsid w:val="006B0C3B"/>
    <w:rsid w:val="006B1633"/>
    <w:rsid w:val="006B2011"/>
    <w:rsid w:val="006B2782"/>
    <w:rsid w:val="006B2941"/>
    <w:rsid w:val="006B2A09"/>
    <w:rsid w:val="006B30E2"/>
    <w:rsid w:val="006B3B0B"/>
    <w:rsid w:val="006B3EAB"/>
    <w:rsid w:val="006B462B"/>
    <w:rsid w:val="006B4850"/>
    <w:rsid w:val="006B4B94"/>
    <w:rsid w:val="006B4D8C"/>
    <w:rsid w:val="006B4FEE"/>
    <w:rsid w:val="006B53BD"/>
    <w:rsid w:val="006B540C"/>
    <w:rsid w:val="006B5426"/>
    <w:rsid w:val="006B6284"/>
    <w:rsid w:val="006B7B42"/>
    <w:rsid w:val="006C0C86"/>
    <w:rsid w:val="006C11A0"/>
    <w:rsid w:val="006C14D4"/>
    <w:rsid w:val="006C1603"/>
    <w:rsid w:val="006C1AD2"/>
    <w:rsid w:val="006C1C8E"/>
    <w:rsid w:val="006C1FD5"/>
    <w:rsid w:val="006C21EB"/>
    <w:rsid w:val="006C23A7"/>
    <w:rsid w:val="006C3991"/>
    <w:rsid w:val="006C3CB0"/>
    <w:rsid w:val="006C4034"/>
    <w:rsid w:val="006C40FE"/>
    <w:rsid w:val="006C48B2"/>
    <w:rsid w:val="006C4C10"/>
    <w:rsid w:val="006C4E07"/>
    <w:rsid w:val="006C5304"/>
    <w:rsid w:val="006C5B7C"/>
    <w:rsid w:val="006C6876"/>
    <w:rsid w:val="006C6BEB"/>
    <w:rsid w:val="006C6E30"/>
    <w:rsid w:val="006C720B"/>
    <w:rsid w:val="006C75E2"/>
    <w:rsid w:val="006C7F70"/>
    <w:rsid w:val="006D076B"/>
    <w:rsid w:val="006D0796"/>
    <w:rsid w:val="006D0A31"/>
    <w:rsid w:val="006D115A"/>
    <w:rsid w:val="006D1608"/>
    <w:rsid w:val="006D235E"/>
    <w:rsid w:val="006D2CE2"/>
    <w:rsid w:val="006D308F"/>
    <w:rsid w:val="006D3E86"/>
    <w:rsid w:val="006D43E7"/>
    <w:rsid w:val="006D4B33"/>
    <w:rsid w:val="006D5623"/>
    <w:rsid w:val="006D5B41"/>
    <w:rsid w:val="006D6A15"/>
    <w:rsid w:val="006D6E6C"/>
    <w:rsid w:val="006D6FB6"/>
    <w:rsid w:val="006D7589"/>
    <w:rsid w:val="006E0AAC"/>
    <w:rsid w:val="006E0CF7"/>
    <w:rsid w:val="006E0D80"/>
    <w:rsid w:val="006E2F4A"/>
    <w:rsid w:val="006E3178"/>
    <w:rsid w:val="006E3264"/>
    <w:rsid w:val="006E41E6"/>
    <w:rsid w:val="006E450E"/>
    <w:rsid w:val="006E4C96"/>
    <w:rsid w:val="006E539B"/>
    <w:rsid w:val="006E55EB"/>
    <w:rsid w:val="006E5CBC"/>
    <w:rsid w:val="006E5D05"/>
    <w:rsid w:val="006E6234"/>
    <w:rsid w:val="006E64A6"/>
    <w:rsid w:val="006E6740"/>
    <w:rsid w:val="006E68F0"/>
    <w:rsid w:val="006E7607"/>
    <w:rsid w:val="006F184F"/>
    <w:rsid w:val="006F1C9C"/>
    <w:rsid w:val="006F2942"/>
    <w:rsid w:val="006F2F48"/>
    <w:rsid w:val="006F31CE"/>
    <w:rsid w:val="006F3939"/>
    <w:rsid w:val="006F3B12"/>
    <w:rsid w:val="006F3DE3"/>
    <w:rsid w:val="006F4F13"/>
    <w:rsid w:val="006F58EE"/>
    <w:rsid w:val="006F6E58"/>
    <w:rsid w:val="006F7366"/>
    <w:rsid w:val="00700772"/>
    <w:rsid w:val="0070086C"/>
    <w:rsid w:val="00700C13"/>
    <w:rsid w:val="0070196A"/>
    <w:rsid w:val="00701F74"/>
    <w:rsid w:val="007028D0"/>
    <w:rsid w:val="00702E0A"/>
    <w:rsid w:val="00703032"/>
    <w:rsid w:val="0070364A"/>
    <w:rsid w:val="00703E84"/>
    <w:rsid w:val="007041F2"/>
    <w:rsid w:val="0070600F"/>
    <w:rsid w:val="0070611F"/>
    <w:rsid w:val="0070625A"/>
    <w:rsid w:val="00706531"/>
    <w:rsid w:val="0070792E"/>
    <w:rsid w:val="00707EEA"/>
    <w:rsid w:val="00710988"/>
    <w:rsid w:val="0071157F"/>
    <w:rsid w:val="007126A0"/>
    <w:rsid w:val="00712FD0"/>
    <w:rsid w:val="007137E4"/>
    <w:rsid w:val="00713805"/>
    <w:rsid w:val="007141F2"/>
    <w:rsid w:val="0071427F"/>
    <w:rsid w:val="00714B95"/>
    <w:rsid w:val="00714E0C"/>
    <w:rsid w:val="00717851"/>
    <w:rsid w:val="00717976"/>
    <w:rsid w:val="00720561"/>
    <w:rsid w:val="007206A1"/>
    <w:rsid w:val="00720ABA"/>
    <w:rsid w:val="0072142F"/>
    <w:rsid w:val="00721C68"/>
    <w:rsid w:val="00722BC1"/>
    <w:rsid w:val="007231F2"/>
    <w:rsid w:val="007239C7"/>
    <w:rsid w:val="00723DEC"/>
    <w:rsid w:val="00724499"/>
    <w:rsid w:val="00724D3D"/>
    <w:rsid w:val="007258D8"/>
    <w:rsid w:val="00725CBE"/>
    <w:rsid w:val="0072661B"/>
    <w:rsid w:val="00726650"/>
    <w:rsid w:val="00726663"/>
    <w:rsid w:val="007267E0"/>
    <w:rsid w:val="007268E7"/>
    <w:rsid w:val="007272E5"/>
    <w:rsid w:val="00727CA9"/>
    <w:rsid w:val="007306DE"/>
    <w:rsid w:val="00730A8B"/>
    <w:rsid w:val="00730E6A"/>
    <w:rsid w:val="00731E4A"/>
    <w:rsid w:val="007327BC"/>
    <w:rsid w:val="00732B39"/>
    <w:rsid w:val="00733483"/>
    <w:rsid w:val="00733C7E"/>
    <w:rsid w:val="00734D3C"/>
    <w:rsid w:val="00734F6C"/>
    <w:rsid w:val="007356ED"/>
    <w:rsid w:val="00735BF1"/>
    <w:rsid w:val="00735F10"/>
    <w:rsid w:val="0073624D"/>
    <w:rsid w:val="00737D11"/>
    <w:rsid w:val="00737EBE"/>
    <w:rsid w:val="0074015B"/>
    <w:rsid w:val="00740F80"/>
    <w:rsid w:val="00741025"/>
    <w:rsid w:val="007412EF"/>
    <w:rsid w:val="00741726"/>
    <w:rsid w:val="00741AF0"/>
    <w:rsid w:val="00742AAA"/>
    <w:rsid w:val="00742B98"/>
    <w:rsid w:val="00743440"/>
    <w:rsid w:val="007437FB"/>
    <w:rsid w:val="007445A3"/>
    <w:rsid w:val="00744E67"/>
    <w:rsid w:val="007458E8"/>
    <w:rsid w:val="0074691C"/>
    <w:rsid w:val="00746B4F"/>
    <w:rsid w:val="00746D99"/>
    <w:rsid w:val="0074735D"/>
    <w:rsid w:val="0074748A"/>
    <w:rsid w:val="007474DA"/>
    <w:rsid w:val="0074794F"/>
    <w:rsid w:val="00750AE8"/>
    <w:rsid w:val="0075197A"/>
    <w:rsid w:val="00753549"/>
    <w:rsid w:val="00753DB2"/>
    <w:rsid w:val="0075523E"/>
    <w:rsid w:val="00755697"/>
    <w:rsid w:val="00755D35"/>
    <w:rsid w:val="007560C8"/>
    <w:rsid w:val="00756A6B"/>
    <w:rsid w:val="00756BC6"/>
    <w:rsid w:val="007571C8"/>
    <w:rsid w:val="007573F8"/>
    <w:rsid w:val="00757773"/>
    <w:rsid w:val="00757ABC"/>
    <w:rsid w:val="007606AD"/>
    <w:rsid w:val="007607E2"/>
    <w:rsid w:val="00760D3C"/>
    <w:rsid w:val="00761202"/>
    <w:rsid w:val="007614A5"/>
    <w:rsid w:val="0076199C"/>
    <w:rsid w:val="00762B04"/>
    <w:rsid w:val="00762BE5"/>
    <w:rsid w:val="00762DB3"/>
    <w:rsid w:val="007647D0"/>
    <w:rsid w:val="00764875"/>
    <w:rsid w:val="00765536"/>
    <w:rsid w:val="00765D70"/>
    <w:rsid w:val="00766118"/>
    <w:rsid w:val="00767307"/>
    <w:rsid w:val="00767E76"/>
    <w:rsid w:val="0077009E"/>
    <w:rsid w:val="007708F4"/>
    <w:rsid w:val="00770A19"/>
    <w:rsid w:val="00770C84"/>
    <w:rsid w:val="00770E72"/>
    <w:rsid w:val="00770F53"/>
    <w:rsid w:val="00771A01"/>
    <w:rsid w:val="00771CDE"/>
    <w:rsid w:val="00771F08"/>
    <w:rsid w:val="00772037"/>
    <w:rsid w:val="0077346D"/>
    <w:rsid w:val="00773658"/>
    <w:rsid w:val="00773D89"/>
    <w:rsid w:val="00774A37"/>
    <w:rsid w:val="00774A61"/>
    <w:rsid w:val="007755D5"/>
    <w:rsid w:val="00776CD5"/>
    <w:rsid w:val="0077738A"/>
    <w:rsid w:val="007773EC"/>
    <w:rsid w:val="007805C8"/>
    <w:rsid w:val="0078186F"/>
    <w:rsid w:val="0078206E"/>
    <w:rsid w:val="007824D3"/>
    <w:rsid w:val="00783916"/>
    <w:rsid w:val="00784E9C"/>
    <w:rsid w:val="007851F5"/>
    <w:rsid w:val="00785361"/>
    <w:rsid w:val="00785C69"/>
    <w:rsid w:val="00785F3E"/>
    <w:rsid w:val="007869AA"/>
    <w:rsid w:val="00787484"/>
    <w:rsid w:val="0079053A"/>
    <w:rsid w:val="00791C42"/>
    <w:rsid w:val="007921B2"/>
    <w:rsid w:val="00792248"/>
    <w:rsid w:val="007926B1"/>
    <w:rsid w:val="00793223"/>
    <w:rsid w:val="007936D5"/>
    <w:rsid w:val="00793FB8"/>
    <w:rsid w:val="00794360"/>
    <w:rsid w:val="007952D2"/>
    <w:rsid w:val="007958D1"/>
    <w:rsid w:val="00795C50"/>
    <w:rsid w:val="00796A2D"/>
    <w:rsid w:val="00797D6B"/>
    <w:rsid w:val="007A01FE"/>
    <w:rsid w:val="007A0EC9"/>
    <w:rsid w:val="007A18B7"/>
    <w:rsid w:val="007A2C01"/>
    <w:rsid w:val="007A2D78"/>
    <w:rsid w:val="007A35E9"/>
    <w:rsid w:val="007A391C"/>
    <w:rsid w:val="007A43F8"/>
    <w:rsid w:val="007A4D04"/>
    <w:rsid w:val="007A4F97"/>
    <w:rsid w:val="007A5057"/>
    <w:rsid w:val="007A656E"/>
    <w:rsid w:val="007A6D96"/>
    <w:rsid w:val="007B02E1"/>
    <w:rsid w:val="007B0311"/>
    <w:rsid w:val="007B0EBD"/>
    <w:rsid w:val="007B1A89"/>
    <w:rsid w:val="007B1B4D"/>
    <w:rsid w:val="007B1D48"/>
    <w:rsid w:val="007B1FD0"/>
    <w:rsid w:val="007B3276"/>
    <w:rsid w:val="007B3FDA"/>
    <w:rsid w:val="007B4902"/>
    <w:rsid w:val="007B5551"/>
    <w:rsid w:val="007B6035"/>
    <w:rsid w:val="007B6861"/>
    <w:rsid w:val="007B6A68"/>
    <w:rsid w:val="007B6D02"/>
    <w:rsid w:val="007B7D74"/>
    <w:rsid w:val="007B7E6C"/>
    <w:rsid w:val="007C01CD"/>
    <w:rsid w:val="007C0434"/>
    <w:rsid w:val="007C08CB"/>
    <w:rsid w:val="007C098A"/>
    <w:rsid w:val="007C265C"/>
    <w:rsid w:val="007C26C3"/>
    <w:rsid w:val="007C3185"/>
    <w:rsid w:val="007C34AD"/>
    <w:rsid w:val="007C3DF5"/>
    <w:rsid w:val="007C406F"/>
    <w:rsid w:val="007C4142"/>
    <w:rsid w:val="007C4A08"/>
    <w:rsid w:val="007C4B42"/>
    <w:rsid w:val="007C6DB9"/>
    <w:rsid w:val="007C6ED9"/>
    <w:rsid w:val="007C74C9"/>
    <w:rsid w:val="007C78DB"/>
    <w:rsid w:val="007C79D5"/>
    <w:rsid w:val="007C7DF9"/>
    <w:rsid w:val="007D150B"/>
    <w:rsid w:val="007D1530"/>
    <w:rsid w:val="007D1862"/>
    <w:rsid w:val="007D2657"/>
    <w:rsid w:val="007D283D"/>
    <w:rsid w:val="007D2A2D"/>
    <w:rsid w:val="007D320E"/>
    <w:rsid w:val="007D3866"/>
    <w:rsid w:val="007D3A37"/>
    <w:rsid w:val="007D43E7"/>
    <w:rsid w:val="007D4545"/>
    <w:rsid w:val="007D4AB7"/>
    <w:rsid w:val="007D5821"/>
    <w:rsid w:val="007D5F18"/>
    <w:rsid w:val="007D6060"/>
    <w:rsid w:val="007D6A03"/>
    <w:rsid w:val="007E0DA5"/>
    <w:rsid w:val="007E13DA"/>
    <w:rsid w:val="007E18BC"/>
    <w:rsid w:val="007E2D04"/>
    <w:rsid w:val="007E30B0"/>
    <w:rsid w:val="007E35F9"/>
    <w:rsid w:val="007E3E7A"/>
    <w:rsid w:val="007E464F"/>
    <w:rsid w:val="007E4A33"/>
    <w:rsid w:val="007E4B28"/>
    <w:rsid w:val="007E5FE1"/>
    <w:rsid w:val="007E61E5"/>
    <w:rsid w:val="007E688C"/>
    <w:rsid w:val="007E7E3A"/>
    <w:rsid w:val="007F0A93"/>
    <w:rsid w:val="007F0BC0"/>
    <w:rsid w:val="007F13D2"/>
    <w:rsid w:val="007F1B9A"/>
    <w:rsid w:val="007F1FF8"/>
    <w:rsid w:val="007F239B"/>
    <w:rsid w:val="007F26F3"/>
    <w:rsid w:val="007F2CCD"/>
    <w:rsid w:val="007F3279"/>
    <w:rsid w:val="007F340E"/>
    <w:rsid w:val="007F397C"/>
    <w:rsid w:val="007F4092"/>
    <w:rsid w:val="007F4E40"/>
    <w:rsid w:val="007F5B89"/>
    <w:rsid w:val="007F5C8E"/>
    <w:rsid w:val="007F689E"/>
    <w:rsid w:val="007F6DBA"/>
    <w:rsid w:val="007F7FDE"/>
    <w:rsid w:val="0080010D"/>
    <w:rsid w:val="008011AD"/>
    <w:rsid w:val="008017F1"/>
    <w:rsid w:val="00802F21"/>
    <w:rsid w:val="00803AB0"/>
    <w:rsid w:val="00803AEC"/>
    <w:rsid w:val="00803B3C"/>
    <w:rsid w:val="00805825"/>
    <w:rsid w:val="008058DE"/>
    <w:rsid w:val="00806000"/>
    <w:rsid w:val="00806223"/>
    <w:rsid w:val="0080636B"/>
    <w:rsid w:val="00806906"/>
    <w:rsid w:val="008072DE"/>
    <w:rsid w:val="0081090E"/>
    <w:rsid w:val="00811ACD"/>
    <w:rsid w:val="00812E7C"/>
    <w:rsid w:val="0081329F"/>
    <w:rsid w:val="00814E49"/>
    <w:rsid w:val="00815134"/>
    <w:rsid w:val="00815756"/>
    <w:rsid w:val="00815B34"/>
    <w:rsid w:val="00815D12"/>
    <w:rsid w:val="00815E0B"/>
    <w:rsid w:val="0081617D"/>
    <w:rsid w:val="00816446"/>
    <w:rsid w:val="00817AB9"/>
    <w:rsid w:val="00817CBA"/>
    <w:rsid w:val="008201A8"/>
    <w:rsid w:val="00820816"/>
    <w:rsid w:val="00820B81"/>
    <w:rsid w:val="00821DAA"/>
    <w:rsid w:val="0082242C"/>
    <w:rsid w:val="0082276B"/>
    <w:rsid w:val="00822AD7"/>
    <w:rsid w:val="00823256"/>
    <w:rsid w:val="008239DE"/>
    <w:rsid w:val="00823C09"/>
    <w:rsid w:val="00823D57"/>
    <w:rsid w:val="00823E43"/>
    <w:rsid w:val="00824326"/>
    <w:rsid w:val="00824707"/>
    <w:rsid w:val="00824AE6"/>
    <w:rsid w:val="00826191"/>
    <w:rsid w:val="00826F5E"/>
    <w:rsid w:val="0082748F"/>
    <w:rsid w:val="0082767C"/>
    <w:rsid w:val="00827763"/>
    <w:rsid w:val="0082798F"/>
    <w:rsid w:val="00827C60"/>
    <w:rsid w:val="008300E6"/>
    <w:rsid w:val="008302BB"/>
    <w:rsid w:val="008309C5"/>
    <w:rsid w:val="0083163A"/>
    <w:rsid w:val="0083215A"/>
    <w:rsid w:val="00832183"/>
    <w:rsid w:val="00832D85"/>
    <w:rsid w:val="00832FFB"/>
    <w:rsid w:val="0083343E"/>
    <w:rsid w:val="008339F6"/>
    <w:rsid w:val="00833ACF"/>
    <w:rsid w:val="00835A29"/>
    <w:rsid w:val="0083625E"/>
    <w:rsid w:val="00836A1C"/>
    <w:rsid w:val="00836B15"/>
    <w:rsid w:val="0083703E"/>
    <w:rsid w:val="008371E5"/>
    <w:rsid w:val="00840FBA"/>
    <w:rsid w:val="008413E9"/>
    <w:rsid w:val="0084191C"/>
    <w:rsid w:val="00841D5D"/>
    <w:rsid w:val="008429EC"/>
    <w:rsid w:val="00842A1C"/>
    <w:rsid w:val="0084303B"/>
    <w:rsid w:val="00843BBB"/>
    <w:rsid w:val="00843EBD"/>
    <w:rsid w:val="00845052"/>
    <w:rsid w:val="00845912"/>
    <w:rsid w:val="00845933"/>
    <w:rsid w:val="008460C9"/>
    <w:rsid w:val="00846280"/>
    <w:rsid w:val="00846A5A"/>
    <w:rsid w:val="00846BE5"/>
    <w:rsid w:val="00846D5C"/>
    <w:rsid w:val="00846EF2"/>
    <w:rsid w:val="008475F8"/>
    <w:rsid w:val="0084769B"/>
    <w:rsid w:val="00847939"/>
    <w:rsid w:val="0085055B"/>
    <w:rsid w:val="008518C6"/>
    <w:rsid w:val="008519E8"/>
    <w:rsid w:val="00852244"/>
    <w:rsid w:val="00852470"/>
    <w:rsid w:val="0085396D"/>
    <w:rsid w:val="008539E2"/>
    <w:rsid w:val="00854031"/>
    <w:rsid w:val="00854DC2"/>
    <w:rsid w:val="00854DD7"/>
    <w:rsid w:val="008557EA"/>
    <w:rsid w:val="00855FC4"/>
    <w:rsid w:val="008562A2"/>
    <w:rsid w:val="00856509"/>
    <w:rsid w:val="008576FC"/>
    <w:rsid w:val="00860389"/>
    <w:rsid w:val="00861A75"/>
    <w:rsid w:val="00862C45"/>
    <w:rsid w:val="00862E62"/>
    <w:rsid w:val="00863074"/>
    <w:rsid w:val="0086358B"/>
    <w:rsid w:val="008638F7"/>
    <w:rsid w:val="00864EC2"/>
    <w:rsid w:val="008654ED"/>
    <w:rsid w:val="00865AE5"/>
    <w:rsid w:val="00865C58"/>
    <w:rsid w:val="008662D1"/>
    <w:rsid w:val="008664FE"/>
    <w:rsid w:val="00867CCD"/>
    <w:rsid w:val="00870348"/>
    <w:rsid w:val="00870456"/>
    <w:rsid w:val="00871BA7"/>
    <w:rsid w:val="008720D7"/>
    <w:rsid w:val="00872B70"/>
    <w:rsid w:val="00872C69"/>
    <w:rsid w:val="008731F4"/>
    <w:rsid w:val="008732C5"/>
    <w:rsid w:val="008734E1"/>
    <w:rsid w:val="0087357B"/>
    <w:rsid w:val="008738FB"/>
    <w:rsid w:val="00873CB5"/>
    <w:rsid w:val="00873FF2"/>
    <w:rsid w:val="0087402E"/>
    <w:rsid w:val="00874C8B"/>
    <w:rsid w:val="00875154"/>
    <w:rsid w:val="008753AF"/>
    <w:rsid w:val="00875F77"/>
    <w:rsid w:val="0087663E"/>
    <w:rsid w:val="00877596"/>
    <w:rsid w:val="008775BE"/>
    <w:rsid w:val="00877CCE"/>
    <w:rsid w:val="00880152"/>
    <w:rsid w:val="0088017C"/>
    <w:rsid w:val="008802CB"/>
    <w:rsid w:val="0088136E"/>
    <w:rsid w:val="00881D25"/>
    <w:rsid w:val="00882ABD"/>
    <w:rsid w:val="008830F5"/>
    <w:rsid w:val="00883594"/>
    <w:rsid w:val="008839D0"/>
    <w:rsid w:val="0088459C"/>
    <w:rsid w:val="00884813"/>
    <w:rsid w:val="00884AFD"/>
    <w:rsid w:val="00884FF9"/>
    <w:rsid w:val="008855AA"/>
    <w:rsid w:val="00885D7B"/>
    <w:rsid w:val="008864CD"/>
    <w:rsid w:val="008872A9"/>
    <w:rsid w:val="00887997"/>
    <w:rsid w:val="008879AF"/>
    <w:rsid w:val="0089039B"/>
    <w:rsid w:val="00890753"/>
    <w:rsid w:val="00891733"/>
    <w:rsid w:val="0089215A"/>
    <w:rsid w:val="00892825"/>
    <w:rsid w:val="00892B6B"/>
    <w:rsid w:val="00892C9E"/>
    <w:rsid w:val="0089333A"/>
    <w:rsid w:val="0089392F"/>
    <w:rsid w:val="008948A9"/>
    <w:rsid w:val="00894B27"/>
    <w:rsid w:val="008955AB"/>
    <w:rsid w:val="00895A68"/>
    <w:rsid w:val="00895D1E"/>
    <w:rsid w:val="00896CD2"/>
    <w:rsid w:val="00896E3F"/>
    <w:rsid w:val="00896F70"/>
    <w:rsid w:val="008971CC"/>
    <w:rsid w:val="00897626"/>
    <w:rsid w:val="00897AA2"/>
    <w:rsid w:val="008A1F58"/>
    <w:rsid w:val="008A262F"/>
    <w:rsid w:val="008A27DD"/>
    <w:rsid w:val="008A2BFA"/>
    <w:rsid w:val="008A2E8D"/>
    <w:rsid w:val="008A2F14"/>
    <w:rsid w:val="008A33C4"/>
    <w:rsid w:val="008A3ADD"/>
    <w:rsid w:val="008A3D1B"/>
    <w:rsid w:val="008A3D6E"/>
    <w:rsid w:val="008A3F84"/>
    <w:rsid w:val="008A44FF"/>
    <w:rsid w:val="008A4633"/>
    <w:rsid w:val="008A48E7"/>
    <w:rsid w:val="008A4932"/>
    <w:rsid w:val="008A4AC3"/>
    <w:rsid w:val="008A4FD2"/>
    <w:rsid w:val="008A5452"/>
    <w:rsid w:val="008A57A7"/>
    <w:rsid w:val="008B04D1"/>
    <w:rsid w:val="008B14D5"/>
    <w:rsid w:val="008B1720"/>
    <w:rsid w:val="008B17BC"/>
    <w:rsid w:val="008B2F16"/>
    <w:rsid w:val="008B3239"/>
    <w:rsid w:val="008B3992"/>
    <w:rsid w:val="008B3A7B"/>
    <w:rsid w:val="008B3B7B"/>
    <w:rsid w:val="008B568D"/>
    <w:rsid w:val="008B60F2"/>
    <w:rsid w:val="008B6303"/>
    <w:rsid w:val="008B6436"/>
    <w:rsid w:val="008B7397"/>
    <w:rsid w:val="008B75F8"/>
    <w:rsid w:val="008B7868"/>
    <w:rsid w:val="008B7A16"/>
    <w:rsid w:val="008B7F15"/>
    <w:rsid w:val="008C0455"/>
    <w:rsid w:val="008C0491"/>
    <w:rsid w:val="008C08F3"/>
    <w:rsid w:val="008C15A2"/>
    <w:rsid w:val="008C1737"/>
    <w:rsid w:val="008C1C66"/>
    <w:rsid w:val="008C211E"/>
    <w:rsid w:val="008C22B0"/>
    <w:rsid w:val="008C26A2"/>
    <w:rsid w:val="008C26CD"/>
    <w:rsid w:val="008C2C80"/>
    <w:rsid w:val="008C41CD"/>
    <w:rsid w:val="008C4D64"/>
    <w:rsid w:val="008C4E81"/>
    <w:rsid w:val="008C56C8"/>
    <w:rsid w:val="008C57F2"/>
    <w:rsid w:val="008C6312"/>
    <w:rsid w:val="008C67D6"/>
    <w:rsid w:val="008C724D"/>
    <w:rsid w:val="008C72C3"/>
    <w:rsid w:val="008C7573"/>
    <w:rsid w:val="008D07E9"/>
    <w:rsid w:val="008D1752"/>
    <w:rsid w:val="008D2169"/>
    <w:rsid w:val="008D2843"/>
    <w:rsid w:val="008D3C7A"/>
    <w:rsid w:val="008D4701"/>
    <w:rsid w:val="008D4C20"/>
    <w:rsid w:val="008D4F07"/>
    <w:rsid w:val="008D5216"/>
    <w:rsid w:val="008D5A72"/>
    <w:rsid w:val="008D6924"/>
    <w:rsid w:val="008D7400"/>
    <w:rsid w:val="008D7E72"/>
    <w:rsid w:val="008E02EC"/>
    <w:rsid w:val="008E05AD"/>
    <w:rsid w:val="008E07D6"/>
    <w:rsid w:val="008E0988"/>
    <w:rsid w:val="008E0D1F"/>
    <w:rsid w:val="008E2F44"/>
    <w:rsid w:val="008E37AF"/>
    <w:rsid w:val="008E385A"/>
    <w:rsid w:val="008E391C"/>
    <w:rsid w:val="008E3F78"/>
    <w:rsid w:val="008E42FF"/>
    <w:rsid w:val="008E485A"/>
    <w:rsid w:val="008E4A48"/>
    <w:rsid w:val="008E4EC1"/>
    <w:rsid w:val="008E58C3"/>
    <w:rsid w:val="008E593F"/>
    <w:rsid w:val="008E6973"/>
    <w:rsid w:val="008E69D6"/>
    <w:rsid w:val="008F12AB"/>
    <w:rsid w:val="008F204B"/>
    <w:rsid w:val="008F2176"/>
    <w:rsid w:val="008F2456"/>
    <w:rsid w:val="008F2B70"/>
    <w:rsid w:val="008F3EF6"/>
    <w:rsid w:val="008F4B2D"/>
    <w:rsid w:val="008F4DEA"/>
    <w:rsid w:val="008F54B2"/>
    <w:rsid w:val="008F55DC"/>
    <w:rsid w:val="008F5628"/>
    <w:rsid w:val="008F5853"/>
    <w:rsid w:val="008F5F1E"/>
    <w:rsid w:val="008F7FDC"/>
    <w:rsid w:val="00900D36"/>
    <w:rsid w:val="0090165F"/>
    <w:rsid w:val="00901D8E"/>
    <w:rsid w:val="00902E1B"/>
    <w:rsid w:val="00902F85"/>
    <w:rsid w:val="0090324B"/>
    <w:rsid w:val="009043B4"/>
    <w:rsid w:val="00904C61"/>
    <w:rsid w:val="009060D4"/>
    <w:rsid w:val="0090619E"/>
    <w:rsid w:val="00906D38"/>
    <w:rsid w:val="00907521"/>
    <w:rsid w:val="00907829"/>
    <w:rsid w:val="009107A3"/>
    <w:rsid w:val="00910B46"/>
    <w:rsid w:val="009113C8"/>
    <w:rsid w:val="00911728"/>
    <w:rsid w:val="00911A3C"/>
    <w:rsid w:val="00911D9F"/>
    <w:rsid w:val="009125D2"/>
    <w:rsid w:val="00912EA9"/>
    <w:rsid w:val="00912FE5"/>
    <w:rsid w:val="009133C4"/>
    <w:rsid w:val="00913935"/>
    <w:rsid w:val="00913C01"/>
    <w:rsid w:val="00914413"/>
    <w:rsid w:val="00914A20"/>
    <w:rsid w:val="00914B3B"/>
    <w:rsid w:val="00914DCA"/>
    <w:rsid w:val="00915D56"/>
    <w:rsid w:val="009163AD"/>
    <w:rsid w:val="009164B0"/>
    <w:rsid w:val="00917366"/>
    <w:rsid w:val="00920270"/>
    <w:rsid w:val="0092078F"/>
    <w:rsid w:val="00920A2D"/>
    <w:rsid w:val="0092134A"/>
    <w:rsid w:val="00921522"/>
    <w:rsid w:val="0092204C"/>
    <w:rsid w:val="009229CB"/>
    <w:rsid w:val="00922FE4"/>
    <w:rsid w:val="009232DC"/>
    <w:rsid w:val="00923448"/>
    <w:rsid w:val="0092483F"/>
    <w:rsid w:val="0092515E"/>
    <w:rsid w:val="00925338"/>
    <w:rsid w:val="0092542B"/>
    <w:rsid w:val="009258BB"/>
    <w:rsid w:val="00931033"/>
    <w:rsid w:val="009319B3"/>
    <w:rsid w:val="00931B2F"/>
    <w:rsid w:val="00931ECE"/>
    <w:rsid w:val="00932304"/>
    <w:rsid w:val="0093406F"/>
    <w:rsid w:val="009349E5"/>
    <w:rsid w:val="00934D83"/>
    <w:rsid w:val="00934F5D"/>
    <w:rsid w:val="00935331"/>
    <w:rsid w:val="009357CF"/>
    <w:rsid w:val="00935AA2"/>
    <w:rsid w:val="00935BB8"/>
    <w:rsid w:val="0093607C"/>
    <w:rsid w:val="00936C74"/>
    <w:rsid w:val="00936F11"/>
    <w:rsid w:val="009373DF"/>
    <w:rsid w:val="00937917"/>
    <w:rsid w:val="00937A1D"/>
    <w:rsid w:val="00940C97"/>
    <w:rsid w:val="00940C98"/>
    <w:rsid w:val="00941601"/>
    <w:rsid w:val="00941B24"/>
    <w:rsid w:val="0094229E"/>
    <w:rsid w:val="009425BF"/>
    <w:rsid w:val="0094332B"/>
    <w:rsid w:val="009436AC"/>
    <w:rsid w:val="009437FA"/>
    <w:rsid w:val="00943DAA"/>
    <w:rsid w:val="00944F8E"/>
    <w:rsid w:val="009456F2"/>
    <w:rsid w:val="00945DFF"/>
    <w:rsid w:val="0094630D"/>
    <w:rsid w:val="0094667E"/>
    <w:rsid w:val="00946903"/>
    <w:rsid w:val="00946D75"/>
    <w:rsid w:val="00946F42"/>
    <w:rsid w:val="00947253"/>
    <w:rsid w:val="00947900"/>
    <w:rsid w:val="0094799D"/>
    <w:rsid w:val="00947B1C"/>
    <w:rsid w:val="0095050E"/>
    <w:rsid w:val="00950529"/>
    <w:rsid w:val="00950635"/>
    <w:rsid w:val="009518AF"/>
    <w:rsid w:val="00951E1A"/>
    <w:rsid w:val="0095358D"/>
    <w:rsid w:val="00953BE6"/>
    <w:rsid w:val="00954AEB"/>
    <w:rsid w:val="009553AF"/>
    <w:rsid w:val="00956A58"/>
    <w:rsid w:val="00956C2D"/>
    <w:rsid w:val="009573FB"/>
    <w:rsid w:val="009603D9"/>
    <w:rsid w:val="0096043F"/>
    <w:rsid w:val="00960785"/>
    <w:rsid w:val="00960B2D"/>
    <w:rsid w:val="00961AC5"/>
    <w:rsid w:val="009625E6"/>
    <w:rsid w:val="00962BD5"/>
    <w:rsid w:val="00962C5E"/>
    <w:rsid w:val="009641C0"/>
    <w:rsid w:val="00964865"/>
    <w:rsid w:val="00965D49"/>
    <w:rsid w:val="0096607D"/>
    <w:rsid w:val="00967539"/>
    <w:rsid w:val="0096774A"/>
    <w:rsid w:val="009715D2"/>
    <w:rsid w:val="00971EF0"/>
    <w:rsid w:val="00972138"/>
    <w:rsid w:val="00972B21"/>
    <w:rsid w:val="009748DC"/>
    <w:rsid w:val="009751B5"/>
    <w:rsid w:val="00975243"/>
    <w:rsid w:val="00975530"/>
    <w:rsid w:val="00976885"/>
    <w:rsid w:val="00977D5F"/>
    <w:rsid w:val="00980C31"/>
    <w:rsid w:val="00980D72"/>
    <w:rsid w:val="0098107A"/>
    <w:rsid w:val="009811E8"/>
    <w:rsid w:val="009813E5"/>
    <w:rsid w:val="0098147B"/>
    <w:rsid w:val="0098207F"/>
    <w:rsid w:val="009822E1"/>
    <w:rsid w:val="009830E0"/>
    <w:rsid w:val="00983931"/>
    <w:rsid w:val="00984B89"/>
    <w:rsid w:val="00985229"/>
    <w:rsid w:val="009858C9"/>
    <w:rsid w:val="00985B8A"/>
    <w:rsid w:val="0098714B"/>
    <w:rsid w:val="00987229"/>
    <w:rsid w:val="00990AC9"/>
    <w:rsid w:val="00991B6D"/>
    <w:rsid w:val="00991D81"/>
    <w:rsid w:val="009924C3"/>
    <w:rsid w:val="00992DFC"/>
    <w:rsid w:val="00993487"/>
    <w:rsid w:val="00993B23"/>
    <w:rsid w:val="00993DB1"/>
    <w:rsid w:val="009940A3"/>
    <w:rsid w:val="009947DC"/>
    <w:rsid w:val="00994B4B"/>
    <w:rsid w:val="00994B8B"/>
    <w:rsid w:val="00994D86"/>
    <w:rsid w:val="0099515F"/>
    <w:rsid w:val="00995209"/>
    <w:rsid w:val="0099679F"/>
    <w:rsid w:val="009971D1"/>
    <w:rsid w:val="0099766B"/>
    <w:rsid w:val="00997FBE"/>
    <w:rsid w:val="009A088E"/>
    <w:rsid w:val="009A0BB5"/>
    <w:rsid w:val="009A10F7"/>
    <w:rsid w:val="009A123D"/>
    <w:rsid w:val="009A1BC4"/>
    <w:rsid w:val="009A24B8"/>
    <w:rsid w:val="009A2628"/>
    <w:rsid w:val="009A27A2"/>
    <w:rsid w:val="009A3064"/>
    <w:rsid w:val="009A3322"/>
    <w:rsid w:val="009A3527"/>
    <w:rsid w:val="009A35D9"/>
    <w:rsid w:val="009A4952"/>
    <w:rsid w:val="009A5811"/>
    <w:rsid w:val="009A5CC5"/>
    <w:rsid w:val="009A5F16"/>
    <w:rsid w:val="009A61BA"/>
    <w:rsid w:val="009A640D"/>
    <w:rsid w:val="009A6AD0"/>
    <w:rsid w:val="009A73CE"/>
    <w:rsid w:val="009A7F18"/>
    <w:rsid w:val="009B0404"/>
    <w:rsid w:val="009B071D"/>
    <w:rsid w:val="009B15F3"/>
    <w:rsid w:val="009B23F9"/>
    <w:rsid w:val="009B32B1"/>
    <w:rsid w:val="009B3FF2"/>
    <w:rsid w:val="009B5709"/>
    <w:rsid w:val="009B6563"/>
    <w:rsid w:val="009B682D"/>
    <w:rsid w:val="009B696E"/>
    <w:rsid w:val="009B7449"/>
    <w:rsid w:val="009C002B"/>
    <w:rsid w:val="009C07BC"/>
    <w:rsid w:val="009C0D0B"/>
    <w:rsid w:val="009C1058"/>
    <w:rsid w:val="009C19B9"/>
    <w:rsid w:val="009C1DBB"/>
    <w:rsid w:val="009C2EA8"/>
    <w:rsid w:val="009C3A5D"/>
    <w:rsid w:val="009C4FE1"/>
    <w:rsid w:val="009C5635"/>
    <w:rsid w:val="009C56CB"/>
    <w:rsid w:val="009C57FD"/>
    <w:rsid w:val="009C64B5"/>
    <w:rsid w:val="009C6BAC"/>
    <w:rsid w:val="009C6BF4"/>
    <w:rsid w:val="009D025C"/>
    <w:rsid w:val="009D1153"/>
    <w:rsid w:val="009D1920"/>
    <w:rsid w:val="009D25FD"/>
    <w:rsid w:val="009D29FB"/>
    <w:rsid w:val="009D329B"/>
    <w:rsid w:val="009D3BED"/>
    <w:rsid w:val="009D4136"/>
    <w:rsid w:val="009D4AA8"/>
    <w:rsid w:val="009D5144"/>
    <w:rsid w:val="009D60D0"/>
    <w:rsid w:val="009D60E7"/>
    <w:rsid w:val="009D6173"/>
    <w:rsid w:val="009D657B"/>
    <w:rsid w:val="009D6725"/>
    <w:rsid w:val="009D6B0D"/>
    <w:rsid w:val="009D6B16"/>
    <w:rsid w:val="009D6F85"/>
    <w:rsid w:val="009D6FFA"/>
    <w:rsid w:val="009D7FE8"/>
    <w:rsid w:val="009E0009"/>
    <w:rsid w:val="009E0AA2"/>
    <w:rsid w:val="009E0D76"/>
    <w:rsid w:val="009E1170"/>
    <w:rsid w:val="009E1CAF"/>
    <w:rsid w:val="009E1E32"/>
    <w:rsid w:val="009E3175"/>
    <w:rsid w:val="009E3922"/>
    <w:rsid w:val="009E3CFB"/>
    <w:rsid w:val="009E430F"/>
    <w:rsid w:val="009E6503"/>
    <w:rsid w:val="009E653F"/>
    <w:rsid w:val="009E6B57"/>
    <w:rsid w:val="009E71D5"/>
    <w:rsid w:val="009F11BF"/>
    <w:rsid w:val="009F1638"/>
    <w:rsid w:val="009F2B6C"/>
    <w:rsid w:val="009F33C9"/>
    <w:rsid w:val="009F3992"/>
    <w:rsid w:val="009F3B1E"/>
    <w:rsid w:val="009F3D31"/>
    <w:rsid w:val="009F3DB1"/>
    <w:rsid w:val="009F42C5"/>
    <w:rsid w:val="009F47C8"/>
    <w:rsid w:val="009F4C9B"/>
    <w:rsid w:val="009F524E"/>
    <w:rsid w:val="009F6B8B"/>
    <w:rsid w:val="009F7AE7"/>
    <w:rsid w:val="00A00779"/>
    <w:rsid w:val="00A00F65"/>
    <w:rsid w:val="00A0123F"/>
    <w:rsid w:val="00A02BD8"/>
    <w:rsid w:val="00A031D7"/>
    <w:rsid w:val="00A034F0"/>
    <w:rsid w:val="00A035CE"/>
    <w:rsid w:val="00A039CF"/>
    <w:rsid w:val="00A04380"/>
    <w:rsid w:val="00A04434"/>
    <w:rsid w:val="00A05378"/>
    <w:rsid w:val="00A05639"/>
    <w:rsid w:val="00A0564B"/>
    <w:rsid w:val="00A059FA"/>
    <w:rsid w:val="00A05DC7"/>
    <w:rsid w:val="00A06626"/>
    <w:rsid w:val="00A079E3"/>
    <w:rsid w:val="00A07BE0"/>
    <w:rsid w:val="00A109C1"/>
    <w:rsid w:val="00A10B6E"/>
    <w:rsid w:val="00A10C79"/>
    <w:rsid w:val="00A10D37"/>
    <w:rsid w:val="00A10F7B"/>
    <w:rsid w:val="00A11BE9"/>
    <w:rsid w:val="00A1208D"/>
    <w:rsid w:val="00A1279A"/>
    <w:rsid w:val="00A13210"/>
    <w:rsid w:val="00A13655"/>
    <w:rsid w:val="00A14043"/>
    <w:rsid w:val="00A1428B"/>
    <w:rsid w:val="00A15E20"/>
    <w:rsid w:val="00A17AEA"/>
    <w:rsid w:val="00A2099E"/>
    <w:rsid w:val="00A20A6A"/>
    <w:rsid w:val="00A21DAD"/>
    <w:rsid w:val="00A2222B"/>
    <w:rsid w:val="00A22AE6"/>
    <w:rsid w:val="00A22DF5"/>
    <w:rsid w:val="00A23892"/>
    <w:rsid w:val="00A23D9F"/>
    <w:rsid w:val="00A2448A"/>
    <w:rsid w:val="00A26748"/>
    <w:rsid w:val="00A272CE"/>
    <w:rsid w:val="00A27571"/>
    <w:rsid w:val="00A276F5"/>
    <w:rsid w:val="00A27903"/>
    <w:rsid w:val="00A3093A"/>
    <w:rsid w:val="00A31A6A"/>
    <w:rsid w:val="00A32153"/>
    <w:rsid w:val="00A32910"/>
    <w:rsid w:val="00A3294E"/>
    <w:rsid w:val="00A332B2"/>
    <w:rsid w:val="00A336A8"/>
    <w:rsid w:val="00A337CD"/>
    <w:rsid w:val="00A338DE"/>
    <w:rsid w:val="00A34693"/>
    <w:rsid w:val="00A34729"/>
    <w:rsid w:val="00A347B1"/>
    <w:rsid w:val="00A353B9"/>
    <w:rsid w:val="00A361A2"/>
    <w:rsid w:val="00A36381"/>
    <w:rsid w:val="00A37948"/>
    <w:rsid w:val="00A37BD0"/>
    <w:rsid w:val="00A4034C"/>
    <w:rsid w:val="00A409E7"/>
    <w:rsid w:val="00A41584"/>
    <w:rsid w:val="00A419BD"/>
    <w:rsid w:val="00A426CB"/>
    <w:rsid w:val="00A42C7F"/>
    <w:rsid w:val="00A42C82"/>
    <w:rsid w:val="00A436A1"/>
    <w:rsid w:val="00A439DF"/>
    <w:rsid w:val="00A43BB4"/>
    <w:rsid w:val="00A44229"/>
    <w:rsid w:val="00A44862"/>
    <w:rsid w:val="00A44F37"/>
    <w:rsid w:val="00A45229"/>
    <w:rsid w:val="00A45A93"/>
    <w:rsid w:val="00A45C0A"/>
    <w:rsid w:val="00A463F4"/>
    <w:rsid w:val="00A473C8"/>
    <w:rsid w:val="00A4745C"/>
    <w:rsid w:val="00A5082E"/>
    <w:rsid w:val="00A508FA"/>
    <w:rsid w:val="00A50E03"/>
    <w:rsid w:val="00A51190"/>
    <w:rsid w:val="00A5274A"/>
    <w:rsid w:val="00A529E2"/>
    <w:rsid w:val="00A52A96"/>
    <w:rsid w:val="00A53A42"/>
    <w:rsid w:val="00A546DC"/>
    <w:rsid w:val="00A554BE"/>
    <w:rsid w:val="00A55ACD"/>
    <w:rsid w:val="00A561FA"/>
    <w:rsid w:val="00A570FA"/>
    <w:rsid w:val="00A57720"/>
    <w:rsid w:val="00A60B7C"/>
    <w:rsid w:val="00A60CA8"/>
    <w:rsid w:val="00A6120C"/>
    <w:rsid w:val="00A61564"/>
    <w:rsid w:val="00A62486"/>
    <w:rsid w:val="00A63D08"/>
    <w:rsid w:val="00A64448"/>
    <w:rsid w:val="00A646E0"/>
    <w:rsid w:val="00A653F6"/>
    <w:rsid w:val="00A66635"/>
    <w:rsid w:val="00A67291"/>
    <w:rsid w:val="00A70677"/>
    <w:rsid w:val="00A719FC"/>
    <w:rsid w:val="00A71AE4"/>
    <w:rsid w:val="00A71F46"/>
    <w:rsid w:val="00A72075"/>
    <w:rsid w:val="00A72856"/>
    <w:rsid w:val="00A72C2E"/>
    <w:rsid w:val="00A736B3"/>
    <w:rsid w:val="00A73990"/>
    <w:rsid w:val="00A73AB5"/>
    <w:rsid w:val="00A7434C"/>
    <w:rsid w:val="00A744E7"/>
    <w:rsid w:val="00A74A23"/>
    <w:rsid w:val="00A74F1F"/>
    <w:rsid w:val="00A75390"/>
    <w:rsid w:val="00A7570C"/>
    <w:rsid w:val="00A761AB"/>
    <w:rsid w:val="00A76E3D"/>
    <w:rsid w:val="00A772E3"/>
    <w:rsid w:val="00A80587"/>
    <w:rsid w:val="00A80961"/>
    <w:rsid w:val="00A80B86"/>
    <w:rsid w:val="00A81D20"/>
    <w:rsid w:val="00A81ED5"/>
    <w:rsid w:val="00A8238E"/>
    <w:rsid w:val="00A825CB"/>
    <w:rsid w:val="00A82E07"/>
    <w:rsid w:val="00A842CC"/>
    <w:rsid w:val="00A843CD"/>
    <w:rsid w:val="00A845B9"/>
    <w:rsid w:val="00A84A7E"/>
    <w:rsid w:val="00A85825"/>
    <w:rsid w:val="00A85F7A"/>
    <w:rsid w:val="00A860FA"/>
    <w:rsid w:val="00A863BF"/>
    <w:rsid w:val="00A869DF"/>
    <w:rsid w:val="00A86E96"/>
    <w:rsid w:val="00A876BB"/>
    <w:rsid w:val="00A878D1"/>
    <w:rsid w:val="00A903AD"/>
    <w:rsid w:val="00A916BD"/>
    <w:rsid w:val="00A919E1"/>
    <w:rsid w:val="00A91D7B"/>
    <w:rsid w:val="00A9282C"/>
    <w:rsid w:val="00A93A6A"/>
    <w:rsid w:val="00A93FB2"/>
    <w:rsid w:val="00A9405B"/>
    <w:rsid w:val="00A94BA1"/>
    <w:rsid w:val="00A94D71"/>
    <w:rsid w:val="00A94EE0"/>
    <w:rsid w:val="00A94FA5"/>
    <w:rsid w:val="00A9546F"/>
    <w:rsid w:val="00A957C8"/>
    <w:rsid w:val="00A96353"/>
    <w:rsid w:val="00A97299"/>
    <w:rsid w:val="00A97C61"/>
    <w:rsid w:val="00AA04DA"/>
    <w:rsid w:val="00AA0A2D"/>
    <w:rsid w:val="00AA0DDC"/>
    <w:rsid w:val="00AA1A01"/>
    <w:rsid w:val="00AA24FD"/>
    <w:rsid w:val="00AA25A9"/>
    <w:rsid w:val="00AA3772"/>
    <w:rsid w:val="00AA3C8F"/>
    <w:rsid w:val="00AA41AB"/>
    <w:rsid w:val="00AA4446"/>
    <w:rsid w:val="00AA4C1D"/>
    <w:rsid w:val="00AA4D8F"/>
    <w:rsid w:val="00AA4F9D"/>
    <w:rsid w:val="00AA5EAD"/>
    <w:rsid w:val="00AA5EBA"/>
    <w:rsid w:val="00AA66DD"/>
    <w:rsid w:val="00AA6945"/>
    <w:rsid w:val="00AA6ACB"/>
    <w:rsid w:val="00AA6D0D"/>
    <w:rsid w:val="00AA7260"/>
    <w:rsid w:val="00AA72FC"/>
    <w:rsid w:val="00AB03EF"/>
    <w:rsid w:val="00AB047F"/>
    <w:rsid w:val="00AB0AF5"/>
    <w:rsid w:val="00AB2766"/>
    <w:rsid w:val="00AB3026"/>
    <w:rsid w:val="00AB4084"/>
    <w:rsid w:val="00AB4EF8"/>
    <w:rsid w:val="00AB52DA"/>
    <w:rsid w:val="00AB56BA"/>
    <w:rsid w:val="00AB5BB2"/>
    <w:rsid w:val="00AB62BD"/>
    <w:rsid w:val="00AB674A"/>
    <w:rsid w:val="00AB6B92"/>
    <w:rsid w:val="00AB7042"/>
    <w:rsid w:val="00AB71A2"/>
    <w:rsid w:val="00AC16BC"/>
    <w:rsid w:val="00AC171E"/>
    <w:rsid w:val="00AC254D"/>
    <w:rsid w:val="00AC53C9"/>
    <w:rsid w:val="00AC54D1"/>
    <w:rsid w:val="00AC5C70"/>
    <w:rsid w:val="00AC648D"/>
    <w:rsid w:val="00AC70A2"/>
    <w:rsid w:val="00AD044D"/>
    <w:rsid w:val="00AD047A"/>
    <w:rsid w:val="00AD0F7F"/>
    <w:rsid w:val="00AD126F"/>
    <w:rsid w:val="00AD135E"/>
    <w:rsid w:val="00AD1780"/>
    <w:rsid w:val="00AD185C"/>
    <w:rsid w:val="00AD1F83"/>
    <w:rsid w:val="00AD22DB"/>
    <w:rsid w:val="00AD296E"/>
    <w:rsid w:val="00AD39EF"/>
    <w:rsid w:val="00AD4469"/>
    <w:rsid w:val="00AD48A4"/>
    <w:rsid w:val="00AD4D17"/>
    <w:rsid w:val="00AD4F4B"/>
    <w:rsid w:val="00AD5159"/>
    <w:rsid w:val="00AD56F0"/>
    <w:rsid w:val="00AD59AF"/>
    <w:rsid w:val="00AD70BF"/>
    <w:rsid w:val="00AD72FB"/>
    <w:rsid w:val="00AE089F"/>
    <w:rsid w:val="00AE0C12"/>
    <w:rsid w:val="00AE171B"/>
    <w:rsid w:val="00AE28DA"/>
    <w:rsid w:val="00AE2CA3"/>
    <w:rsid w:val="00AE2E19"/>
    <w:rsid w:val="00AE4263"/>
    <w:rsid w:val="00AE4E5F"/>
    <w:rsid w:val="00AE5213"/>
    <w:rsid w:val="00AE6389"/>
    <w:rsid w:val="00AE651E"/>
    <w:rsid w:val="00AE6645"/>
    <w:rsid w:val="00AE7772"/>
    <w:rsid w:val="00AF037B"/>
    <w:rsid w:val="00AF1293"/>
    <w:rsid w:val="00AF18D1"/>
    <w:rsid w:val="00AF206B"/>
    <w:rsid w:val="00AF29EF"/>
    <w:rsid w:val="00AF2B71"/>
    <w:rsid w:val="00AF2E3E"/>
    <w:rsid w:val="00AF2ED7"/>
    <w:rsid w:val="00AF2F4C"/>
    <w:rsid w:val="00AF3932"/>
    <w:rsid w:val="00AF3D64"/>
    <w:rsid w:val="00AF4254"/>
    <w:rsid w:val="00AF4974"/>
    <w:rsid w:val="00AF4B4F"/>
    <w:rsid w:val="00AF4F4C"/>
    <w:rsid w:val="00AF5881"/>
    <w:rsid w:val="00AF6552"/>
    <w:rsid w:val="00AF7B8B"/>
    <w:rsid w:val="00B01324"/>
    <w:rsid w:val="00B0191D"/>
    <w:rsid w:val="00B02548"/>
    <w:rsid w:val="00B02F5A"/>
    <w:rsid w:val="00B0309F"/>
    <w:rsid w:val="00B03295"/>
    <w:rsid w:val="00B03824"/>
    <w:rsid w:val="00B04317"/>
    <w:rsid w:val="00B0461C"/>
    <w:rsid w:val="00B04984"/>
    <w:rsid w:val="00B0569C"/>
    <w:rsid w:val="00B0607A"/>
    <w:rsid w:val="00B06BDB"/>
    <w:rsid w:val="00B06CF5"/>
    <w:rsid w:val="00B07312"/>
    <w:rsid w:val="00B07D6D"/>
    <w:rsid w:val="00B103D8"/>
    <w:rsid w:val="00B11019"/>
    <w:rsid w:val="00B1278A"/>
    <w:rsid w:val="00B129DE"/>
    <w:rsid w:val="00B13605"/>
    <w:rsid w:val="00B13988"/>
    <w:rsid w:val="00B13BC4"/>
    <w:rsid w:val="00B13BF4"/>
    <w:rsid w:val="00B13F6F"/>
    <w:rsid w:val="00B147A4"/>
    <w:rsid w:val="00B148F1"/>
    <w:rsid w:val="00B14A90"/>
    <w:rsid w:val="00B15092"/>
    <w:rsid w:val="00B155A8"/>
    <w:rsid w:val="00B1658F"/>
    <w:rsid w:val="00B16EE7"/>
    <w:rsid w:val="00B1729E"/>
    <w:rsid w:val="00B173E2"/>
    <w:rsid w:val="00B179BB"/>
    <w:rsid w:val="00B2045F"/>
    <w:rsid w:val="00B2097B"/>
    <w:rsid w:val="00B20C23"/>
    <w:rsid w:val="00B215E8"/>
    <w:rsid w:val="00B21DCB"/>
    <w:rsid w:val="00B22276"/>
    <w:rsid w:val="00B22D0C"/>
    <w:rsid w:val="00B22E36"/>
    <w:rsid w:val="00B23733"/>
    <w:rsid w:val="00B23F4B"/>
    <w:rsid w:val="00B2470E"/>
    <w:rsid w:val="00B247BC"/>
    <w:rsid w:val="00B24960"/>
    <w:rsid w:val="00B24A34"/>
    <w:rsid w:val="00B24D5A"/>
    <w:rsid w:val="00B2532F"/>
    <w:rsid w:val="00B26581"/>
    <w:rsid w:val="00B27E05"/>
    <w:rsid w:val="00B27F16"/>
    <w:rsid w:val="00B308EB"/>
    <w:rsid w:val="00B31D1B"/>
    <w:rsid w:val="00B32403"/>
    <w:rsid w:val="00B32474"/>
    <w:rsid w:val="00B32C7F"/>
    <w:rsid w:val="00B3352E"/>
    <w:rsid w:val="00B33C59"/>
    <w:rsid w:val="00B3404A"/>
    <w:rsid w:val="00B3439A"/>
    <w:rsid w:val="00B346EC"/>
    <w:rsid w:val="00B347B4"/>
    <w:rsid w:val="00B35096"/>
    <w:rsid w:val="00B3518F"/>
    <w:rsid w:val="00B35278"/>
    <w:rsid w:val="00B36453"/>
    <w:rsid w:val="00B37AE6"/>
    <w:rsid w:val="00B37FD2"/>
    <w:rsid w:val="00B40AD7"/>
    <w:rsid w:val="00B40F64"/>
    <w:rsid w:val="00B41909"/>
    <w:rsid w:val="00B41AA1"/>
    <w:rsid w:val="00B4219B"/>
    <w:rsid w:val="00B44115"/>
    <w:rsid w:val="00B445EC"/>
    <w:rsid w:val="00B45938"/>
    <w:rsid w:val="00B467BC"/>
    <w:rsid w:val="00B478E7"/>
    <w:rsid w:val="00B47D4A"/>
    <w:rsid w:val="00B47E73"/>
    <w:rsid w:val="00B50C3A"/>
    <w:rsid w:val="00B5183C"/>
    <w:rsid w:val="00B51E76"/>
    <w:rsid w:val="00B51ECF"/>
    <w:rsid w:val="00B5217C"/>
    <w:rsid w:val="00B52445"/>
    <w:rsid w:val="00B52C77"/>
    <w:rsid w:val="00B53931"/>
    <w:rsid w:val="00B53D36"/>
    <w:rsid w:val="00B54370"/>
    <w:rsid w:val="00B544BC"/>
    <w:rsid w:val="00B54E61"/>
    <w:rsid w:val="00B55350"/>
    <w:rsid w:val="00B5541A"/>
    <w:rsid w:val="00B55A19"/>
    <w:rsid w:val="00B55CBA"/>
    <w:rsid w:val="00B55D19"/>
    <w:rsid w:val="00B573DA"/>
    <w:rsid w:val="00B615F4"/>
    <w:rsid w:val="00B6163B"/>
    <w:rsid w:val="00B617E5"/>
    <w:rsid w:val="00B6182A"/>
    <w:rsid w:val="00B6301C"/>
    <w:rsid w:val="00B63575"/>
    <w:rsid w:val="00B64104"/>
    <w:rsid w:val="00B64109"/>
    <w:rsid w:val="00B6427A"/>
    <w:rsid w:val="00B65248"/>
    <w:rsid w:val="00B6540B"/>
    <w:rsid w:val="00B65955"/>
    <w:rsid w:val="00B6596B"/>
    <w:rsid w:val="00B66836"/>
    <w:rsid w:val="00B66CC0"/>
    <w:rsid w:val="00B66EE2"/>
    <w:rsid w:val="00B671BB"/>
    <w:rsid w:val="00B70957"/>
    <w:rsid w:val="00B7099D"/>
    <w:rsid w:val="00B71F42"/>
    <w:rsid w:val="00B72251"/>
    <w:rsid w:val="00B7230E"/>
    <w:rsid w:val="00B7234E"/>
    <w:rsid w:val="00B72721"/>
    <w:rsid w:val="00B745D5"/>
    <w:rsid w:val="00B74700"/>
    <w:rsid w:val="00B74DFF"/>
    <w:rsid w:val="00B75BE3"/>
    <w:rsid w:val="00B7600F"/>
    <w:rsid w:val="00B7610F"/>
    <w:rsid w:val="00B76DAE"/>
    <w:rsid w:val="00B80022"/>
    <w:rsid w:val="00B805F5"/>
    <w:rsid w:val="00B809B7"/>
    <w:rsid w:val="00B809CB"/>
    <w:rsid w:val="00B80C7A"/>
    <w:rsid w:val="00B80E9A"/>
    <w:rsid w:val="00B81201"/>
    <w:rsid w:val="00B8124A"/>
    <w:rsid w:val="00B8168E"/>
    <w:rsid w:val="00B81DE1"/>
    <w:rsid w:val="00B8229D"/>
    <w:rsid w:val="00B831C0"/>
    <w:rsid w:val="00B83647"/>
    <w:rsid w:val="00B83964"/>
    <w:rsid w:val="00B83F4A"/>
    <w:rsid w:val="00B84EE5"/>
    <w:rsid w:val="00B85758"/>
    <w:rsid w:val="00B86089"/>
    <w:rsid w:val="00B87063"/>
    <w:rsid w:val="00B901CF"/>
    <w:rsid w:val="00B91713"/>
    <w:rsid w:val="00B9197E"/>
    <w:rsid w:val="00B91D07"/>
    <w:rsid w:val="00B92118"/>
    <w:rsid w:val="00B93B86"/>
    <w:rsid w:val="00B93D7E"/>
    <w:rsid w:val="00B94E5E"/>
    <w:rsid w:val="00B9508D"/>
    <w:rsid w:val="00B9511F"/>
    <w:rsid w:val="00B95242"/>
    <w:rsid w:val="00B9543B"/>
    <w:rsid w:val="00B95C8E"/>
    <w:rsid w:val="00B961FA"/>
    <w:rsid w:val="00B96232"/>
    <w:rsid w:val="00B963C5"/>
    <w:rsid w:val="00B97DB4"/>
    <w:rsid w:val="00BA04E5"/>
    <w:rsid w:val="00BA058E"/>
    <w:rsid w:val="00BA083F"/>
    <w:rsid w:val="00BA1881"/>
    <w:rsid w:val="00BA199E"/>
    <w:rsid w:val="00BA208C"/>
    <w:rsid w:val="00BA3CDC"/>
    <w:rsid w:val="00BA4DAC"/>
    <w:rsid w:val="00BA4E56"/>
    <w:rsid w:val="00BA566B"/>
    <w:rsid w:val="00BA56A5"/>
    <w:rsid w:val="00BA5AFB"/>
    <w:rsid w:val="00BA5F4B"/>
    <w:rsid w:val="00BA608C"/>
    <w:rsid w:val="00BA6485"/>
    <w:rsid w:val="00BA6AFE"/>
    <w:rsid w:val="00BA6D65"/>
    <w:rsid w:val="00BA6E62"/>
    <w:rsid w:val="00BA70F2"/>
    <w:rsid w:val="00BA7738"/>
    <w:rsid w:val="00BA7DB4"/>
    <w:rsid w:val="00BB0106"/>
    <w:rsid w:val="00BB0859"/>
    <w:rsid w:val="00BB0B0B"/>
    <w:rsid w:val="00BB0B6A"/>
    <w:rsid w:val="00BB13CE"/>
    <w:rsid w:val="00BB2ECE"/>
    <w:rsid w:val="00BB3762"/>
    <w:rsid w:val="00BB38C1"/>
    <w:rsid w:val="00BB3B24"/>
    <w:rsid w:val="00BB4A40"/>
    <w:rsid w:val="00BB51C4"/>
    <w:rsid w:val="00BB667B"/>
    <w:rsid w:val="00BB66F7"/>
    <w:rsid w:val="00BB69B6"/>
    <w:rsid w:val="00BB6BA5"/>
    <w:rsid w:val="00BB7970"/>
    <w:rsid w:val="00BB7BB3"/>
    <w:rsid w:val="00BB7CC5"/>
    <w:rsid w:val="00BC01E5"/>
    <w:rsid w:val="00BC078B"/>
    <w:rsid w:val="00BC0A20"/>
    <w:rsid w:val="00BC2162"/>
    <w:rsid w:val="00BC2391"/>
    <w:rsid w:val="00BC3157"/>
    <w:rsid w:val="00BC345A"/>
    <w:rsid w:val="00BC4462"/>
    <w:rsid w:val="00BC611A"/>
    <w:rsid w:val="00BC62D4"/>
    <w:rsid w:val="00BC6B27"/>
    <w:rsid w:val="00BC6D8F"/>
    <w:rsid w:val="00BC74B7"/>
    <w:rsid w:val="00BC75D0"/>
    <w:rsid w:val="00BD0B8B"/>
    <w:rsid w:val="00BD13ED"/>
    <w:rsid w:val="00BD239F"/>
    <w:rsid w:val="00BD2C0A"/>
    <w:rsid w:val="00BD400D"/>
    <w:rsid w:val="00BD42B7"/>
    <w:rsid w:val="00BD5758"/>
    <w:rsid w:val="00BD5A0D"/>
    <w:rsid w:val="00BD731D"/>
    <w:rsid w:val="00BD73ED"/>
    <w:rsid w:val="00BE031F"/>
    <w:rsid w:val="00BE0CDC"/>
    <w:rsid w:val="00BE165A"/>
    <w:rsid w:val="00BE2070"/>
    <w:rsid w:val="00BE265E"/>
    <w:rsid w:val="00BE39EC"/>
    <w:rsid w:val="00BE3B27"/>
    <w:rsid w:val="00BE55F0"/>
    <w:rsid w:val="00BE5758"/>
    <w:rsid w:val="00BE5D2C"/>
    <w:rsid w:val="00BE632E"/>
    <w:rsid w:val="00BE675A"/>
    <w:rsid w:val="00BE67E8"/>
    <w:rsid w:val="00BE69E8"/>
    <w:rsid w:val="00BE6D01"/>
    <w:rsid w:val="00BF0077"/>
    <w:rsid w:val="00BF01D9"/>
    <w:rsid w:val="00BF05B2"/>
    <w:rsid w:val="00BF080D"/>
    <w:rsid w:val="00BF111B"/>
    <w:rsid w:val="00BF11B3"/>
    <w:rsid w:val="00BF14FB"/>
    <w:rsid w:val="00BF1AAB"/>
    <w:rsid w:val="00BF1ABB"/>
    <w:rsid w:val="00BF206C"/>
    <w:rsid w:val="00BF2DBA"/>
    <w:rsid w:val="00BF41E7"/>
    <w:rsid w:val="00BF4F0E"/>
    <w:rsid w:val="00BF597C"/>
    <w:rsid w:val="00BF5C79"/>
    <w:rsid w:val="00BF6A46"/>
    <w:rsid w:val="00BF6EFC"/>
    <w:rsid w:val="00BF79C6"/>
    <w:rsid w:val="00BF7FA5"/>
    <w:rsid w:val="00C00573"/>
    <w:rsid w:val="00C00F3B"/>
    <w:rsid w:val="00C016FA"/>
    <w:rsid w:val="00C01766"/>
    <w:rsid w:val="00C0239F"/>
    <w:rsid w:val="00C0267A"/>
    <w:rsid w:val="00C03E9D"/>
    <w:rsid w:val="00C04955"/>
    <w:rsid w:val="00C04979"/>
    <w:rsid w:val="00C0506A"/>
    <w:rsid w:val="00C0565F"/>
    <w:rsid w:val="00C05CAD"/>
    <w:rsid w:val="00C061A7"/>
    <w:rsid w:val="00C06948"/>
    <w:rsid w:val="00C06B62"/>
    <w:rsid w:val="00C06B71"/>
    <w:rsid w:val="00C07818"/>
    <w:rsid w:val="00C1055F"/>
    <w:rsid w:val="00C11617"/>
    <w:rsid w:val="00C116E3"/>
    <w:rsid w:val="00C11967"/>
    <w:rsid w:val="00C11D72"/>
    <w:rsid w:val="00C13E84"/>
    <w:rsid w:val="00C1438C"/>
    <w:rsid w:val="00C14408"/>
    <w:rsid w:val="00C144C1"/>
    <w:rsid w:val="00C145F5"/>
    <w:rsid w:val="00C1494A"/>
    <w:rsid w:val="00C14978"/>
    <w:rsid w:val="00C14983"/>
    <w:rsid w:val="00C150F8"/>
    <w:rsid w:val="00C152E5"/>
    <w:rsid w:val="00C154FD"/>
    <w:rsid w:val="00C16FDE"/>
    <w:rsid w:val="00C171A2"/>
    <w:rsid w:val="00C17272"/>
    <w:rsid w:val="00C17407"/>
    <w:rsid w:val="00C17905"/>
    <w:rsid w:val="00C20770"/>
    <w:rsid w:val="00C20A51"/>
    <w:rsid w:val="00C20C04"/>
    <w:rsid w:val="00C20D2B"/>
    <w:rsid w:val="00C22FB8"/>
    <w:rsid w:val="00C231AD"/>
    <w:rsid w:val="00C235F9"/>
    <w:rsid w:val="00C2368F"/>
    <w:rsid w:val="00C236DA"/>
    <w:rsid w:val="00C23983"/>
    <w:rsid w:val="00C2438D"/>
    <w:rsid w:val="00C243F5"/>
    <w:rsid w:val="00C24588"/>
    <w:rsid w:val="00C25221"/>
    <w:rsid w:val="00C25E76"/>
    <w:rsid w:val="00C26467"/>
    <w:rsid w:val="00C26C10"/>
    <w:rsid w:val="00C26C11"/>
    <w:rsid w:val="00C302C8"/>
    <w:rsid w:val="00C30739"/>
    <w:rsid w:val="00C30E1F"/>
    <w:rsid w:val="00C30EED"/>
    <w:rsid w:val="00C3103D"/>
    <w:rsid w:val="00C31BFF"/>
    <w:rsid w:val="00C32332"/>
    <w:rsid w:val="00C32728"/>
    <w:rsid w:val="00C32976"/>
    <w:rsid w:val="00C32B2C"/>
    <w:rsid w:val="00C33003"/>
    <w:rsid w:val="00C33AEB"/>
    <w:rsid w:val="00C33D49"/>
    <w:rsid w:val="00C3458C"/>
    <w:rsid w:val="00C34D51"/>
    <w:rsid w:val="00C34DE3"/>
    <w:rsid w:val="00C35FD8"/>
    <w:rsid w:val="00C36ED3"/>
    <w:rsid w:val="00C40BA7"/>
    <w:rsid w:val="00C40C98"/>
    <w:rsid w:val="00C40D2F"/>
    <w:rsid w:val="00C411F2"/>
    <w:rsid w:val="00C42719"/>
    <w:rsid w:val="00C4279B"/>
    <w:rsid w:val="00C4285B"/>
    <w:rsid w:val="00C429F8"/>
    <w:rsid w:val="00C42A5D"/>
    <w:rsid w:val="00C42D2B"/>
    <w:rsid w:val="00C42FDD"/>
    <w:rsid w:val="00C4421D"/>
    <w:rsid w:val="00C44557"/>
    <w:rsid w:val="00C452CE"/>
    <w:rsid w:val="00C45BB3"/>
    <w:rsid w:val="00C468F7"/>
    <w:rsid w:val="00C519EA"/>
    <w:rsid w:val="00C51EA4"/>
    <w:rsid w:val="00C51FF7"/>
    <w:rsid w:val="00C52838"/>
    <w:rsid w:val="00C52876"/>
    <w:rsid w:val="00C538ED"/>
    <w:rsid w:val="00C5476C"/>
    <w:rsid w:val="00C55F33"/>
    <w:rsid w:val="00C56192"/>
    <w:rsid w:val="00C5633F"/>
    <w:rsid w:val="00C56B36"/>
    <w:rsid w:val="00C56C54"/>
    <w:rsid w:val="00C56F91"/>
    <w:rsid w:val="00C56F9A"/>
    <w:rsid w:val="00C575BB"/>
    <w:rsid w:val="00C57950"/>
    <w:rsid w:val="00C60122"/>
    <w:rsid w:val="00C6262B"/>
    <w:rsid w:val="00C62FA7"/>
    <w:rsid w:val="00C63520"/>
    <w:rsid w:val="00C6359D"/>
    <w:rsid w:val="00C63E62"/>
    <w:rsid w:val="00C644C1"/>
    <w:rsid w:val="00C65605"/>
    <w:rsid w:val="00C662AC"/>
    <w:rsid w:val="00C66B91"/>
    <w:rsid w:val="00C6759E"/>
    <w:rsid w:val="00C703C0"/>
    <w:rsid w:val="00C708F3"/>
    <w:rsid w:val="00C709ED"/>
    <w:rsid w:val="00C70F9C"/>
    <w:rsid w:val="00C713DC"/>
    <w:rsid w:val="00C71A89"/>
    <w:rsid w:val="00C72374"/>
    <w:rsid w:val="00C73025"/>
    <w:rsid w:val="00C74049"/>
    <w:rsid w:val="00C7448F"/>
    <w:rsid w:val="00C754FE"/>
    <w:rsid w:val="00C7618B"/>
    <w:rsid w:val="00C761F3"/>
    <w:rsid w:val="00C76537"/>
    <w:rsid w:val="00C76D4D"/>
    <w:rsid w:val="00C8022E"/>
    <w:rsid w:val="00C80251"/>
    <w:rsid w:val="00C80E68"/>
    <w:rsid w:val="00C8117E"/>
    <w:rsid w:val="00C8163F"/>
    <w:rsid w:val="00C81990"/>
    <w:rsid w:val="00C81EF2"/>
    <w:rsid w:val="00C82398"/>
    <w:rsid w:val="00C82654"/>
    <w:rsid w:val="00C82BE9"/>
    <w:rsid w:val="00C84540"/>
    <w:rsid w:val="00C8456A"/>
    <w:rsid w:val="00C847E0"/>
    <w:rsid w:val="00C85226"/>
    <w:rsid w:val="00C8596A"/>
    <w:rsid w:val="00C85BD1"/>
    <w:rsid w:val="00C865C5"/>
    <w:rsid w:val="00C8689D"/>
    <w:rsid w:val="00C8787C"/>
    <w:rsid w:val="00C9058D"/>
    <w:rsid w:val="00C91007"/>
    <w:rsid w:val="00C91AF3"/>
    <w:rsid w:val="00C920BF"/>
    <w:rsid w:val="00C92B94"/>
    <w:rsid w:val="00C934D8"/>
    <w:rsid w:val="00C93764"/>
    <w:rsid w:val="00C9378F"/>
    <w:rsid w:val="00C94DD6"/>
    <w:rsid w:val="00C9622A"/>
    <w:rsid w:val="00CA1570"/>
    <w:rsid w:val="00CA15D4"/>
    <w:rsid w:val="00CA1744"/>
    <w:rsid w:val="00CA19A5"/>
    <w:rsid w:val="00CA2521"/>
    <w:rsid w:val="00CA2873"/>
    <w:rsid w:val="00CA28CE"/>
    <w:rsid w:val="00CA2B8B"/>
    <w:rsid w:val="00CA2BB1"/>
    <w:rsid w:val="00CA3A69"/>
    <w:rsid w:val="00CA456C"/>
    <w:rsid w:val="00CA5005"/>
    <w:rsid w:val="00CA55D7"/>
    <w:rsid w:val="00CA5772"/>
    <w:rsid w:val="00CA61B3"/>
    <w:rsid w:val="00CA7AAD"/>
    <w:rsid w:val="00CA7C33"/>
    <w:rsid w:val="00CA7D01"/>
    <w:rsid w:val="00CB0C2B"/>
    <w:rsid w:val="00CB13A5"/>
    <w:rsid w:val="00CB19B1"/>
    <w:rsid w:val="00CB1B21"/>
    <w:rsid w:val="00CB1F95"/>
    <w:rsid w:val="00CB22B3"/>
    <w:rsid w:val="00CB2438"/>
    <w:rsid w:val="00CB264D"/>
    <w:rsid w:val="00CB350D"/>
    <w:rsid w:val="00CB3693"/>
    <w:rsid w:val="00CB3A2A"/>
    <w:rsid w:val="00CB3D10"/>
    <w:rsid w:val="00CB4A9A"/>
    <w:rsid w:val="00CB6269"/>
    <w:rsid w:val="00CB6412"/>
    <w:rsid w:val="00CB6F89"/>
    <w:rsid w:val="00CB72AD"/>
    <w:rsid w:val="00CB7BBD"/>
    <w:rsid w:val="00CB7C05"/>
    <w:rsid w:val="00CC0EBD"/>
    <w:rsid w:val="00CC0F75"/>
    <w:rsid w:val="00CC111E"/>
    <w:rsid w:val="00CC12B4"/>
    <w:rsid w:val="00CC1354"/>
    <w:rsid w:val="00CC1A90"/>
    <w:rsid w:val="00CC45BB"/>
    <w:rsid w:val="00CC4872"/>
    <w:rsid w:val="00CC4EE3"/>
    <w:rsid w:val="00CC5AD6"/>
    <w:rsid w:val="00CC5BF6"/>
    <w:rsid w:val="00CC5EBA"/>
    <w:rsid w:val="00CC6179"/>
    <w:rsid w:val="00CC64CF"/>
    <w:rsid w:val="00CC683E"/>
    <w:rsid w:val="00CC6989"/>
    <w:rsid w:val="00CC6A02"/>
    <w:rsid w:val="00CD042C"/>
    <w:rsid w:val="00CD0650"/>
    <w:rsid w:val="00CD0AA3"/>
    <w:rsid w:val="00CD0DAE"/>
    <w:rsid w:val="00CD0F76"/>
    <w:rsid w:val="00CD175F"/>
    <w:rsid w:val="00CD1865"/>
    <w:rsid w:val="00CD24A6"/>
    <w:rsid w:val="00CD26B5"/>
    <w:rsid w:val="00CD3C3E"/>
    <w:rsid w:val="00CD3EE9"/>
    <w:rsid w:val="00CD4136"/>
    <w:rsid w:val="00CD4A8A"/>
    <w:rsid w:val="00CD54DA"/>
    <w:rsid w:val="00CD55ED"/>
    <w:rsid w:val="00CD6D66"/>
    <w:rsid w:val="00CD7023"/>
    <w:rsid w:val="00CD71C7"/>
    <w:rsid w:val="00CD74BD"/>
    <w:rsid w:val="00CE09E1"/>
    <w:rsid w:val="00CE0C25"/>
    <w:rsid w:val="00CE2497"/>
    <w:rsid w:val="00CE2841"/>
    <w:rsid w:val="00CE2BEB"/>
    <w:rsid w:val="00CE2D90"/>
    <w:rsid w:val="00CE3BB8"/>
    <w:rsid w:val="00CE4079"/>
    <w:rsid w:val="00CE5686"/>
    <w:rsid w:val="00CE5872"/>
    <w:rsid w:val="00CE5C67"/>
    <w:rsid w:val="00CE6B77"/>
    <w:rsid w:val="00CE6D81"/>
    <w:rsid w:val="00CE71A5"/>
    <w:rsid w:val="00CE782B"/>
    <w:rsid w:val="00CE7973"/>
    <w:rsid w:val="00CF111D"/>
    <w:rsid w:val="00CF16E6"/>
    <w:rsid w:val="00CF2819"/>
    <w:rsid w:val="00CF33D3"/>
    <w:rsid w:val="00CF40A9"/>
    <w:rsid w:val="00CF5214"/>
    <w:rsid w:val="00CF5CA8"/>
    <w:rsid w:val="00CF610F"/>
    <w:rsid w:val="00CF61B7"/>
    <w:rsid w:val="00CF6233"/>
    <w:rsid w:val="00CF6258"/>
    <w:rsid w:val="00CF67A2"/>
    <w:rsid w:val="00CF6913"/>
    <w:rsid w:val="00CF75CF"/>
    <w:rsid w:val="00D0010A"/>
    <w:rsid w:val="00D00157"/>
    <w:rsid w:val="00D0128B"/>
    <w:rsid w:val="00D0195E"/>
    <w:rsid w:val="00D01D99"/>
    <w:rsid w:val="00D01EE6"/>
    <w:rsid w:val="00D02ED6"/>
    <w:rsid w:val="00D0315E"/>
    <w:rsid w:val="00D03D4C"/>
    <w:rsid w:val="00D03EF8"/>
    <w:rsid w:val="00D04300"/>
    <w:rsid w:val="00D048A8"/>
    <w:rsid w:val="00D049F4"/>
    <w:rsid w:val="00D04A06"/>
    <w:rsid w:val="00D0576F"/>
    <w:rsid w:val="00D059EF"/>
    <w:rsid w:val="00D060D1"/>
    <w:rsid w:val="00D062A0"/>
    <w:rsid w:val="00D062C9"/>
    <w:rsid w:val="00D068C3"/>
    <w:rsid w:val="00D06C34"/>
    <w:rsid w:val="00D06CD9"/>
    <w:rsid w:val="00D07BE9"/>
    <w:rsid w:val="00D10776"/>
    <w:rsid w:val="00D10FF4"/>
    <w:rsid w:val="00D11C8E"/>
    <w:rsid w:val="00D120AA"/>
    <w:rsid w:val="00D12F8B"/>
    <w:rsid w:val="00D1366A"/>
    <w:rsid w:val="00D13C49"/>
    <w:rsid w:val="00D13FCD"/>
    <w:rsid w:val="00D14233"/>
    <w:rsid w:val="00D142C0"/>
    <w:rsid w:val="00D142F4"/>
    <w:rsid w:val="00D14534"/>
    <w:rsid w:val="00D1487E"/>
    <w:rsid w:val="00D14C94"/>
    <w:rsid w:val="00D14F8C"/>
    <w:rsid w:val="00D151F3"/>
    <w:rsid w:val="00D15683"/>
    <w:rsid w:val="00D1579A"/>
    <w:rsid w:val="00D16BE9"/>
    <w:rsid w:val="00D176CF"/>
    <w:rsid w:val="00D17D64"/>
    <w:rsid w:val="00D201A7"/>
    <w:rsid w:val="00D20287"/>
    <w:rsid w:val="00D202E2"/>
    <w:rsid w:val="00D214D2"/>
    <w:rsid w:val="00D216DC"/>
    <w:rsid w:val="00D219DD"/>
    <w:rsid w:val="00D22CB3"/>
    <w:rsid w:val="00D22D57"/>
    <w:rsid w:val="00D24FB6"/>
    <w:rsid w:val="00D2623D"/>
    <w:rsid w:val="00D262B8"/>
    <w:rsid w:val="00D2663C"/>
    <w:rsid w:val="00D26C43"/>
    <w:rsid w:val="00D278B7"/>
    <w:rsid w:val="00D304FA"/>
    <w:rsid w:val="00D30624"/>
    <w:rsid w:val="00D30682"/>
    <w:rsid w:val="00D30846"/>
    <w:rsid w:val="00D30C53"/>
    <w:rsid w:val="00D30D00"/>
    <w:rsid w:val="00D31500"/>
    <w:rsid w:val="00D31943"/>
    <w:rsid w:val="00D31B49"/>
    <w:rsid w:val="00D31E24"/>
    <w:rsid w:val="00D323D8"/>
    <w:rsid w:val="00D32DD3"/>
    <w:rsid w:val="00D333B8"/>
    <w:rsid w:val="00D33B9E"/>
    <w:rsid w:val="00D341B6"/>
    <w:rsid w:val="00D348A1"/>
    <w:rsid w:val="00D34AC8"/>
    <w:rsid w:val="00D34C90"/>
    <w:rsid w:val="00D34D0D"/>
    <w:rsid w:val="00D35432"/>
    <w:rsid w:val="00D35437"/>
    <w:rsid w:val="00D355B0"/>
    <w:rsid w:val="00D35679"/>
    <w:rsid w:val="00D35698"/>
    <w:rsid w:val="00D361E6"/>
    <w:rsid w:val="00D363EC"/>
    <w:rsid w:val="00D36CEB"/>
    <w:rsid w:val="00D37A5C"/>
    <w:rsid w:val="00D37D12"/>
    <w:rsid w:val="00D37D52"/>
    <w:rsid w:val="00D40365"/>
    <w:rsid w:val="00D4048B"/>
    <w:rsid w:val="00D40CAD"/>
    <w:rsid w:val="00D416F8"/>
    <w:rsid w:val="00D41C9F"/>
    <w:rsid w:val="00D42B1D"/>
    <w:rsid w:val="00D42D76"/>
    <w:rsid w:val="00D43911"/>
    <w:rsid w:val="00D44B9E"/>
    <w:rsid w:val="00D450FE"/>
    <w:rsid w:val="00D45E9A"/>
    <w:rsid w:val="00D46375"/>
    <w:rsid w:val="00D46EF9"/>
    <w:rsid w:val="00D51241"/>
    <w:rsid w:val="00D51445"/>
    <w:rsid w:val="00D519BA"/>
    <w:rsid w:val="00D51D4D"/>
    <w:rsid w:val="00D521D2"/>
    <w:rsid w:val="00D52E66"/>
    <w:rsid w:val="00D53856"/>
    <w:rsid w:val="00D54A4D"/>
    <w:rsid w:val="00D54BA6"/>
    <w:rsid w:val="00D557CB"/>
    <w:rsid w:val="00D55DC6"/>
    <w:rsid w:val="00D55FCF"/>
    <w:rsid w:val="00D564CE"/>
    <w:rsid w:val="00D6038E"/>
    <w:rsid w:val="00D60B99"/>
    <w:rsid w:val="00D60D1E"/>
    <w:rsid w:val="00D6186D"/>
    <w:rsid w:val="00D6274F"/>
    <w:rsid w:val="00D644C8"/>
    <w:rsid w:val="00D6546B"/>
    <w:rsid w:val="00D6627B"/>
    <w:rsid w:val="00D662FB"/>
    <w:rsid w:val="00D6694E"/>
    <w:rsid w:val="00D67ADD"/>
    <w:rsid w:val="00D67CB2"/>
    <w:rsid w:val="00D70292"/>
    <w:rsid w:val="00D70454"/>
    <w:rsid w:val="00D707FD"/>
    <w:rsid w:val="00D70AC6"/>
    <w:rsid w:val="00D71156"/>
    <w:rsid w:val="00D71B6C"/>
    <w:rsid w:val="00D7215B"/>
    <w:rsid w:val="00D722A6"/>
    <w:rsid w:val="00D74047"/>
    <w:rsid w:val="00D745E5"/>
    <w:rsid w:val="00D74742"/>
    <w:rsid w:val="00D749E8"/>
    <w:rsid w:val="00D762AF"/>
    <w:rsid w:val="00D76870"/>
    <w:rsid w:val="00D76AB2"/>
    <w:rsid w:val="00D76C98"/>
    <w:rsid w:val="00D773A1"/>
    <w:rsid w:val="00D77E58"/>
    <w:rsid w:val="00D80285"/>
    <w:rsid w:val="00D80427"/>
    <w:rsid w:val="00D807AA"/>
    <w:rsid w:val="00D80CED"/>
    <w:rsid w:val="00D80DBC"/>
    <w:rsid w:val="00D81C55"/>
    <w:rsid w:val="00D82FBA"/>
    <w:rsid w:val="00D83497"/>
    <w:rsid w:val="00D8390E"/>
    <w:rsid w:val="00D84098"/>
    <w:rsid w:val="00D84561"/>
    <w:rsid w:val="00D8460C"/>
    <w:rsid w:val="00D84B8C"/>
    <w:rsid w:val="00D84C9B"/>
    <w:rsid w:val="00D8508B"/>
    <w:rsid w:val="00D86425"/>
    <w:rsid w:val="00D86507"/>
    <w:rsid w:val="00D87889"/>
    <w:rsid w:val="00D878D6"/>
    <w:rsid w:val="00D878F4"/>
    <w:rsid w:val="00D9006A"/>
    <w:rsid w:val="00D904E8"/>
    <w:rsid w:val="00D90990"/>
    <w:rsid w:val="00D90DED"/>
    <w:rsid w:val="00D91347"/>
    <w:rsid w:val="00D91A7B"/>
    <w:rsid w:val="00D91B78"/>
    <w:rsid w:val="00D92181"/>
    <w:rsid w:val="00D92283"/>
    <w:rsid w:val="00D93054"/>
    <w:rsid w:val="00D930BC"/>
    <w:rsid w:val="00D93BD1"/>
    <w:rsid w:val="00D940AB"/>
    <w:rsid w:val="00D9530F"/>
    <w:rsid w:val="00D95596"/>
    <w:rsid w:val="00D95D45"/>
    <w:rsid w:val="00D95EFB"/>
    <w:rsid w:val="00D96C89"/>
    <w:rsid w:val="00D97096"/>
    <w:rsid w:val="00D97304"/>
    <w:rsid w:val="00D97771"/>
    <w:rsid w:val="00D97AA2"/>
    <w:rsid w:val="00D97E97"/>
    <w:rsid w:val="00DA0156"/>
    <w:rsid w:val="00DA1738"/>
    <w:rsid w:val="00DA2013"/>
    <w:rsid w:val="00DA2466"/>
    <w:rsid w:val="00DA259F"/>
    <w:rsid w:val="00DA27E6"/>
    <w:rsid w:val="00DA2C77"/>
    <w:rsid w:val="00DA2D8B"/>
    <w:rsid w:val="00DA3401"/>
    <w:rsid w:val="00DA359B"/>
    <w:rsid w:val="00DA3991"/>
    <w:rsid w:val="00DA3C37"/>
    <w:rsid w:val="00DA3C4B"/>
    <w:rsid w:val="00DA42EF"/>
    <w:rsid w:val="00DA4438"/>
    <w:rsid w:val="00DA52F1"/>
    <w:rsid w:val="00DA68F4"/>
    <w:rsid w:val="00DB0542"/>
    <w:rsid w:val="00DB0F6A"/>
    <w:rsid w:val="00DB1383"/>
    <w:rsid w:val="00DB17F8"/>
    <w:rsid w:val="00DB1F0B"/>
    <w:rsid w:val="00DB22B8"/>
    <w:rsid w:val="00DB2C04"/>
    <w:rsid w:val="00DB2C41"/>
    <w:rsid w:val="00DB2C5F"/>
    <w:rsid w:val="00DB2D24"/>
    <w:rsid w:val="00DB4425"/>
    <w:rsid w:val="00DB4BA0"/>
    <w:rsid w:val="00DB52D2"/>
    <w:rsid w:val="00DB53ED"/>
    <w:rsid w:val="00DB6766"/>
    <w:rsid w:val="00DB76D2"/>
    <w:rsid w:val="00DB7A17"/>
    <w:rsid w:val="00DB7CBC"/>
    <w:rsid w:val="00DC0E3E"/>
    <w:rsid w:val="00DC1948"/>
    <w:rsid w:val="00DC2141"/>
    <w:rsid w:val="00DC2D84"/>
    <w:rsid w:val="00DC2F0F"/>
    <w:rsid w:val="00DC36DC"/>
    <w:rsid w:val="00DC385C"/>
    <w:rsid w:val="00DC3BF5"/>
    <w:rsid w:val="00DC436F"/>
    <w:rsid w:val="00DC519E"/>
    <w:rsid w:val="00DC54BF"/>
    <w:rsid w:val="00DC5947"/>
    <w:rsid w:val="00DC6986"/>
    <w:rsid w:val="00DD0AE3"/>
    <w:rsid w:val="00DD1009"/>
    <w:rsid w:val="00DD138A"/>
    <w:rsid w:val="00DD1A3A"/>
    <w:rsid w:val="00DD1C3C"/>
    <w:rsid w:val="00DD2560"/>
    <w:rsid w:val="00DD3C82"/>
    <w:rsid w:val="00DD3D8F"/>
    <w:rsid w:val="00DD3E21"/>
    <w:rsid w:val="00DD4B94"/>
    <w:rsid w:val="00DD50C7"/>
    <w:rsid w:val="00DD536E"/>
    <w:rsid w:val="00DD56ED"/>
    <w:rsid w:val="00DD5A34"/>
    <w:rsid w:val="00DD62CD"/>
    <w:rsid w:val="00DD7577"/>
    <w:rsid w:val="00DD7EE3"/>
    <w:rsid w:val="00DE0479"/>
    <w:rsid w:val="00DE14DB"/>
    <w:rsid w:val="00DE1984"/>
    <w:rsid w:val="00DE19C1"/>
    <w:rsid w:val="00DE20C2"/>
    <w:rsid w:val="00DE3C4A"/>
    <w:rsid w:val="00DE40CC"/>
    <w:rsid w:val="00DE4468"/>
    <w:rsid w:val="00DE53FF"/>
    <w:rsid w:val="00DE56A4"/>
    <w:rsid w:val="00DE5D72"/>
    <w:rsid w:val="00DE617C"/>
    <w:rsid w:val="00DE645C"/>
    <w:rsid w:val="00DE72DB"/>
    <w:rsid w:val="00DE72FF"/>
    <w:rsid w:val="00DE7359"/>
    <w:rsid w:val="00DE741D"/>
    <w:rsid w:val="00DE752D"/>
    <w:rsid w:val="00DE7765"/>
    <w:rsid w:val="00DE796A"/>
    <w:rsid w:val="00DE7A40"/>
    <w:rsid w:val="00DE7E2F"/>
    <w:rsid w:val="00DF03CE"/>
    <w:rsid w:val="00DF06BD"/>
    <w:rsid w:val="00DF0F72"/>
    <w:rsid w:val="00DF1BDD"/>
    <w:rsid w:val="00DF2054"/>
    <w:rsid w:val="00DF242C"/>
    <w:rsid w:val="00DF3063"/>
    <w:rsid w:val="00DF37B8"/>
    <w:rsid w:val="00DF4469"/>
    <w:rsid w:val="00DF48C7"/>
    <w:rsid w:val="00DF4CE1"/>
    <w:rsid w:val="00DF525E"/>
    <w:rsid w:val="00DF5629"/>
    <w:rsid w:val="00DF5E90"/>
    <w:rsid w:val="00DF60EE"/>
    <w:rsid w:val="00DF6173"/>
    <w:rsid w:val="00DF674B"/>
    <w:rsid w:val="00DF6A10"/>
    <w:rsid w:val="00DF6EE7"/>
    <w:rsid w:val="00DF76F5"/>
    <w:rsid w:val="00DF798A"/>
    <w:rsid w:val="00DF7B6F"/>
    <w:rsid w:val="00DF7C0A"/>
    <w:rsid w:val="00E00396"/>
    <w:rsid w:val="00E01C06"/>
    <w:rsid w:val="00E02287"/>
    <w:rsid w:val="00E02778"/>
    <w:rsid w:val="00E02B1D"/>
    <w:rsid w:val="00E033C9"/>
    <w:rsid w:val="00E03A02"/>
    <w:rsid w:val="00E03A5C"/>
    <w:rsid w:val="00E03D30"/>
    <w:rsid w:val="00E03FBB"/>
    <w:rsid w:val="00E05519"/>
    <w:rsid w:val="00E05966"/>
    <w:rsid w:val="00E05D53"/>
    <w:rsid w:val="00E05E1C"/>
    <w:rsid w:val="00E05FB0"/>
    <w:rsid w:val="00E063CC"/>
    <w:rsid w:val="00E06451"/>
    <w:rsid w:val="00E06571"/>
    <w:rsid w:val="00E07DBA"/>
    <w:rsid w:val="00E1028A"/>
    <w:rsid w:val="00E103CB"/>
    <w:rsid w:val="00E106CB"/>
    <w:rsid w:val="00E10AF5"/>
    <w:rsid w:val="00E10D38"/>
    <w:rsid w:val="00E11825"/>
    <w:rsid w:val="00E11977"/>
    <w:rsid w:val="00E12324"/>
    <w:rsid w:val="00E1242C"/>
    <w:rsid w:val="00E129E8"/>
    <w:rsid w:val="00E130D7"/>
    <w:rsid w:val="00E13189"/>
    <w:rsid w:val="00E13955"/>
    <w:rsid w:val="00E13AA6"/>
    <w:rsid w:val="00E14031"/>
    <w:rsid w:val="00E14568"/>
    <w:rsid w:val="00E145AA"/>
    <w:rsid w:val="00E152F0"/>
    <w:rsid w:val="00E16326"/>
    <w:rsid w:val="00E165A0"/>
    <w:rsid w:val="00E16605"/>
    <w:rsid w:val="00E16815"/>
    <w:rsid w:val="00E17914"/>
    <w:rsid w:val="00E20158"/>
    <w:rsid w:val="00E2030F"/>
    <w:rsid w:val="00E203DA"/>
    <w:rsid w:val="00E2043F"/>
    <w:rsid w:val="00E204AE"/>
    <w:rsid w:val="00E20AF2"/>
    <w:rsid w:val="00E20B3B"/>
    <w:rsid w:val="00E22CFA"/>
    <w:rsid w:val="00E2388B"/>
    <w:rsid w:val="00E23DD3"/>
    <w:rsid w:val="00E2429C"/>
    <w:rsid w:val="00E249E4"/>
    <w:rsid w:val="00E2584D"/>
    <w:rsid w:val="00E2599C"/>
    <w:rsid w:val="00E259E4"/>
    <w:rsid w:val="00E261A4"/>
    <w:rsid w:val="00E268CA"/>
    <w:rsid w:val="00E26E9A"/>
    <w:rsid w:val="00E27514"/>
    <w:rsid w:val="00E2761F"/>
    <w:rsid w:val="00E306A1"/>
    <w:rsid w:val="00E30D00"/>
    <w:rsid w:val="00E30F8E"/>
    <w:rsid w:val="00E30FED"/>
    <w:rsid w:val="00E311F9"/>
    <w:rsid w:val="00E317BC"/>
    <w:rsid w:val="00E326D0"/>
    <w:rsid w:val="00E33A8F"/>
    <w:rsid w:val="00E33B2F"/>
    <w:rsid w:val="00E3481D"/>
    <w:rsid w:val="00E34CE5"/>
    <w:rsid w:val="00E35244"/>
    <w:rsid w:val="00E36AF1"/>
    <w:rsid w:val="00E37CF8"/>
    <w:rsid w:val="00E37E46"/>
    <w:rsid w:val="00E40873"/>
    <w:rsid w:val="00E411D7"/>
    <w:rsid w:val="00E4192E"/>
    <w:rsid w:val="00E42BA8"/>
    <w:rsid w:val="00E4345F"/>
    <w:rsid w:val="00E44A76"/>
    <w:rsid w:val="00E44B34"/>
    <w:rsid w:val="00E45819"/>
    <w:rsid w:val="00E45C9E"/>
    <w:rsid w:val="00E46180"/>
    <w:rsid w:val="00E46E7D"/>
    <w:rsid w:val="00E502E2"/>
    <w:rsid w:val="00E5056C"/>
    <w:rsid w:val="00E50917"/>
    <w:rsid w:val="00E51127"/>
    <w:rsid w:val="00E52507"/>
    <w:rsid w:val="00E52E94"/>
    <w:rsid w:val="00E53D64"/>
    <w:rsid w:val="00E54B2F"/>
    <w:rsid w:val="00E54C11"/>
    <w:rsid w:val="00E54D8F"/>
    <w:rsid w:val="00E55220"/>
    <w:rsid w:val="00E555D7"/>
    <w:rsid w:val="00E55AF8"/>
    <w:rsid w:val="00E55E06"/>
    <w:rsid w:val="00E567ED"/>
    <w:rsid w:val="00E56F9B"/>
    <w:rsid w:val="00E57484"/>
    <w:rsid w:val="00E6059A"/>
    <w:rsid w:val="00E60741"/>
    <w:rsid w:val="00E608D4"/>
    <w:rsid w:val="00E60A7E"/>
    <w:rsid w:val="00E6107B"/>
    <w:rsid w:val="00E622E1"/>
    <w:rsid w:val="00E62AE3"/>
    <w:rsid w:val="00E62EF1"/>
    <w:rsid w:val="00E647D0"/>
    <w:rsid w:val="00E64943"/>
    <w:rsid w:val="00E64ABF"/>
    <w:rsid w:val="00E65E0E"/>
    <w:rsid w:val="00E660E4"/>
    <w:rsid w:val="00E6690E"/>
    <w:rsid w:val="00E66BD8"/>
    <w:rsid w:val="00E67540"/>
    <w:rsid w:val="00E67FF8"/>
    <w:rsid w:val="00E70841"/>
    <w:rsid w:val="00E70D5B"/>
    <w:rsid w:val="00E70FCA"/>
    <w:rsid w:val="00E71E96"/>
    <w:rsid w:val="00E72462"/>
    <w:rsid w:val="00E72A9D"/>
    <w:rsid w:val="00E72E3D"/>
    <w:rsid w:val="00E7306F"/>
    <w:rsid w:val="00E735B1"/>
    <w:rsid w:val="00E737B8"/>
    <w:rsid w:val="00E73B13"/>
    <w:rsid w:val="00E7408C"/>
    <w:rsid w:val="00E742D5"/>
    <w:rsid w:val="00E74B50"/>
    <w:rsid w:val="00E759E2"/>
    <w:rsid w:val="00E761FE"/>
    <w:rsid w:val="00E809FD"/>
    <w:rsid w:val="00E8208E"/>
    <w:rsid w:val="00E822C8"/>
    <w:rsid w:val="00E82DFF"/>
    <w:rsid w:val="00E830B6"/>
    <w:rsid w:val="00E83752"/>
    <w:rsid w:val="00E8389D"/>
    <w:rsid w:val="00E84115"/>
    <w:rsid w:val="00E841D8"/>
    <w:rsid w:val="00E8430B"/>
    <w:rsid w:val="00E84342"/>
    <w:rsid w:val="00E849D2"/>
    <w:rsid w:val="00E84ED6"/>
    <w:rsid w:val="00E8501B"/>
    <w:rsid w:val="00E85E0A"/>
    <w:rsid w:val="00E8620D"/>
    <w:rsid w:val="00E865AE"/>
    <w:rsid w:val="00E86C3A"/>
    <w:rsid w:val="00E87613"/>
    <w:rsid w:val="00E90C8E"/>
    <w:rsid w:val="00E910C4"/>
    <w:rsid w:val="00E916C0"/>
    <w:rsid w:val="00E91CC4"/>
    <w:rsid w:val="00E92099"/>
    <w:rsid w:val="00E92236"/>
    <w:rsid w:val="00E9280E"/>
    <w:rsid w:val="00E9337C"/>
    <w:rsid w:val="00E938B6"/>
    <w:rsid w:val="00E9582E"/>
    <w:rsid w:val="00E95C7B"/>
    <w:rsid w:val="00E96AED"/>
    <w:rsid w:val="00E96D64"/>
    <w:rsid w:val="00E979C4"/>
    <w:rsid w:val="00E97BB4"/>
    <w:rsid w:val="00E97C6B"/>
    <w:rsid w:val="00EA0985"/>
    <w:rsid w:val="00EA0F6B"/>
    <w:rsid w:val="00EA12FC"/>
    <w:rsid w:val="00EA2580"/>
    <w:rsid w:val="00EA2890"/>
    <w:rsid w:val="00EA2B12"/>
    <w:rsid w:val="00EA46F8"/>
    <w:rsid w:val="00EA5264"/>
    <w:rsid w:val="00EA5346"/>
    <w:rsid w:val="00EA59A7"/>
    <w:rsid w:val="00EA6268"/>
    <w:rsid w:val="00EA64E8"/>
    <w:rsid w:val="00EA6F8A"/>
    <w:rsid w:val="00EA72F7"/>
    <w:rsid w:val="00EA74B7"/>
    <w:rsid w:val="00EA753F"/>
    <w:rsid w:val="00EB035E"/>
    <w:rsid w:val="00EB0500"/>
    <w:rsid w:val="00EB0830"/>
    <w:rsid w:val="00EB0921"/>
    <w:rsid w:val="00EB0B4B"/>
    <w:rsid w:val="00EB0C63"/>
    <w:rsid w:val="00EB17CA"/>
    <w:rsid w:val="00EB1FA4"/>
    <w:rsid w:val="00EB2AFE"/>
    <w:rsid w:val="00EB2FAB"/>
    <w:rsid w:val="00EB2FF4"/>
    <w:rsid w:val="00EB306B"/>
    <w:rsid w:val="00EB30F3"/>
    <w:rsid w:val="00EB3188"/>
    <w:rsid w:val="00EB363D"/>
    <w:rsid w:val="00EB4683"/>
    <w:rsid w:val="00EB55BD"/>
    <w:rsid w:val="00EB61F2"/>
    <w:rsid w:val="00EB6589"/>
    <w:rsid w:val="00EB6680"/>
    <w:rsid w:val="00EB6F44"/>
    <w:rsid w:val="00EB71A4"/>
    <w:rsid w:val="00EB7972"/>
    <w:rsid w:val="00EB7BBF"/>
    <w:rsid w:val="00EC03B5"/>
    <w:rsid w:val="00EC08F4"/>
    <w:rsid w:val="00EC14BA"/>
    <w:rsid w:val="00EC153A"/>
    <w:rsid w:val="00EC19E4"/>
    <w:rsid w:val="00EC1FC1"/>
    <w:rsid w:val="00EC23E0"/>
    <w:rsid w:val="00EC2684"/>
    <w:rsid w:val="00EC2BCE"/>
    <w:rsid w:val="00EC2CB3"/>
    <w:rsid w:val="00EC334E"/>
    <w:rsid w:val="00EC353F"/>
    <w:rsid w:val="00EC3F20"/>
    <w:rsid w:val="00EC3F78"/>
    <w:rsid w:val="00EC4B80"/>
    <w:rsid w:val="00EC4C4E"/>
    <w:rsid w:val="00EC4EDD"/>
    <w:rsid w:val="00EC5805"/>
    <w:rsid w:val="00EC5B43"/>
    <w:rsid w:val="00EC5DD5"/>
    <w:rsid w:val="00EC61B0"/>
    <w:rsid w:val="00EC7019"/>
    <w:rsid w:val="00EC785B"/>
    <w:rsid w:val="00EC7EA4"/>
    <w:rsid w:val="00ED0444"/>
    <w:rsid w:val="00ED0A07"/>
    <w:rsid w:val="00ED0AE9"/>
    <w:rsid w:val="00ED0FE0"/>
    <w:rsid w:val="00ED1961"/>
    <w:rsid w:val="00ED1ADB"/>
    <w:rsid w:val="00ED2FA1"/>
    <w:rsid w:val="00ED40AA"/>
    <w:rsid w:val="00ED5BBB"/>
    <w:rsid w:val="00ED65BD"/>
    <w:rsid w:val="00ED7B57"/>
    <w:rsid w:val="00EE03ED"/>
    <w:rsid w:val="00EE04D2"/>
    <w:rsid w:val="00EE20F5"/>
    <w:rsid w:val="00EE21E2"/>
    <w:rsid w:val="00EE24B4"/>
    <w:rsid w:val="00EE2CCA"/>
    <w:rsid w:val="00EE2E58"/>
    <w:rsid w:val="00EE33F8"/>
    <w:rsid w:val="00EE39D7"/>
    <w:rsid w:val="00EE3F77"/>
    <w:rsid w:val="00EE45F9"/>
    <w:rsid w:val="00EE5102"/>
    <w:rsid w:val="00EE5D01"/>
    <w:rsid w:val="00EE5D53"/>
    <w:rsid w:val="00EE62F0"/>
    <w:rsid w:val="00EE6736"/>
    <w:rsid w:val="00EE6856"/>
    <w:rsid w:val="00EE6B8C"/>
    <w:rsid w:val="00EE6F73"/>
    <w:rsid w:val="00EE7515"/>
    <w:rsid w:val="00EF044E"/>
    <w:rsid w:val="00EF0492"/>
    <w:rsid w:val="00EF092A"/>
    <w:rsid w:val="00EF2454"/>
    <w:rsid w:val="00EF2DF6"/>
    <w:rsid w:val="00EF3228"/>
    <w:rsid w:val="00EF3B93"/>
    <w:rsid w:val="00EF4584"/>
    <w:rsid w:val="00EF5048"/>
    <w:rsid w:val="00EF56A4"/>
    <w:rsid w:val="00EF5736"/>
    <w:rsid w:val="00EF5767"/>
    <w:rsid w:val="00EF5E7D"/>
    <w:rsid w:val="00EF66D0"/>
    <w:rsid w:val="00EF6D80"/>
    <w:rsid w:val="00EF6F68"/>
    <w:rsid w:val="00EF7A91"/>
    <w:rsid w:val="00F00369"/>
    <w:rsid w:val="00F00EA4"/>
    <w:rsid w:val="00F0221E"/>
    <w:rsid w:val="00F0232A"/>
    <w:rsid w:val="00F02E83"/>
    <w:rsid w:val="00F03A00"/>
    <w:rsid w:val="00F056DC"/>
    <w:rsid w:val="00F05BDC"/>
    <w:rsid w:val="00F05FF3"/>
    <w:rsid w:val="00F07D51"/>
    <w:rsid w:val="00F07D6D"/>
    <w:rsid w:val="00F11275"/>
    <w:rsid w:val="00F11AAA"/>
    <w:rsid w:val="00F12224"/>
    <w:rsid w:val="00F12555"/>
    <w:rsid w:val="00F131BA"/>
    <w:rsid w:val="00F13C50"/>
    <w:rsid w:val="00F15F76"/>
    <w:rsid w:val="00F16468"/>
    <w:rsid w:val="00F16627"/>
    <w:rsid w:val="00F17226"/>
    <w:rsid w:val="00F176ED"/>
    <w:rsid w:val="00F17B4D"/>
    <w:rsid w:val="00F17EA7"/>
    <w:rsid w:val="00F20632"/>
    <w:rsid w:val="00F2308D"/>
    <w:rsid w:val="00F24460"/>
    <w:rsid w:val="00F245FE"/>
    <w:rsid w:val="00F24CAB"/>
    <w:rsid w:val="00F257DA"/>
    <w:rsid w:val="00F26391"/>
    <w:rsid w:val="00F269FF"/>
    <w:rsid w:val="00F27288"/>
    <w:rsid w:val="00F27384"/>
    <w:rsid w:val="00F27633"/>
    <w:rsid w:val="00F30A50"/>
    <w:rsid w:val="00F30B67"/>
    <w:rsid w:val="00F30BDF"/>
    <w:rsid w:val="00F30D24"/>
    <w:rsid w:val="00F30FE7"/>
    <w:rsid w:val="00F31CB9"/>
    <w:rsid w:val="00F31E5E"/>
    <w:rsid w:val="00F3263C"/>
    <w:rsid w:val="00F32838"/>
    <w:rsid w:val="00F335E8"/>
    <w:rsid w:val="00F34942"/>
    <w:rsid w:val="00F34D03"/>
    <w:rsid w:val="00F34FEC"/>
    <w:rsid w:val="00F35A5D"/>
    <w:rsid w:val="00F35FE3"/>
    <w:rsid w:val="00F36D97"/>
    <w:rsid w:val="00F375BF"/>
    <w:rsid w:val="00F40065"/>
    <w:rsid w:val="00F407F2"/>
    <w:rsid w:val="00F40A9D"/>
    <w:rsid w:val="00F40DA4"/>
    <w:rsid w:val="00F4118A"/>
    <w:rsid w:val="00F42197"/>
    <w:rsid w:val="00F42386"/>
    <w:rsid w:val="00F42642"/>
    <w:rsid w:val="00F4348F"/>
    <w:rsid w:val="00F43E67"/>
    <w:rsid w:val="00F441AF"/>
    <w:rsid w:val="00F443AB"/>
    <w:rsid w:val="00F445B1"/>
    <w:rsid w:val="00F44A0C"/>
    <w:rsid w:val="00F4564F"/>
    <w:rsid w:val="00F45AB3"/>
    <w:rsid w:val="00F45F93"/>
    <w:rsid w:val="00F46960"/>
    <w:rsid w:val="00F46A00"/>
    <w:rsid w:val="00F47599"/>
    <w:rsid w:val="00F47608"/>
    <w:rsid w:val="00F47A30"/>
    <w:rsid w:val="00F47C2F"/>
    <w:rsid w:val="00F47DAA"/>
    <w:rsid w:val="00F47F8C"/>
    <w:rsid w:val="00F504DB"/>
    <w:rsid w:val="00F50E80"/>
    <w:rsid w:val="00F51D90"/>
    <w:rsid w:val="00F521DA"/>
    <w:rsid w:val="00F523A4"/>
    <w:rsid w:val="00F52D34"/>
    <w:rsid w:val="00F53525"/>
    <w:rsid w:val="00F53F09"/>
    <w:rsid w:val="00F54922"/>
    <w:rsid w:val="00F562CB"/>
    <w:rsid w:val="00F5638F"/>
    <w:rsid w:val="00F568CF"/>
    <w:rsid w:val="00F568E0"/>
    <w:rsid w:val="00F572A5"/>
    <w:rsid w:val="00F57D68"/>
    <w:rsid w:val="00F57EBD"/>
    <w:rsid w:val="00F6006C"/>
    <w:rsid w:val="00F6023A"/>
    <w:rsid w:val="00F60479"/>
    <w:rsid w:val="00F60833"/>
    <w:rsid w:val="00F6155E"/>
    <w:rsid w:val="00F6195B"/>
    <w:rsid w:val="00F61AF1"/>
    <w:rsid w:val="00F622B2"/>
    <w:rsid w:val="00F62B47"/>
    <w:rsid w:val="00F62B9A"/>
    <w:rsid w:val="00F6365B"/>
    <w:rsid w:val="00F645AA"/>
    <w:rsid w:val="00F64601"/>
    <w:rsid w:val="00F64D42"/>
    <w:rsid w:val="00F66303"/>
    <w:rsid w:val="00F66B86"/>
    <w:rsid w:val="00F66C53"/>
    <w:rsid w:val="00F66C85"/>
    <w:rsid w:val="00F67AB6"/>
    <w:rsid w:val="00F67DAF"/>
    <w:rsid w:val="00F70025"/>
    <w:rsid w:val="00F70226"/>
    <w:rsid w:val="00F70AB1"/>
    <w:rsid w:val="00F70B56"/>
    <w:rsid w:val="00F71E17"/>
    <w:rsid w:val="00F72826"/>
    <w:rsid w:val="00F728CE"/>
    <w:rsid w:val="00F72FF7"/>
    <w:rsid w:val="00F73A8D"/>
    <w:rsid w:val="00F74716"/>
    <w:rsid w:val="00F74AF3"/>
    <w:rsid w:val="00F758E5"/>
    <w:rsid w:val="00F75AD1"/>
    <w:rsid w:val="00F7627B"/>
    <w:rsid w:val="00F769C9"/>
    <w:rsid w:val="00F76C71"/>
    <w:rsid w:val="00F77035"/>
    <w:rsid w:val="00F772E0"/>
    <w:rsid w:val="00F774CA"/>
    <w:rsid w:val="00F77B82"/>
    <w:rsid w:val="00F80653"/>
    <w:rsid w:val="00F8074B"/>
    <w:rsid w:val="00F8136D"/>
    <w:rsid w:val="00F816E4"/>
    <w:rsid w:val="00F81D99"/>
    <w:rsid w:val="00F820F6"/>
    <w:rsid w:val="00F82B85"/>
    <w:rsid w:val="00F82C28"/>
    <w:rsid w:val="00F8339D"/>
    <w:rsid w:val="00F833A9"/>
    <w:rsid w:val="00F835AB"/>
    <w:rsid w:val="00F83E5F"/>
    <w:rsid w:val="00F841F5"/>
    <w:rsid w:val="00F8464C"/>
    <w:rsid w:val="00F84FE3"/>
    <w:rsid w:val="00F8520D"/>
    <w:rsid w:val="00F854AC"/>
    <w:rsid w:val="00F85772"/>
    <w:rsid w:val="00F8630F"/>
    <w:rsid w:val="00F86DA3"/>
    <w:rsid w:val="00F86FF9"/>
    <w:rsid w:val="00F8700B"/>
    <w:rsid w:val="00F8766D"/>
    <w:rsid w:val="00F87AA6"/>
    <w:rsid w:val="00F90BF3"/>
    <w:rsid w:val="00F9127D"/>
    <w:rsid w:val="00F91C92"/>
    <w:rsid w:val="00F921DD"/>
    <w:rsid w:val="00F92267"/>
    <w:rsid w:val="00F92644"/>
    <w:rsid w:val="00F927E5"/>
    <w:rsid w:val="00F930DF"/>
    <w:rsid w:val="00F93597"/>
    <w:rsid w:val="00F942C2"/>
    <w:rsid w:val="00F94B0A"/>
    <w:rsid w:val="00F97D2C"/>
    <w:rsid w:val="00FA00EA"/>
    <w:rsid w:val="00FA0C5B"/>
    <w:rsid w:val="00FA10C2"/>
    <w:rsid w:val="00FA11DE"/>
    <w:rsid w:val="00FA2572"/>
    <w:rsid w:val="00FA2788"/>
    <w:rsid w:val="00FA3C73"/>
    <w:rsid w:val="00FA457D"/>
    <w:rsid w:val="00FA4D4D"/>
    <w:rsid w:val="00FA618D"/>
    <w:rsid w:val="00FA6374"/>
    <w:rsid w:val="00FA69FC"/>
    <w:rsid w:val="00FA6A0C"/>
    <w:rsid w:val="00FA6D92"/>
    <w:rsid w:val="00FA71E5"/>
    <w:rsid w:val="00FA7572"/>
    <w:rsid w:val="00FA7BE9"/>
    <w:rsid w:val="00FA7D25"/>
    <w:rsid w:val="00FA7EA4"/>
    <w:rsid w:val="00FB0235"/>
    <w:rsid w:val="00FB026C"/>
    <w:rsid w:val="00FB0315"/>
    <w:rsid w:val="00FB1103"/>
    <w:rsid w:val="00FB3329"/>
    <w:rsid w:val="00FB3530"/>
    <w:rsid w:val="00FB3547"/>
    <w:rsid w:val="00FB3CEF"/>
    <w:rsid w:val="00FB460B"/>
    <w:rsid w:val="00FB4A5D"/>
    <w:rsid w:val="00FB4E2C"/>
    <w:rsid w:val="00FB51CC"/>
    <w:rsid w:val="00FB55AD"/>
    <w:rsid w:val="00FB70E0"/>
    <w:rsid w:val="00FB7DF1"/>
    <w:rsid w:val="00FC02EC"/>
    <w:rsid w:val="00FC0DC1"/>
    <w:rsid w:val="00FC1396"/>
    <w:rsid w:val="00FC168A"/>
    <w:rsid w:val="00FC1751"/>
    <w:rsid w:val="00FC1846"/>
    <w:rsid w:val="00FC1A14"/>
    <w:rsid w:val="00FC1B8A"/>
    <w:rsid w:val="00FC1BEC"/>
    <w:rsid w:val="00FC24AF"/>
    <w:rsid w:val="00FC2FE1"/>
    <w:rsid w:val="00FC3656"/>
    <w:rsid w:val="00FC3B97"/>
    <w:rsid w:val="00FC41D8"/>
    <w:rsid w:val="00FC47DC"/>
    <w:rsid w:val="00FC565B"/>
    <w:rsid w:val="00FC5D4A"/>
    <w:rsid w:val="00FC6569"/>
    <w:rsid w:val="00FD08BE"/>
    <w:rsid w:val="00FD156A"/>
    <w:rsid w:val="00FD1D28"/>
    <w:rsid w:val="00FD1DD6"/>
    <w:rsid w:val="00FD1E56"/>
    <w:rsid w:val="00FD1FBA"/>
    <w:rsid w:val="00FD2C4D"/>
    <w:rsid w:val="00FD3A80"/>
    <w:rsid w:val="00FD504C"/>
    <w:rsid w:val="00FD509C"/>
    <w:rsid w:val="00FD59AB"/>
    <w:rsid w:val="00FD608C"/>
    <w:rsid w:val="00FD6107"/>
    <w:rsid w:val="00FD6337"/>
    <w:rsid w:val="00FD6C63"/>
    <w:rsid w:val="00FD6D4D"/>
    <w:rsid w:val="00FE03D6"/>
    <w:rsid w:val="00FE03DA"/>
    <w:rsid w:val="00FE0687"/>
    <w:rsid w:val="00FE0A22"/>
    <w:rsid w:val="00FE0AAE"/>
    <w:rsid w:val="00FE17D8"/>
    <w:rsid w:val="00FE1E92"/>
    <w:rsid w:val="00FE20B0"/>
    <w:rsid w:val="00FE22D8"/>
    <w:rsid w:val="00FE2F47"/>
    <w:rsid w:val="00FE3AA9"/>
    <w:rsid w:val="00FE3E9F"/>
    <w:rsid w:val="00FE4658"/>
    <w:rsid w:val="00FE5C0E"/>
    <w:rsid w:val="00FE5D83"/>
    <w:rsid w:val="00FE60CD"/>
    <w:rsid w:val="00FE6165"/>
    <w:rsid w:val="00FE7D1B"/>
    <w:rsid w:val="00FF02C6"/>
    <w:rsid w:val="00FF05F2"/>
    <w:rsid w:val="00FF0D83"/>
    <w:rsid w:val="00FF2B56"/>
    <w:rsid w:val="00FF3F59"/>
    <w:rsid w:val="00FF40E1"/>
    <w:rsid w:val="00FF4D90"/>
    <w:rsid w:val="00FF4E4C"/>
    <w:rsid w:val="00FF4FD8"/>
    <w:rsid w:val="00FF5287"/>
    <w:rsid w:val="00FF6AD9"/>
    <w:rsid w:val="00FF7257"/>
    <w:rsid w:val="00FF729B"/>
    <w:rsid w:val="00FF79AB"/>
    <w:rsid w:val="00FF7B98"/>
    <w:rsid w:val="0119677B"/>
    <w:rsid w:val="016814B1"/>
    <w:rsid w:val="018B5B00"/>
    <w:rsid w:val="01EF1329"/>
    <w:rsid w:val="020E3E06"/>
    <w:rsid w:val="02587777"/>
    <w:rsid w:val="02714395"/>
    <w:rsid w:val="02737AA0"/>
    <w:rsid w:val="027661DE"/>
    <w:rsid w:val="02B76E14"/>
    <w:rsid w:val="02EB239A"/>
    <w:rsid w:val="031050E6"/>
    <w:rsid w:val="03263794"/>
    <w:rsid w:val="032A4C70"/>
    <w:rsid w:val="03C41A0A"/>
    <w:rsid w:val="03CE15EC"/>
    <w:rsid w:val="03E16DC3"/>
    <w:rsid w:val="03E56DE9"/>
    <w:rsid w:val="03F60FF6"/>
    <w:rsid w:val="03FD4132"/>
    <w:rsid w:val="046E34DE"/>
    <w:rsid w:val="04787C5D"/>
    <w:rsid w:val="04F112CA"/>
    <w:rsid w:val="052713FA"/>
    <w:rsid w:val="053E0EA6"/>
    <w:rsid w:val="05446E7B"/>
    <w:rsid w:val="056F1060"/>
    <w:rsid w:val="05781AEB"/>
    <w:rsid w:val="05917805"/>
    <w:rsid w:val="06AE65FA"/>
    <w:rsid w:val="06BB3F60"/>
    <w:rsid w:val="06C558B1"/>
    <w:rsid w:val="072A7934"/>
    <w:rsid w:val="07413B34"/>
    <w:rsid w:val="07585B24"/>
    <w:rsid w:val="075E49A9"/>
    <w:rsid w:val="079E79DA"/>
    <w:rsid w:val="07D14BD6"/>
    <w:rsid w:val="07FE2B6F"/>
    <w:rsid w:val="08514A4D"/>
    <w:rsid w:val="088274F0"/>
    <w:rsid w:val="08FF094D"/>
    <w:rsid w:val="090A296D"/>
    <w:rsid w:val="09281229"/>
    <w:rsid w:val="09304FAA"/>
    <w:rsid w:val="093F26B9"/>
    <w:rsid w:val="095970FB"/>
    <w:rsid w:val="09F14739"/>
    <w:rsid w:val="0A244012"/>
    <w:rsid w:val="0A334D52"/>
    <w:rsid w:val="0A4750B0"/>
    <w:rsid w:val="0A870BFA"/>
    <w:rsid w:val="0A8768C1"/>
    <w:rsid w:val="0ABD461B"/>
    <w:rsid w:val="0AC21586"/>
    <w:rsid w:val="0B1F7084"/>
    <w:rsid w:val="0B21560C"/>
    <w:rsid w:val="0B416FFB"/>
    <w:rsid w:val="0B6D6042"/>
    <w:rsid w:val="0B8852D0"/>
    <w:rsid w:val="0BEA58E4"/>
    <w:rsid w:val="0C032876"/>
    <w:rsid w:val="0C0D15D3"/>
    <w:rsid w:val="0C264442"/>
    <w:rsid w:val="0C2A7A8F"/>
    <w:rsid w:val="0C346B5F"/>
    <w:rsid w:val="0C4072B2"/>
    <w:rsid w:val="0C4D1800"/>
    <w:rsid w:val="0C546D2E"/>
    <w:rsid w:val="0C880C59"/>
    <w:rsid w:val="0C963376"/>
    <w:rsid w:val="0CB101B0"/>
    <w:rsid w:val="0CE94122"/>
    <w:rsid w:val="0CFA1A3F"/>
    <w:rsid w:val="0D620BF6"/>
    <w:rsid w:val="0D705975"/>
    <w:rsid w:val="0D732188"/>
    <w:rsid w:val="0D812CBE"/>
    <w:rsid w:val="0DA77509"/>
    <w:rsid w:val="0DEA431C"/>
    <w:rsid w:val="0DEC6AA8"/>
    <w:rsid w:val="0E745939"/>
    <w:rsid w:val="0E9B1118"/>
    <w:rsid w:val="0EB75826"/>
    <w:rsid w:val="0EDB3BFB"/>
    <w:rsid w:val="0EFD76DC"/>
    <w:rsid w:val="0F1F3AF7"/>
    <w:rsid w:val="0F2C2DD3"/>
    <w:rsid w:val="0F3756E0"/>
    <w:rsid w:val="0F3D21CF"/>
    <w:rsid w:val="0F3D7069"/>
    <w:rsid w:val="0F4F5303"/>
    <w:rsid w:val="0F52108C"/>
    <w:rsid w:val="0F973884"/>
    <w:rsid w:val="0F9A13CF"/>
    <w:rsid w:val="0F9C0417"/>
    <w:rsid w:val="0FBD6E14"/>
    <w:rsid w:val="10DB545F"/>
    <w:rsid w:val="10EE19D3"/>
    <w:rsid w:val="10FE773C"/>
    <w:rsid w:val="114333A1"/>
    <w:rsid w:val="11486DAE"/>
    <w:rsid w:val="11A64FE0"/>
    <w:rsid w:val="11E07B40"/>
    <w:rsid w:val="11EA05A4"/>
    <w:rsid w:val="11F8531E"/>
    <w:rsid w:val="12602CEB"/>
    <w:rsid w:val="12B00D24"/>
    <w:rsid w:val="12B72298"/>
    <w:rsid w:val="12C34799"/>
    <w:rsid w:val="12E9581F"/>
    <w:rsid w:val="12F26E2C"/>
    <w:rsid w:val="13201BEB"/>
    <w:rsid w:val="133236CD"/>
    <w:rsid w:val="133D279D"/>
    <w:rsid w:val="137912FC"/>
    <w:rsid w:val="138F7287"/>
    <w:rsid w:val="13EE5E6D"/>
    <w:rsid w:val="13F12129"/>
    <w:rsid w:val="13F31FF5"/>
    <w:rsid w:val="13F84916"/>
    <w:rsid w:val="13FF227C"/>
    <w:rsid w:val="14264FE0"/>
    <w:rsid w:val="143C2A55"/>
    <w:rsid w:val="14421E06"/>
    <w:rsid w:val="145B0AB2"/>
    <w:rsid w:val="149C7998"/>
    <w:rsid w:val="14DC4F58"/>
    <w:rsid w:val="15226523"/>
    <w:rsid w:val="154B447A"/>
    <w:rsid w:val="15592AFA"/>
    <w:rsid w:val="159C34CA"/>
    <w:rsid w:val="15B34F99"/>
    <w:rsid w:val="15C472A7"/>
    <w:rsid w:val="15CE07B4"/>
    <w:rsid w:val="15DB41CD"/>
    <w:rsid w:val="16013F56"/>
    <w:rsid w:val="16322361"/>
    <w:rsid w:val="16331C36"/>
    <w:rsid w:val="16695657"/>
    <w:rsid w:val="16905228"/>
    <w:rsid w:val="16945AE1"/>
    <w:rsid w:val="16BC1C2B"/>
    <w:rsid w:val="16D43419"/>
    <w:rsid w:val="16DE7DF3"/>
    <w:rsid w:val="16E44443"/>
    <w:rsid w:val="16E82A20"/>
    <w:rsid w:val="171E4693"/>
    <w:rsid w:val="17716EB9"/>
    <w:rsid w:val="17761FD6"/>
    <w:rsid w:val="17B1375A"/>
    <w:rsid w:val="17EA6114"/>
    <w:rsid w:val="1801394C"/>
    <w:rsid w:val="1803642D"/>
    <w:rsid w:val="180C6BE2"/>
    <w:rsid w:val="181470E8"/>
    <w:rsid w:val="18674E76"/>
    <w:rsid w:val="188E0F34"/>
    <w:rsid w:val="18B2778A"/>
    <w:rsid w:val="18D14895"/>
    <w:rsid w:val="18D21BDA"/>
    <w:rsid w:val="18EA6F23"/>
    <w:rsid w:val="18F338FE"/>
    <w:rsid w:val="19045B0B"/>
    <w:rsid w:val="19351C0F"/>
    <w:rsid w:val="195E521C"/>
    <w:rsid w:val="197763A3"/>
    <w:rsid w:val="19AE20A4"/>
    <w:rsid w:val="19F908EC"/>
    <w:rsid w:val="1A057D8D"/>
    <w:rsid w:val="1A147FD0"/>
    <w:rsid w:val="1A673EA4"/>
    <w:rsid w:val="1A8962C8"/>
    <w:rsid w:val="1ACE590F"/>
    <w:rsid w:val="1AED6CFA"/>
    <w:rsid w:val="1B096B66"/>
    <w:rsid w:val="1B634D6B"/>
    <w:rsid w:val="1B724FAE"/>
    <w:rsid w:val="1BA333BA"/>
    <w:rsid w:val="1BC17CE4"/>
    <w:rsid w:val="1C13053F"/>
    <w:rsid w:val="1C1B5646"/>
    <w:rsid w:val="1C8A1B6B"/>
    <w:rsid w:val="1C8C20A0"/>
    <w:rsid w:val="1CA943A7"/>
    <w:rsid w:val="1CC42AA3"/>
    <w:rsid w:val="1CDD6249"/>
    <w:rsid w:val="1CDE6598"/>
    <w:rsid w:val="1D3544E5"/>
    <w:rsid w:val="1D672B20"/>
    <w:rsid w:val="1D7A78C9"/>
    <w:rsid w:val="1DDE692B"/>
    <w:rsid w:val="1DE57CB9"/>
    <w:rsid w:val="1DF5681A"/>
    <w:rsid w:val="1E197963"/>
    <w:rsid w:val="1E6547A8"/>
    <w:rsid w:val="1E74085F"/>
    <w:rsid w:val="1EB15A4A"/>
    <w:rsid w:val="1EB821B8"/>
    <w:rsid w:val="1ECF44C6"/>
    <w:rsid w:val="1EFB52BB"/>
    <w:rsid w:val="1F187E58"/>
    <w:rsid w:val="1F6D61B8"/>
    <w:rsid w:val="1F9A0F77"/>
    <w:rsid w:val="1FDF6804"/>
    <w:rsid w:val="1FDF698A"/>
    <w:rsid w:val="1FE50F99"/>
    <w:rsid w:val="20AC4ABE"/>
    <w:rsid w:val="210245BC"/>
    <w:rsid w:val="210556E9"/>
    <w:rsid w:val="21472A39"/>
    <w:rsid w:val="215E798D"/>
    <w:rsid w:val="218E2416"/>
    <w:rsid w:val="220C4FF4"/>
    <w:rsid w:val="220D3C83"/>
    <w:rsid w:val="22123047"/>
    <w:rsid w:val="22162B37"/>
    <w:rsid w:val="22576CAC"/>
    <w:rsid w:val="2279613D"/>
    <w:rsid w:val="22B1460E"/>
    <w:rsid w:val="22DD56EF"/>
    <w:rsid w:val="22FB7F7F"/>
    <w:rsid w:val="234B6F64"/>
    <w:rsid w:val="237A14D9"/>
    <w:rsid w:val="238202B4"/>
    <w:rsid w:val="23BF2D5B"/>
    <w:rsid w:val="24194B61"/>
    <w:rsid w:val="244A6AC8"/>
    <w:rsid w:val="246208D0"/>
    <w:rsid w:val="247955FF"/>
    <w:rsid w:val="24855D52"/>
    <w:rsid w:val="24861ACA"/>
    <w:rsid w:val="25302162"/>
    <w:rsid w:val="25494FD2"/>
    <w:rsid w:val="254C2D6B"/>
    <w:rsid w:val="257057DB"/>
    <w:rsid w:val="25A813ED"/>
    <w:rsid w:val="25F86F95"/>
    <w:rsid w:val="26320B1E"/>
    <w:rsid w:val="264C7EB3"/>
    <w:rsid w:val="266752F7"/>
    <w:rsid w:val="269404CF"/>
    <w:rsid w:val="26E52AD8"/>
    <w:rsid w:val="2751016E"/>
    <w:rsid w:val="278542BB"/>
    <w:rsid w:val="279A1B15"/>
    <w:rsid w:val="27B11B79"/>
    <w:rsid w:val="27B3047E"/>
    <w:rsid w:val="27C22E19"/>
    <w:rsid w:val="27F60D15"/>
    <w:rsid w:val="281573ED"/>
    <w:rsid w:val="28836A4D"/>
    <w:rsid w:val="28910F15"/>
    <w:rsid w:val="28F2772E"/>
    <w:rsid w:val="28F62A31"/>
    <w:rsid w:val="28FB2A87"/>
    <w:rsid w:val="29046240"/>
    <w:rsid w:val="29086F52"/>
    <w:rsid w:val="296543A4"/>
    <w:rsid w:val="296B0B1B"/>
    <w:rsid w:val="29912711"/>
    <w:rsid w:val="29AB09BE"/>
    <w:rsid w:val="29C9048F"/>
    <w:rsid w:val="29D84B76"/>
    <w:rsid w:val="29DF5F05"/>
    <w:rsid w:val="29E03A2B"/>
    <w:rsid w:val="2A30050E"/>
    <w:rsid w:val="2A447B8C"/>
    <w:rsid w:val="2A762F7B"/>
    <w:rsid w:val="2A9D36CA"/>
    <w:rsid w:val="2AAD7DB1"/>
    <w:rsid w:val="2B073965"/>
    <w:rsid w:val="2B1A6779"/>
    <w:rsid w:val="2B4D50F0"/>
    <w:rsid w:val="2B783AE7"/>
    <w:rsid w:val="2BD355F5"/>
    <w:rsid w:val="2C027C88"/>
    <w:rsid w:val="2C2E0A7D"/>
    <w:rsid w:val="2C31056E"/>
    <w:rsid w:val="2C332538"/>
    <w:rsid w:val="2C9D5C03"/>
    <w:rsid w:val="2CAE1BBE"/>
    <w:rsid w:val="2D3E2F42"/>
    <w:rsid w:val="2D533D70"/>
    <w:rsid w:val="2D870D8D"/>
    <w:rsid w:val="2DA97277"/>
    <w:rsid w:val="2DC0703A"/>
    <w:rsid w:val="2DDD6BFF"/>
    <w:rsid w:val="2DE52846"/>
    <w:rsid w:val="2E3A43D9"/>
    <w:rsid w:val="2E7D5CEC"/>
    <w:rsid w:val="2EBB6CEE"/>
    <w:rsid w:val="2ECE479A"/>
    <w:rsid w:val="2ED26038"/>
    <w:rsid w:val="2ED56B81"/>
    <w:rsid w:val="2EE713B8"/>
    <w:rsid w:val="2EFF4953"/>
    <w:rsid w:val="2F2F348A"/>
    <w:rsid w:val="2F662A91"/>
    <w:rsid w:val="2F8337D6"/>
    <w:rsid w:val="2F8E14F4"/>
    <w:rsid w:val="2FA516CA"/>
    <w:rsid w:val="2FBA5CED"/>
    <w:rsid w:val="2FCF2577"/>
    <w:rsid w:val="30606DF6"/>
    <w:rsid w:val="30B163E1"/>
    <w:rsid w:val="30C145B6"/>
    <w:rsid w:val="30CB0F91"/>
    <w:rsid w:val="310F28E7"/>
    <w:rsid w:val="3131376D"/>
    <w:rsid w:val="31815AF3"/>
    <w:rsid w:val="31D35354"/>
    <w:rsid w:val="32553784"/>
    <w:rsid w:val="328F7419"/>
    <w:rsid w:val="329F0927"/>
    <w:rsid w:val="32BD2B5B"/>
    <w:rsid w:val="334F1E73"/>
    <w:rsid w:val="33576D52"/>
    <w:rsid w:val="335C02D0"/>
    <w:rsid w:val="338719E6"/>
    <w:rsid w:val="338813BB"/>
    <w:rsid w:val="33890C8F"/>
    <w:rsid w:val="3392421C"/>
    <w:rsid w:val="33C148CD"/>
    <w:rsid w:val="33F95E15"/>
    <w:rsid w:val="34230BB9"/>
    <w:rsid w:val="346E6803"/>
    <w:rsid w:val="347C0868"/>
    <w:rsid w:val="34AE1F52"/>
    <w:rsid w:val="34C85348"/>
    <w:rsid w:val="34F14D3E"/>
    <w:rsid w:val="350D31D1"/>
    <w:rsid w:val="35111608"/>
    <w:rsid w:val="35165A48"/>
    <w:rsid w:val="35411821"/>
    <w:rsid w:val="35454CD0"/>
    <w:rsid w:val="35E12182"/>
    <w:rsid w:val="35F40F8A"/>
    <w:rsid w:val="3633728A"/>
    <w:rsid w:val="365437D6"/>
    <w:rsid w:val="36666714"/>
    <w:rsid w:val="36C03B71"/>
    <w:rsid w:val="36C245C9"/>
    <w:rsid w:val="36E83F1F"/>
    <w:rsid w:val="36FB1EA4"/>
    <w:rsid w:val="37060F75"/>
    <w:rsid w:val="37307DA0"/>
    <w:rsid w:val="376938D6"/>
    <w:rsid w:val="376E08C8"/>
    <w:rsid w:val="37BE184F"/>
    <w:rsid w:val="37CB5D1A"/>
    <w:rsid w:val="37D60C3C"/>
    <w:rsid w:val="37ED7A3F"/>
    <w:rsid w:val="382E5A0E"/>
    <w:rsid w:val="386D6659"/>
    <w:rsid w:val="387719FE"/>
    <w:rsid w:val="38AC78FA"/>
    <w:rsid w:val="38AF06DE"/>
    <w:rsid w:val="38E36ACF"/>
    <w:rsid w:val="38F4304F"/>
    <w:rsid w:val="390F0F9B"/>
    <w:rsid w:val="39E54227"/>
    <w:rsid w:val="39E906DA"/>
    <w:rsid w:val="3A1931B5"/>
    <w:rsid w:val="3A591F05"/>
    <w:rsid w:val="3A9E14C4"/>
    <w:rsid w:val="3B09606F"/>
    <w:rsid w:val="3BD15712"/>
    <w:rsid w:val="3BED5C1E"/>
    <w:rsid w:val="3C371BD0"/>
    <w:rsid w:val="3C3C2D43"/>
    <w:rsid w:val="3C4C175A"/>
    <w:rsid w:val="3CAD335E"/>
    <w:rsid w:val="3CB268F5"/>
    <w:rsid w:val="3CC00846"/>
    <w:rsid w:val="3D3E1B8A"/>
    <w:rsid w:val="3DE2791A"/>
    <w:rsid w:val="3E10092B"/>
    <w:rsid w:val="3E187262"/>
    <w:rsid w:val="3E1D4DF6"/>
    <w:rsid w:val="3E5D780B"/>
    <w:rsid w:val="3E69030B"/>
    <w:rsid w:val="3E9055C8"/>
    <w:rsid w:val="3EC05384"/>
    <w:rsid w:val="3EC6288C"/>
    <w:rsid w:val="3EDB6F76"/>
    <w:rsid w:val="3EF2616B"/>
    <w:rsid w:val="3F261A88"/>
    <w:rsid w:val="3F3917BB"/>
    <w:rsid w:val="3F8E1B07"/>
    <w:rsid w:val="3FC5548A"/>
    <w:rsid w:val="3FCC0881"/>
    <w:rsid w:val="40384169"/>
    <w:rsid w:val="40C41559"/>
    <w:rsid w:val="40EF3CF2"/>
    <w:rsid w:val="40F60FDA"/>
    <w:rsid w:val="410331DD"/>
    <w:rsid w:val="410F7001"/>
    <w:rsid w:val="41562AF9"/>
    <w:rsid w:val="4182744A"/>
    <w:rsid w:val="41831BE9"/>
    <w:rsid w:val="418A0239"/>
    <w:rsid w:val="41A9618C"/>
    <w:rsid w:val="421B2250"/>
    <w:rsid w:val="42223679"/>
    <w:rsid w:val="423821FE"/>
    <w:rsid w:val="42902BF5"/>
    <w:rsid w:val="42C83582"/>
    <w:rsid w:val="43240C13"/>
    <w:rsid w:val="4326474D"/>
    <w:rsid w:val="43362BE2"/>
    <w:rsid w:val="433D6C2E"/>
    <w:rsid w:val="43AC644B"/>
    <w:rsid w:val="43B125F1"/>
    <w:rsid w:val="43B21B3C"/>
    <w:rsid w:val="43FE5297"/>
    <w:rsid w:val="44226CC2"/>
    <w:rsid w:val="44446C38"/>
    <w:rsid w:val="446A2417"/>
    <w:rsid w:val="4493196E"/>
    <w:rsid w:val="449A358B"/>
    <w:rsid w:val="44B84003"/>
    <w:rsid w:val="44DC3315"/>
    <w:rsid w:val="4515798A"/>
    <w:rsid w:val="45370E34"/>
    <w:rsid w:val="453C2005"/>
    <w:rsid w:val="45BB5620"/>
    <w:rsid w:val="45D93CF8"/>
    <w:rsid w:val="45E32481"/>
    <w:rsid w:val="45F14BBF"/>
    <w:rsid w:val="46566C23"/>
    <w:rsid w:val="466B0880"/>
    <w:rsid w:val="46960E37"/>
    <w:rsid w:val="46C01A18"/>
    <w:rsid w:val="470B1C8F"/>
    <w:rsid w:val="4720279C"/>
    <w:rsid w:val="47282841"/>
    <w:rsid w:val="47CB7671"/>
    <w:rsid w:val="47E137D2"/>
    <w:rsid w:val="47EF335F"/>
    <w:rsid w:val="47F210A1"/>
    <w:rsid w:val="482B44CE"/>
    <w:rsid w:val="489108BA"/>
    <w:rsid w:val="48967511"/>
    <w:rsid w:val="489C1804"/>
    <w:rsid w:val="48A26623"/>
    <w:rsid w:val="48DB4CE7"/>
    <w:rsid w:val="490D166E"/>
    <w:rsid w:val="49465502"/>
    <w:rsid w:val="49CF2D7C"/>
    <w:rsid w:val="4A0B01F8"/>
    <w:rsid w:val="4A26658A"/>
    <w:rsid w:val="4A3E5330"/>
    <w:rsid w:val="4A437992"/>
    <w:rsid w:val="4AB67A78"/>
    <w:rsid w:val="4AE4077C"/>
    <w:rsid w:val="4B0507B2"/>
    <w:rsid w:val="4B1038ED"/>
    <w:rsid w:val="4B1650A7"/>
    <w:rsid w:val="4B3D6AD7"/>
    <w:rsid w:val="4B3F63AB"/>
    <w:rsid w:val="4B6202EC"/>
    <w:rsid w:val="4B681B5C"/>
    <w:rsid w:val="4B7D2B47"/>
    <w:rsid w:val="4B9F6A86"/>
    <w:rsid w:val="4BA12252"/>
    <w:rsid w:val="4BAF1783"/>
    <w:rsid w:val="4BD77F4E"/>
    <w:rsid w:val="4BD8790F"/>
    <w:rsid w:val="4BD94BA3"/>
    <w:rsid w:val="4C251683"/>
    <w:rsid w:val="4C39104D"/>
    <w:rsid w:val="4C397DE0"/>
    <w:rsid w:val="4C454FFD"/>
    <w:rsid w:val="4C502C79"/>
    <w:rsid w:val="4C6065D9"/>
    <w:rsid w:val="4CFC5D7C"/>
    <w:rsid w:val="4D197E75"/>
    <w:rsid w:val="4D850884"/>
    <w:rsid w:val="4DFC4629"/>
    <w:rsid w:val="4E2F6C3C"/>
    <w:rsid w:val="4E6B160F"/>
    <w:rsid w:val="4EDB1D86"/>
    <w:rsid w:val="4F195165"/>
    <w:rsid w:val="4F1D6A04"/>
    <w:rsid w:val="4F231B40"/>
    <w:rsid w:val="4F6E1B70"/>
    <w:rsid w:val="50463D38"/>
    <w:rsid w:val="5062520D"/>
    <w:rsid w:val="50666188"/>
    <w:rsid w:val="50AE65DF"/>
    <w:rsid w:val="51085492"/>
    <w:rsid w:val="513B13C3"/>
    <w:rsid w:val="513E6A3B"/>
    <w:rsid w:val="514F4E6E"/>
    <w:rsid w:val="520F2308"/>
    <w:rsid w:val="521945B5"/>
    <w:rsid w:val="52320A18"/>
    <w:rsid w:val="52737CA0"/>
    <w:rsid w:val="528A50D4"/>
    <w:rsid w:val="52B1277B"/>
    <w:rsid w:val="52B256B5"/>
    <w:rsid w:val="530670F8"/>
    <w:rsid w:val="531632E2"/>
    <w:rsid w:val="531C0D27"/>
    <w:rsid w:val="532D4459"/>
    <w:rsid w:val="53424C8B"/>
    <w:rsid w:val="53D22C9D"/>
    <w:rsid w:val="53EC7A91"/>
    <w:rsid w:val="53ED432E"/>
    <w:rsid w:val="54683E07"/>
    <w:rsid w:val="546F5EAC"/>
    <w:rsid w:val="548E13E0"/>
    <w:rsid w:val="54966540"/>
    <w:rsid w:val="549A6402"/>
    <w:rsid w:val="54CC5154"/>
    <w:rsid w:val="54DA0EF3"/>
    <w:rsid w:val="54DC2EBD"/>
    <w:rsid w:val="54E52425"/>
    <w:rsid w:val="550F6DEF"/>
    <w:rsid w:val="55344881"/>
    <w:rsid w:val="555667CB"/>
    <w:rsid w:val="557C53B8"/>
    <w:rsid w:val="558D41B7"/>
    <w:rsid w:val="55926906"/>
    <w:rsid w:val="56091A90"/>
    <w:rsid w:val="561B1F20"/>
    <w:rsid w:val="5652634F"/>
    <w:rsid w:val="56EB523E"/>
    <w:rsid w:val="571A1A7B"/>
    <w:rsid w:val="573F2DAE"/>
    <w:rsid w:val="579932E7"/>
    <w:rsid w:val="579E26AC"/>
    <w:rsid w:val="57AD38D0"/>
    <w:rsid w:val="57B41ECF"/>
    <w:rsid w:val="57D067F5"/>
    <w:rsid w:val="57E9601D"/>
    <w:rsid w:val="58207E09"/>
    <w:rsid w:val="58254B7B"/>
    <w:rsid w:val="58296419"/>
    <w:rsid w:val="58463AF5"/>
    <w:rsid w:val="587B772C"/>
    <w:rsid w:val="58823D7B"/>
    <w:rsid w:val="58910B6D"/>
    <w:rsid w:val="58B33F35"/>
    <w:rsid w:val="58D2274B"/>
    <w:rsid w:val="58D26AB1"/>
    <w:rsid w:val="58EF7663"/>
    <w:rsid w:val="59142C25"/>
    <w:rsid w:val="591744C4"/>
    <w:rsid w:val="594E2E39"/>
    <w:rsid w:val="5A027E85"/>
    <w:rsid w:val="5A0507C0"/>
    <w:rsid w:val="5A0E1D6B"/>
    <w:rsid w:val="5A3410A5"/>
    <w:rsid w:val="5A3612C1"/>
    <w:rsid w:val="5A5625A2"/>
    <w:rsid w:val="5A6C1D39"/>
    <w:rsid w:val="5B0F4685"/>
    <w:rsid w:val="5B1909C7"/>
    <w:rsid w:val="5B264E92"/>
    <w:rsid w:val="5B4C16AB"/>
    <w:rsid w:val="5BBB382C"/>
    <w:rsid w:val="5C076A71"/>
    <w:rsid w:val="5C083578"/>
    <w:rsid w:val="5C28672B"/>
    <w:rsid w:val="5C5D0D87"/>
    <w:rsid w:val="5C763BF7"/>
    <w:rsid w:val="5C86505B"/>
    <w:rsid w:val="5CB12E81"/>
    <w:rsid w:val="5D045A0D"/>
    <w:rsid w:val="5D0C00B7"/>
    <w:rsid w:val="5D2C3FDA"/>
    <w:rsid w:val="5D635F29"/>
    <w:rsid w:val="5DC0337C"/>
    <w:rsid w:val="5DCA7286"/>
    <w:rsid w:val="5DF94AE0"/>
    <w:rsid w:val="5DFF22CF"/>
    <w:rsid w:val="5E0341A0"/>
    <w:rsid w:val="5E437B09"/>
    <w:rsid w:val="5E624433"/>
    <w:rsid w:val="5EA0080C"/>
    <w:rsid w:val="5EA04F5B"/>
    <w:rsid w:val="5EA36E98"/>
    <w:rsid w:val="5EAE0379"/>
    <w:rsid w:val="5EC42F0A"/>
    <w:rsid w:val="5EFB33AB"/>
    <w:rsid w:val="5F1C5531"/>
    <w:rsid w:val="5F2E02B8"/>
    <w:rsid w:val="5F622211"/>
    <w:rsid w:val="5F7B30C5"/>
    <w:rsid w:val="5F922FF3"/>
    <w:rsid w:val="5F930E29"/>
    <w:rsid w:val="5FA133F4"/>
    <w:rsid w:val="5FD24E48"/>
    <w:rsid w:val="602A0F80"/>
    <w:rsid w:val="60535DA2"/>
    <w:rsid w:val="606647BC"/>
    <w:rsid w:val="607F30B9"/>
    <w:rsid w:val="60883EF9"/>
    <w:rsid w:val="608A1A1F"/>
    <w:rsid w:val="608E4DD3"/>
    <w:rsid w:val="609C4A28"/>
    <w:rsid w:val="60AF1486"/>
    <w:rsid w:val="60E21CAF"/>
    <w:rsid w:val="60E317F8"/>
    <w:rsid w:val="60E337D7"/>
    <w:rsid w:val="60F1387B"/>
    <w:rsid w:val="616218C1"/>
    <w:rsid w:val="616E7593"/>
    <w:rsid w:val="6186668A"/>
    <w:rsid w:val="61E70206"/>
    <w:rsid w:val="6223037D"/>
    <w:rsid w:val="62500A46"/>
    <w:rsid w:val="6267026A"/>
    <w:rsid w:val="62730367"/>
    <w:rsid w:val="627921AF"/>
    <w:rsid w:val="62854AC2"/>
    <w:rsid w:val="62B611F1"/>
    <w:rsid w:val="630F26B0"/>
    <w:rsid w:val="632B5DF3"/>
    <w:rsid w:val="632E0D88"/>
    <w:rsid w:val="633A15F8"/>
    <w:rsid w:val="634703D9"/>
    <w:rsid w:val="639A641D"/>
    <w:rsid w:val="63AD6150"/>
    <w:rsid w:val="63E1229E"/>
    <w:rsid w:val="642F125B"/>
    <w:rsid w:val="643A375C"/>
    <w:rsid w:val="643E2B2A"/>
    <w:rsid w:val="64625557"/>
    <w:rsid w:val="646F78AA"/>
    <w:rsid w:val="648844C8"/>
    <w:rsid w:val="64AC465A"/>
    <w:rsid w:val="64DB4D1F"/>
    <w:rsid w:val="65167D25"/>
    <w:rsid w:val="652F13D7"/>
    <w:rsid w:val="655E50B2"/>
    <w:rsid w:val="6560705A"/>
    <w:rsid w:val="65885B60"/>
    <w:rsid w:val="65C46CD4"/>
    <w:rsid w:val="66432D9C"/>
    <w:rsid w:val="667440E1"/>
    <w:rsid w:val="667F4902"/>
    <w:rsid w:val="66811B16"/>
    <w:rsid w:val="66CE6F6C"/>
    <w:rsid w:val="66F97A20"/>
    <w:rsid w:val="673E3563"/>
    <w:rsid w:val="674A63AC"/>
    <w:rsid w:val="67564D51"/>
    <w:rsid w:val="675B331F"/>
    <w:rsid w:val="67696832"/>
    <w:rsid w:val="67801DCE"/>
    <w:rsid w:val="67A535E2"/>
    <w:rsid w:val="67B4544C"/>
    <w:rsid w:val="67B57F8C"/>
    <w:rsid w:val="67F24A7A"/>
    <w:rsid w:val="68024591"/>
    <w:rsid w:val="68111941"/>
    <w:rsid w:val="68130BFB"/>
    <w:rsid w:val="68153AD4"/>
    <w:rsid w:val="6918360E"/>
    <w:rsid w:val="69280027"/>
    <w:rsid w:val="69412A5F"/>
    <w:rsid w:val="695C6851"/>
    <w:rsid w:val="697D0373"/>
    <w:rsid w:val="69997176"/>
    <w:rsid w:val="69C67F6C"/>
    <w:rsid w:val="6A462E5B"/>
    <w:rsid w:val="6A5C267E"/>
    <w:rsid w:val="6A723C50"/>
    <w:rsid w:val="6A8419D3"/>
    <w:rsid w:val="6B030553"/>
    <w:rsid w:val="6B243E46"/>
    <w:rsid w:val="6B3E603E"/>
    <w:rsid w:val="6B401DAB"/>
    <w:rsid w:val="6B5C220A"/>
    <w:rsid w:val="6B882FFF"/>
    <w:rsid w:val="6BAA48FE"/>
    <w:rsid w:val="6C07486C"/>
    <w:rsid w:val="6C0F078D"/>
    <w:rsid w:val="6C1C7AD4"/>
    <w:rsid w:val="6C2E3BA6"/>
    <w:rsid w:val="6C6E10F7"/>
    <w:rsid w:val="6C7F4402"/>
    <w:rsid w:val="6C8B062F"/>
    <w:rsid w:val="6CA34594"/>
    <w:rsid w:val="6CC02FF2"/>
    <w:rsid w:val="6D142D9C"/>
    <w:rsid w:val="6D3C22F3"/>
    <w:rsid w:val="6DA8623D"/>
    <w:rsid w:val="6DE252C6"/>
    <w:rsid w:val="6DF4709F"/>
    <w:rsid w:val="6E6B7334"/>
    <w:rsid w:val="6E7C61EC"/>
    <w:rsid w:val="6EFC1D3A"/>
    <w:rsid w:val="6F094457"/>
    <w:rsid w:val="6F3A4D84"/>
    <w:rsid w:val="6F616041"/>
    <w:rsid w:val="6F8A5233"/>
    <w:rsid w:val="6F8F7052"/>
    <w:rsid w:val="6FE17402"/>
    <w:rsid w:val="6FE374F9"/>
    <w:rsid w:val="701B7472"/>
    <w:rsid w:val="705D2CAC"/>
    <w:rsid w:val="70730722"/>
    <w:rsid w:val="70BF5715"/>
    <w:rsid w:val="70FE448F"/>
    <w:rsid w:val="71144DD0"/>
    <w:rsid w:val="711C4915"/>
    <w:rsid w:val="71423286"/>
    <w:rsid w:val="71AF50EB"/>
    <w:rsid w:val="71C24728"/>
    <w:rsid w:val="71C50B09"/>
    <w:rsid w:val="71DC69CC"/>
    <w:rsid w:val="720430D3"/>
    <w:rsid w:val="723D4415"/>
    <w:rsid w:val="72646574"/>
    <w:rsid w:val="726C5429"/>
    <w:rsid w:val="727F3F07"/>
    <w:rsid w:val="729F6B7B"/>
    <w:rsid w:val="72BF19FC"/>
    <w:rsid w:val="72D24974"/>
    <w:rsid w:val="72E17BC5"/>
    <w:rsid w:val="73117D7E"/>
    <w:rsid w:val="73682359"/>
    <w:rsid w:val="7386251A"/>
    <w:rsid w:val="73A66718"/>
    <w:rsid w:val="73AA595A"/>
    <w:rsid w:val="73BC418E"/>
    <w:rsid w:val="73E37359"/>
    <w:rsid w:val="73E536E4"/>
    <w:rsid w:val="73E65A38"/>
    <w:rsid w:val="741B7106"/>
    <w:rsid w:val="747D56CB"/>
    <w:rsid w:val="74D55507"/>
    <w:rsid w:val="74F369D7"/>
    <w:rsid w:val="75041948"/>
    <w:rsid w:val="750B0F29"/>
    <w:rsid w:val="751678CE"/>
    <w:rsid w:val="75504B8E"/>
    <w:rsid w:val="758E5BD6"/>
    <w:rsid w:val="75984ABB"/>
    <w:rsid w:val="766905FD"/>
    <w:rsid w:val="76751429"/>
    <w:rsid w:val="769D02A6"/>
    <w:rsid w:val="76A77DA7"/>
    <w:rsid w:val="76BB697E"/>
    <w:rsid w:val="770F2826"/>
    <w:rsid w:val="77237FC1"/>
    <w:rsid w:val="775D0539"/>
    <w:rsid w:val="777032C5"/>
    <w:rsid w:val="77CD6969"/>
    <w:rsid w:val="77DA4BE2"/>
    <w:rsid w:val="77E008D0"/>
    <w:rsid w:val="77E67240"/>
    <w:rsid w:val="78454752"/>
    <w:rsid w:val="78564BB1"/>
    <w:rsid w:val="785E5813"/>
    <w:rsid w:val="788259A6"/>
    <w:rsid w:val="78886D34"/>
    <w:rsid w:val="78A31478"/>
    <w:rsid w:val="78A430F2"/>
    <w:rsid w:val="78D36201"/>
    <w:rsid w:val="78D578AA"/>
    <w:rsid w:val="7919798C"/>
    <w:rsid w:val="79404F19"/>
    <w:rsid w:val="79525D3E"/>
    <w:rsid w:val="79905EA0"/>
    <w:rsid w:val="79B14FDF"/>
    <w:rsid w:val="7A1268B5"/>
    <w:rsid w:val="7A1B7E60"/>
    <w:rsid w:val="7A1F0FD2"/>
    <w:rsid w:val="7A98380D"/>
    <w:rsid w:val="7AB4796D"/>
    <w:rsid w:val="7AE81BDA"/>
    <w:rsid w:val="7B2B6AE3"/>
    <w:rsid w:val="7B645C8E"/>
    <w:rsid w:val="7B762E74"/>
    <w:rsid w:val="7B7F4658"/>
    <w:rsid w:val="7B8A35A6"/>
    <w:rsid w:val="7B917CAE"/>
    <w:rsid w:val="7B9D2CB3"/>
    <w:rsid w:val="7BB004C2"/>
    <w:rsid w:val="7BC260B9"/>
    <w:rsid w:val="7BC57958"/>
    <w:rsid w:val="7BC73F39"/>
    <w:rsid w:val="7C243549"/>
    <w:rsid w:val="7C411E21"/>
    <w:rsid w:val="7C72025F"/>
    <w:rsid w:val="7C975798"/>
    <w:rsid w:val="7CB43C54"/>
    <w:rsid w:val="7CC16371"/>
    <w:rsid w:val="7CF87F76"/>
    <w:rsid w:val="7D052701"/>
    <w:rsid w:val="7D717D97"/>
    <w:rsid w:val="7D871368"/>
    <w:rsid w:val="7DD4547A"/>
    <w:rsid w:val="7DD50326"/>
    <w:rsid w:val="7DD67DA5"/>
    <w:rsid w:val="7DE47E14"/>
    <w:rsid w:val="7DE67D76"/>
    <w:rsid w:val="7E0E4DB8"/>
    <w:rsid w:val="7E300895"/>
    <w:rsid w:val="7E611BB9"/>
    <w:rsid w:val="7E6C6D44"/>
    <w:rsid w:val="7EC51B0B"/>
    <w:rsid w:val="7EFF324E"/>
    <w:rsid w:val="7F030EC3"/>
    <w:rsid w:val="7F4D213E"/>
    <w:rsid w:val="7FB53140"/>
    <w:rsid w:val="7FDD796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qFormat="1" w:unhideWhenUsed="0" w:uiPriority="99"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99"/>
    <w:pPr>
      <w:keepNext/>
      <w:keepLines/>
      <w:spacing w:before="260" w:after="260" w:line="415" w:lineRule="auto"/>
      <w:outlineLvl w:val="1"/>
    </w:pPr>
    <w:rPr>
      <w:rFonts w:ascii="Cambria" w:hAnsi="Cambria" w:cs="Cambria"/>
      <w:b/>
      <w:bCs/>
      <w:sz w:val="32"/>
      <w:szCs w:val="32"/>
    </w:rPr>
  </w:style>
  <w:style w:type="paragraph" w:styleId="4">
    <w:name w:val="heading 3"/>
    <w:basedOn w:val="1"/>
    <w:next w:val="1"/>
    <w:link w:val="36"/>
    <w:qFormat/>
    <w:uiPriority w:val="99"/>
    <w:pPr>
      <w:widowControl/>
      <w:spacing w:before="100" w:beforeAutospacing="1" w:after="100" w:afterAutospacing="1"/>
      <w:jc w:val="left"/>
      <w:outlineLvl w:val="2"/>
    </w:pPr>
    <w:rPr>
      <w:rFonts w:ascii="宋体" w:cs="宋体"/>
      <w:b/>
      <w:bCs/>
      <w:kern w:val="0"/>
      <w:sz w:val="27"/>
      <w:szCs w:val="27"/>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adjustRightInd w:val="0"/>
      <w:spacing w:line="360" w:lineRule="atLeast"/>
      <w:ind w:firstLine="482"/>
      <w:textAlignment w:val="baseline"/>
    </w:pPr>
    <w:rPr>
      <w:kern w:val="0"/>
      <w:sz w:val="24"/>
      <w:szCs w:val="24"/>
    </w:rPr>
  </w:style>
  <w:style w:type="paragraph" w:styleId="6">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7">
    <w:name w:val="annotation text"/>
    <w:basedOn w:val="1"/>
    <w:link w:val="37"/>
    <w:semiHidden/>
    <w:qFormat/>
    <w:uiPriority w:val="99"/>
    <w:pPr>
      <w:jc w:val="left"/>
    </w:pPr>
  </w:style>
  <w:style w:type="paragraph" w:styleId="8">
    <w:name w:val="Body Text"/>
    <w:basedOn w:val="1"/>
    <w:next w:val="1"/>
    <w:link w:val="64"/>
    <w:unhideWhenUsed/>
    <w:qFormat/>
    <w:uiPriority w:val="99"/>
    <w:pPr>
      <w:spacing w:after="120"/>
    </w:pPr>
  </w:style>
  <w:style w:type="paragraph" w:styleId="9">
    <w:name w:val="Body Text Indent"/>
    <w:basedOn w:val="1"/>
    <w:link w:val="39"/>
    <w:qFormat/>
    <w:uiPriority w:val="99"/>
    <w:pPr>
      <w:spacing w:after="120"/>
      <w:ind w:left="200" w:leftChars="200"/>
    </w:pPr>
  </w:style>
  <w:style w:type="paragraph" w:styleId="10">
    <w:name w:val="Plain Text"/>
    <w:basedOn w:val="1"/>
    <w:link w:val="40"/>
    <w:qFormat/>
    <w:uiPriority w:val="0"/>
    <w:pPr>
      <w:widowControl/>
      <w:jc w:val="left"/>
    </w:pPr>
    <w:rPr>
      <w:rFonts w:ascii="宋体" w:cs="宋体"/>
      <w:kern w:val="0"/>
    </w:rPr>
  </w:style>
  <w:style w:type="paragraph" w:styleId="11">
    <w:name w:val="Date"/>
    <w:basedOn w:val="1"/>
    <w:next w:val="1"/>
    <w:link w:val="41"/>
    <w:qFormat/>
    <w:uiPriority w:val="99"/>
    <w:rPr>
      <w:rFonts w:ascii="宋体" w:cs="宋体"/>
      <w:sz w:val="24"/>
      <w:szCs w:val="24"/>
    </w:rPr>
  </w:style>
  <w:style w:type="paragraph" w:styleId="12">
    <w:name w:val="Balloon Text"/>
    <w:basedOn w:val="1"/>
    <w:link w:val="42"/>
    <w:semiHidden/>
    <w:qFormat/>
    <w:uiPriority w:val="99"/>
    <w:rPr>
      <w:sz w:val="18"/>
      <w:szCs w:val="18"/>
    </w:rPr>
  </w:style>
  <w:style w:type="paragraph" w:styleId="13">
    <w:name w:val="footer"/>
    <w:basedOn w:val="1"/>
    <w:link w:val="43"/>
    <w:qFormat/>
    <w:uiPriority w:val="99"/>
    <w:pPr>
      <w:tabs>
        <w:tab w:val="center" w:pos="4153"/>
        <w:tab w:val="right" w:pos="8306"/>
      </w:tabs>
      <w:snapToGrid w:val="0"/>
      <w:jc w:val="left"/>
    </w:pPr>
    <w:rPr>
      <w:sz w:val="18"/>
      <w:szCs w:val="18"/>
    </w:rPr>
  </w:style>
  <w:style w:type="paragraph" w:styleId="14">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62"/>
    <w:qFormat/>
    <w:locked/>
    <w:uiPriority w:val="0"/>
    <w:pPr>
      <w:adjustRightInd w:val="0"/>
      <w:snapToGrid w:val="0"/>
      <w:spacing w:line="360" w:lineRule="auto"/>
      <w:jc w:val="center"/>
      <w:outlineLvl w:val="0"/>
    </w:pPr>
    <w:rPr>
      <w:rFonts w:ascii="Cambria" w:hAnsi="Cambria"/>
      <w:b/>
      <w:bCs/>
      <w:kern w:val="28"/>
      <w:sz w:val="32"/>
      <w:szCs w:val="32"/>
    </w:rPr>
  </w:style>
  <w:style w:type="paragraph" w:styleId="16">
    <w:name w:val="footnote text"/>
    <w:basedOn w:val="1"/>
    <w:qFormat/>
    <w:uiPriority w:val="99"/>
    <w:pPr>
      <w:autoSpaceDE w:val="0"/>
      <w:autoSpaceDN w:val="0"/>
      <w:adjustRightInd w:val="0"/>
      <w:spacing w:line="240" w:lineRule="atLeast"/>
      <w:jc w:val="left"/>
    </w:pPr>
    <w:rPr>
      <w:kern w:val="0"/>
      <w:sz w:val="18"/>
      <w:szCs w:val="18"/>
    </w:rPr>
  </w:style>
  <w:style w:type="paragraph" w:styleId="17">
    <w:name w:val="Body Text Indent 3"/>
    <w:basedOn w:val="1"/>
    <w:link w:val="45"/>
    <w:qFormat/>
    <w:uiPriority w:val="99"/>
    <w:pPr>
      <w:spacing w:line="400" w:lineRule="exact"/>
      <w:ind w:firstLine="200" w:firstLineChars="200"/>
    </w:pPr>
    <w:rPr>
      <w:sz w:val="24"/>
      <w:szCs w:val="24"/>
    </w:rPr>
  </w:style>
  <w:style w:type="paragraph" w:styleId="18">
    <w:name w:val="Body Text 2"/>
    <w:basedOn w:val="1"/>
    <w:link w:val="46"/>
    <w:qFormat/>
    <w:uiPriority w:val="99"/>
    <w:pPr>
      <w:spacing w:after="120" w:line="480" w:lineRule="auto"/>
    </w:pPr>
  </w:style>
  <w:style w:type="paragraph" w:styleId="19">
    <w:name w:val="Normal (Web)"/>
    <w:basedOn w:val="1"/>
    <w:qFormat/>
    <w:uiPriority w:val="99"/>
    <w:pPr>
      <w:widowControl/>
      <w:spacing w:before="100" w:beforeAutospacing="1" w:after="100" w:afterAutospacing="1"/>
      <w:jc w:val="left"/>
    </w:pPr>
    <w:rPr>
      <w:rFonts w:ascii="宋体" w:cs="宋体"/>
      <w:kern w:val="0"/>
      <w:sz w:val="24"/>
      <w:szCs w:val="24"/>
    </w:rPr>
  </w:style>
  <w:style w:type="paragraph" w:styleId="20">
    <w:name w:val="annotation subject"/>
    <w:basedOn w:val="7"/>
    <w:next w:val="7"/>
    <w:link w:val="38"/>
    <w:semiHidden/>
    <w:qFormat/>
    <w:uiPriority w:val="99"/>
    <w:rPr>
      <w:b/>
      <w:bCs/>
    </w:rPr>
  </w:style>
  <w:style w:type="paragraph" w:styleId="21">
    <w:name w:val="Body Text First Indent"/>
    <w:basedOn w:val="8"/>
    <w:next w:val="1"/>
    <w:qFormat/>
    <w:uiPriority w:val="0"/>
    <w:pPr>
      <w:spacing w:line="360" w:lineRule="auto"/>
      <w:ind w:firstLine="200" w:firstLineChars="200"/>
    </w:pPr>
    <w:rPr>
      <w:rFonts w:ascii="仿宋_GB2312" w:eastAsia="仿宋_GB2312"/>
      <w:sz w:val="30"/>
      <w:szCs w:val="30"/>
    </w:rPr>
  </w:style>
  <w:style w:type="paragraph" w:styleId="22">
    <w:name w:val="Body Text First Indent 2"/>
    <w:basedOn w:val="8"/>
    <w:next w:val="5"/>
    <w:qFormat/>
    <w:uiPriority w:val="0"/>
    <w:pPr>
      <w:tabs>
        <w:tab w:val="left" w:pos="3420"/>
      </w:tabs>
      <w:ind w:firstLine="420" w:firstLineChars="200"/>
    </w:pPr>
    <w:rPr>
      <w:rFonts w:ascii="Calibri" w:hAnsi="Calibri"/>
    </w:rPr>
  </w:style>
  <w:style w:type="table" w:styleId="24">
    <w:name w:val="Table Grid"/>
    <w:basedOn w:val="23"/>
    <w:qFormat/>
    <w:uiPriority w:val="99"/>
    <w:rPr>
      <w:rFonts w:ascii="等线" w:hAnsi="等线" w:eastAsia="等线" w:cs="等线"/>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99"/>
    <w:rPr>
      <w:b/>
      <w:bCs/>
    </w:rPr>
  </w:style>
  <w:style w:type="character" w:styleId="27">
    <w:name w:val="page number"/>
    <w:basedOn w:val="25"/>
    <w:qFormat/>
    <w:uiPriority w:val="99"/>
  </w:style>
  <w:style w:type="character" w:styleId="28">
    <w:name w:val="FollowedHyperlink"/>
    <w:basedOn w:val="25"/>
    <w:qFormat/>
    <w:uiPriority w:val="99"/>
    <w:rPr>
      <w:color w:val="800080"/>
      <w:u w:val="none"/>
    </w:rPr>
  </w:style>
  <w:style w:type="character" w:styleId="29">
    <w:name w:val="Hyperlink"/>
    <w:basedOn w:val="25"/>
    <w:qFormat/>
    <w:uiPriority w:val="99"/>
    <w:rPr>
      <w:color w:val="0000FF"/>
      <w:u w:val="none"/>
    </w:rPr>
  </w:style>
  <w:style w:type="character" w:styleId="30">
    <w:name w:val="annotation reference"/>
    <w:basedOn w:val="25"/>
    <w:semiHidden/>
    <w:qFormat/>
    <w:uiPriority w:val="99"/>
    <w:rPr>
      <w:sz w:val="21"/>
      <w:szCs w:val="21"/>
    </w:rPr>
  </w:style>
  <w:style w:type="paragraph" w:customStyle="1" w:styleId="31">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paragraph" w:customStyle="1" w:styleId="32">
    <w:name w:val="四级标题"/>
    <w:basedOn w:val="11"/>
    <w:qFormat/>
    <w:uiPriority w:val="0"/>
    <w:rPr>
      <w:rFonts w:eastAsia="黑体"/>
    </w:rPr>
  </w:style>
  <w:style w:type="paragraph" w:customStyle="1" w:styleId="33">
    <w:name w:val="段"/>
    <w:next w:val="1"/>
    <w:qFormat/>
    <w:uiPriority w:val="0"/>
    <w:pPr>
      <w:ind w:firstLine="200" w:firstLineChars="200"/>
      <w:jc w:val="both"/>
    </w:pPr>
    <w:rPr>
      <w:rFonts w:ascii="Times New Roman" w:hAnsi="Times New Roman" w:eastAsia="宋体" w:cs="Times New Roman"/>
      <w:sz w:val="21"/>
      <w:szCs w:val="21"/>
      <w:lang w:val="en-US" w:eastAsia="zh-CN" w:bidi="ar-SA"/>
    </w:rPr>
  </w:style>
  <w:style w:type="character" w:customStyle="1" w:styleId="34">
    <w:name w:val="标题 1 Char"/>
    <w:basedOn w:val="25"/>
    <w:link w:val="2"/>
    <w:qFormat/>
    <w:locked/>
    <w:uiPriority w:val="0"/>
    <w:rPr>
      <w:b/>
      <w:bCs/>
      <w:kern w:val="44"/>
      <w:sz w:val="44"/>
      <w:szCs w:val="44"/>
    </w:rPr>
  </w:style>
  <w:style w:type="character" w:customStyle="1" w:styleId="35">
    <w:name w:val="标题 2 Char"/>
    <w:basedOn w:val="25"/>
    <w:link w:val="3"/>
    <w:semiHidden/>
    <w:qFormat/>
    <w:uiPriority w:val="9"/>
    <w:rPr>
      <w:rFonts w:ascii="Cambria" w:hAnsi="Cambria" w:eastAsia="宋体" w:cs="Times New Roman"/>
      <w:b/>
      <w:bCs/>
      <w:sz w:val="32"/>
      <w:szCs w:val="32"/>
    </w:rPr>
  </w:style>
  <w:style w:type="character" w:customStyle="1" w:styleId="36">
    <w:name w:val="标题 3 Char"/>
    <w:basedOn w:val="25"/>
    <w:link w:val="4"/>
    <w:semiHidden/>
    <w:qFormat/>
    <w:uiPriority w:val="9"/>
    <w:rPr>
      <w:b/>
      <w:bCs/>
      <w:sz w:val="32"/>
      <w:szCs w:val="32"/>
    </w:rPr>
  </w:style>
  <w:style w:type="character" w:customStyle="1" w:styleId="37">
    <w:name w:val="批注文字 Char"/>
    <w:basedOn w:val="25"/>
    <w:link w:val="7"/>
    <w:semiHidden/>
    <w:qFormat/>
    <w:uiPriority w:val="99"/>
    <w:rPr>
      <w:szCs w:val="21"/>
    </w:rPr>
  </w:style>
  <w:style w:type="character" w:customStyle="1" w:styleId="38">
    <w:name w:val="批注主题 Char"/>
    <w:basedOn w:val="37"/>
    <w:link w:val="20"/>
    <w:semiHidden/>
    <w:qFormat/>
    <w:uiPriority w:val="99"/>
    <w:rPr>
      <w:b/>
      <w:bCs/>
      <w:szCs w:val="21"/>
    </w:rPr>
  </w:style>
  <w:style w:type="character" w:customStyle="1" w:styleId="39">
    <w:name w:val="正文文本缩进 Char"/>
    <w:basedOn w:val="25"/>
    <w:link w:val="9"/>
    <w:semiHidden/>
    <w:qFormat/>
    <w:uiPriority w:val="99"/>
    <w:rPr>
      <w:szCs w:val="21"/>
    </w:rPr>
  </w:style>
  <w:style w:type="character" w:customStyle="1" w:styleId="40">
    <w:name w:val="纯文本 Char"/>
    <w:basedOn w:val="25"/>
    <w:link w:val="10"/>
    <w:qFormat/>
    <w:uiPriority w:val="0"/>
    <w:rPr>
      <w:rFonts w:ascii="宋体" w:hAnsi="Courier New" w:cs="Courier New"/>
      <w:szCs w:val="21"/>
    </w:rPr>
  </w:style>
  <w:style w:type="character" w:customStyle="1" w:styleId="41">
    <w:name w:val="日期 Char"/>
    <w:basedOn w:val="25"/>
    <w:link w:val="11"/>
    <w:semiHidden/>
    <w:qFormat/>
    <w:uiPriority w:val="99"/>
    <w:rPr>
      <w:szCs w:val="21"/>
    </w:rPr>
  </w:style>
  <w:style w:type="character" w:customStyle="1" w:styleId="42">
    <w:name w:val="批注框文本 Char"/>
    <w:basedOn w:val="25"/>
    <w:link w:val="12"/>
    <w:semiHidden/>
    <w:qFormat/>
    <w:uiPriority w:val="99"/>
    <w:rPr>
      <w:sz w:val="0"/>
      <w:szCs w:val="0"/>
    </w:rPr>
  </w:style>
  <w:style w:type="character" w:customStyle="1" w:styleId="43">
    <w:name w:val="页脚 Char"/>
    <w:basedOn w:val="25"/>
    <w:link w:val="13"/>
    <w:qFormat/>
    <w:locked/>
    <w:uiPriority w:val="99"/>
    <w:rPr>
      <w:kern w:val="2"/>
      <w:sz w:val="18"/>
      <w:szCs w:val="18"/>
    </w:rPr>
  </w:style>
  <w:style w:type="character" w:customStyle="1" w:styleId="44">
    <w:name w:val="页眉 Char"/>
    <w:basedOn w:val="25"/>
    <w:link w:val="14"/>
    <w:semiHidden/>
    <w:qFormat/>
    <w:uiPriority w:val="99"/>
    <w:rPr>
      <w:sz w:val="18"/>
      <w:szCs w:val="18"/>
    </w:rPr>
  </w:style>
  <w:style w:type="character" w:customStyle="1" w:styleId="45">
    <w:name w:val="正文文本缩进 3 Char"/>
    <w:basedOn w:val="25"/>
    <w:link w:val="17"/>
    <w:semiHidden/>
    <w:qFormat/>
    <w:uiPriority w:val="99"/>
    <w:rPr>
      <w:sz w:val="16"/>
      <w:szCs w:val="16"/>
    </w:rPr>
  </w:style>
  <w:style w:type="character" w:customStyle="1" w:styleId="46">
    <w:name w:val="正文文本 2 Char1"/>
    <w:basedOn w:val="25"/>
    <w:link w:val="18"/>
    <w:semiHidden/>
    <w:qFormat/>
    <w:locked/>
    <w:uiPriority w:val="99"/>
    <w:rPr>
      <w:kern w:val="2"/>
      <w:sz w:val="21"/>
      <w:szCs w:val="21"/>
    </w:rPr>
  </w:style>
  <w:style w:type="paragraph" w:customStyle="1" w:styleId="47">
    <w:name w:val="正"/>
    <w:basedOn w:val="1"/>
    <w:qFormat/>
    <w:uiPriority w:val="0"/>
    <w:pPr>
      <w:spacing w:line="360" w:lineRule="auto"/>
      <w:ind w:left="150" w:hanging="150" w:hangingChars="150"/>
    </w:pPr>
    <w:rPr>
      <w:sz w:val="24"/>
      <w:szCs w:val="24"/>
    </w:rPr>
  </w:style>
  <w:style w:type="paragraph" w:customStyle="1" w:styleId="48">
    <w:name w:val="纯文本1"/>
    <w:basedOn w:val="1"/>
    <w:qFormat/>
    <w:uiPriority w:val="99"/>
    <w:pPr>
      <w:adjustRightInd w:val="0"/>
    </w:pPr>
    <w:rPr>
      <w:rFonts w:ascii="宋体" w:hAnsi="宋体" w:eastAsia="楷体_GB2312" w:cs="宋体"/>
      <w:sz w:val="28"/>
      <w:szCs w:val="28"/>
    </w:rPr>
  </w:style>
  <w:style w:type="paragraph" w:customStyle="1" w:styleId="49">
    <w:name w:val="列出段落1"/>
    <w:basedOn w:val="1"/>
    <w:qFormat/>
    <w:uiPriority w:val="99"/>
    <w:pPr>
      <w:ind w:firstLine="200" w:firstLineChars="200"/>
    </w:pPr>
  </w:style>
  <w:style w:type="paragraph" w:customStyle="1" w:styleId="50">
    <w:name w:val="black1"/>
    <w:basedOn w:val="1"/>
    <w:qFormat/>
    <w:uiPriority w:val="99"/>
    <w:pPr>
      <w:widowControl/>
      <w:spacing w:before="100" w:beforeAutospacing="1" w:after="100" w:afterAutospacing="1"/>
      <w:jc w:val="left"/>
    </w:pPr>
    <w:rPr>
      <w:rFonts w:ascii="宋体" w:cs="宋体"/>
      <w:kern w:val="0"/>
      <w:sz w:val="24"/>
      <w:szCs w:val="24"/>
    </w:rPr>
  </w:style>
  <w:style w:type="paragraph" w:customStyle="1" w:styleId="51">
    <w:name w:val="正文缩进2格"/>
    <w:basedOn w:val="1"/>
    <w:link w:val="55"/>
    <w:qFormat/>
    <w:uiPriority w:val="99"/>
    <w:pPr>
      <w:spacing w:line="600" w:lineRule="exact"/>
      <w:ind w:firstLine="206" w:firstLineChars="206"/>
    </w:pPr>
    <w:rPr>
      <w:rFonts w:ascii="仿宋_GB2312" w:eastAsia="仿宋_GB2312"/>
      <w:sz w:val="28"/>
      <w:szCs w:val="28"/>
    </w:rPr>
  </w:style>
  <w:style w:type="paragraph" w:customStyle="1" w:styleId="52">
    <w:name w:val="正文缩进1"/>
    <w:basedOn w:val="1"/>
    <w:qFormat/>
    <w:uiPriority w:val="99"/>
    <w:pPr>
      <w:autoSpaceDE w:val="0"/>
      <w:autoSpaceDN w:val="0"/>
      <w:adjustRightInd w:val="0"/>
      <w:ind w:firstLine="420"/>
      <w:jc w:val="left"/>
    </w:pPr>
    <w:rPr>
      <w:rFonts w:ascii="宋体" w:hAnsi="Calibri" w:cs="宋体"/>
      <w:sz w:val="24"/>
      <w:szCs w:val="24"/>
    </w:rPr>
  </w:style>
  <w:style w:type="paragraph" w:customStyle="1" w:styleId="53">
    <w:name w:val="索引 11"/>
    <w:basedOn w:val="1"/>
    <w:next w:val="1"/>
    <w:qFormat/>
    <w:uiPriority w:val="99"/>
    <w:pPr>
      <w:spacing w:line="360" w:lineRule="auto"/>
    </w:pPr>
    <w:rPr>
      <w:rFonts w:ascii="仿宋_GB2312" w:eastAsia="仿宋_GB2312" w:cs="仿宋_GB2312"/>
      <w:sz w:val="24"/>
      <w:szCs w:val="24"/>
    </w:rPr>
  </w:style>
  <w:style w:type="paragraph" w:styleId="54">
    <w:name w:val="List Paragraph"/>
    <w:basedOn w:val="1"/>
    <w:qFormat/>
    <w:uiPriority w:val="99"/>
    <w:pPr>
      <w:ind w:firstLine="420" w:firstLineChars="200"/>
    </w:pPr>
  </w:style>
  <w:style w:type="character" w:customStyle="1" w:styleId="55">
    <w:name w:val="正文缩进2格 Char Char"/>
    <w:link w:val="51"/>
    <w:qFormat/>
    <w:locked/>
    <w:uiPriority w:val="99"/>
    <w:rPr>
      <w:rFonts w:ascii="仿宋_GB2312" w:eastAsia="仿宋_GB2312" w:cs="仿宋_GB2312"/>
      <w:kern w:val="2"/>
      <w:sz w:val="28"/>
      <w:szCs w:val="28"/>
    </w:rPr>
  </w:style>
  <w:style w:type="character" w:customStyle="1" w:styleId="56">
    <w:name w:val="正文文本 2 Char"/>
    <w:basedOn w:val="25"/>
    <w:qFormat/>
    <w:uiPriority w:val="99"/>
    <w:rPr>
      <w:kern w:val="2"/>
      <w:sz w:val="24"/>
      <w:szCs w:val="24"/>
    </w:rPr>
  </w:style>
  <w:style w:type="paragraph" w:customStyle="1" w:styleId="57">
    <w:name w:val="金保标题正文"/>
    <w:qFormat/>
    <w:uiPriority w:val="99"/>
    <w:pPr>
      <w:spacing w:line="360" w:lineRule="auto"/>
      <w:ind w:firstLine="200" w:firstLineChars="200"/>
    </w:pPr>
    <w:rPr>
      <w:rFonts w:ascii="Calibri" w:hAnsi="Calibri" w:eastAsia="宋体" w:cs="Calibri"/>
      <w:kern w:val="2"/>
      <w:sz w:val="24"/>
      <w:szCs w:val="24"/>
      <w:lang w:val="en-US" w:eastAsia="zh-CN" w:bidi="ar-SA"/>
    </w:rPr>
  </w:style>
  <w:style w:type="paragraph" w:customStyle="1" w:styleId="58">
    <w:name w:val="my正文"/>
    <w:basedOn w:val="9"/>
    <w:qFormat/>
    <w:uiPriority w:val="0"/>
    <w:pPr>
      <w:spacing w:after="0" w:line="360" w:lineRule="auto"/>
      <w:ind w:left="0" w:leftChars="0" w:firstLine="540" w:firstLineChars="225"/>
    </w:pPr>
    <w:rPr>
      <w:rFonts w:ascii="宋体" w:hAnsi="宋体" w:cs="宋体"/>
      <w:kern w:val="0"/>
      <w:sz w:val="24"/>
      <w:szCs w:val="24"/>
    </w:rPr>
  </w:style>
  <w:style w:type="paragraph" w:customStyle="1" w:styleId="59">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0">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1">
    <w:name w:val="副标题 Char1"/>
    <w:qFormat/>
    <w:uiPriority w:val="0"/>
    <w:rPr>
      <w:rFonts w:ascii="Cambria" w:hAnsi="Cambria"/>
      <w:b/>
      <w:bCs/>
      <w:kern w:val="28"/>
      <w:sz w:val="32"/>
      <w:szCs w:val="32"/>
    </w:rPr>
  </w:style>
  <w:style w:type="character" w:customStyle="1" w:styleId="62">
    <w:name w:val="副标题 Char"/>
    <w:basedOn w:val="25"/>
    <w:link w:val="15"/>
    <w:qFormat/>
    <w:uiPriority w:val="0"/>
    <w:rPr>
      <w:rFonts w:ascii="Cambria" w:hAnsi="Cambria" w:cs="Times New Roman"/>
      <w:b/>
      <w:bCs/>
      <w:kern w:val="28"/>
      <w:sz w:val="32"/>
      <w:szCs w:val="32"/>
    </w:rPr>
  </w:style>
  <w:style w:type="paragraph" w:customStyle="1" w:styleId="63">
    <w:name w:val="样式11"/>
    <w:basedOn w:val="1"/>
    <w:qFormat/>
    <w:uiPriority w:val="0"/>
    <w:pPr>
      <w:numPr>
        <w:ilvl w:val="0"/>
        <w:numId w:val="1"/>
      </w:numPr>
      <w:adjustRightInd w:val="0"/>
      <w:snapToGrid w:val="0"/>
      <w:spacing w:line="440" w:lineRule="exact"/>
      <w:outlineLvl w:val="2"/>
    </w:pPr>
    <w:rPr>
      <w:rFonts w:ascii="仿宋_GB2312" w:hAnsi="宋体" w:eastAsia="仿宋_GB2312"/>
      <w:color w:val="FF0000"/>
      <w:sz w:val="28"/>
      <w:szCs w:val="28"/>
    </w:rPr>
  </w:style>
  <w:style w:type="character" w:customStyle="1" w:styleId="64">
    <w:name w:val="正文文本 Char"/>
    <w:basedOn w:val="25"/>
    <w:link w:val="8"/>
    <w:qFormat/>
    <w:uiPriority w:val="99"/>
    <w:rPr>
      <w:kern w:val="2"/>
      <w:sz w:val="21"/>
      <w:szCs w:val="21"/>
    </w:rPr>
  </w:style>
  <w:style w:type="table" w:customStyle="1" w:styleId="65">
    <w:name w:val="Table Normal"/>
    <w:semiHidden/>
    <w:unhideWhenUsed/>
    <w:qFormat/>
    <w:uiPriority w:val="0"/>
    <w:tblPr>
      <w:tblCellMar>
        <w:top w:w="0" w:type="dxa"/>
        <w:left w:w="0" w:type="dxa"/>
        <w:bottom w:w="0" w:type="dxa"/>
        <w:right w:w="0" w:type="dxa"/>
      </w:tblCellMar>
    </w:tblPr>
  </w:style>
  <w:style w:type="paragraph" w:customStyle="1" w:styleId="66">
    <w:name w:val="Table Text"/>
    <w:basedOn w:val="1"/>
    <w:semiHidden/>
    <w:qFormat/>
    <w:uiPriority w:val="0"/>
    <w:rPr>
      <w:rFonts w:eastAsia="Times New Roman"/>
      <w:sz w:val="18"/>
      <w:szCs w:val="18"/>
    </w:rPr>
  </w:style>
  <w:style w:type="character" w:customStyle="1" w:styleId="67">
    <w:name w:val="NormalCharacter"/>
    <w:semiHidden/>
    <w:qFormat/>
    <w:uiPriority w:val="0"/>
    <w:rPr>
      <w:kern w:val="2"/>
      <w:sz w:val="21"/>
      <w:szCs w:val="24"/>
      <w:lang w:val="en-US" w:eastAsia="zh-CN" w:bidi="ar-SA"/>
    </w:rPr>
  </w:style>
  <w:style w:type="table" w:customStyle="1" w:styleId="68">
    <w:name w:val="网格型1"/>
    <w:basedOn w:val="23"/>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
    <w:name w:val="网格型2"/>
    <w:basedOn w:val="23"/>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0">
    <w:name w:val="Body text|1"/>
    <w:basedOn w:val="1"/>
    <w:qFormat/>
    <w:uiPriority w:val="0"/>
    <w:pPr>
      <w:spacing w:line="432" w:lineRule="auto"/>
    </w:pPr>
    <w:rPr>
      <w:rFonts w:ascii="宋体" w:hAnsi="宋体" w:cs="宋体"/>
      <w:sz w:val="22"/>
      <w:szCs w:val="22"/>
      <w:lang w:val="zh-TW" w:eastAsia="zh-TW" w:bidi="zh-TW"/>
    </w:rPr>
  </w:style>
  <w:style w:type="table" w:customStyle="1" w:styleId="71">
    <w:name w:val="网格型3"/>
    <w:basedOn w:val="23"/>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
    <w:name w:val="网格型4"/>
    <w:basedOn w:val="23"/>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28EA29-48E2-4264-8A54-73A24C2FD3C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13954</Words>
  <Characters>14431</Characters>
  <Lines>207</Lines>
  <Paragraphs>58</Paragraphs>
  <TotalTime>3</TotalTime>
  <ScaleCrop>false</ScaleCrop>
  <LinksUpToDate>false</LinksUpToDate>
  <CharactersWithSpaces>14710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2023-03-09T01:27:00Z</dcterms:created>
  <dc:creator>微软用户</dc:creator>
  <cp:lastModifiedBy>Z.</cp:lastModifiedBy>
  <cp:lastPrinted>2024-09-29T01:19:00Z</cp:lastPrinted>
  <dcterms:modified xsi:type="dcterms:W3CDTF">2025-08-28T07:28:34Z</dcterms:modified>
  <dc:title>通州区2012年度校安工程</dc:title>
  <cp:revision>990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B24C2F222AA14097ABF2B1A72ED8D69D_13</vt:lpwstr>
  </property>
  <property fmtid="{D5CDD505-2E9C-101B-9397-08002B2CF9AE}" pid="4" name="KSOTemplateDocerSaveRecord">
    <vt:lpwstr>eyJoZGlkIjoiNjJhZjVhZDUxMTc0ZTE1OGNjMjJjZmZkMTM4MDQwMjQiLCJ1c2VySWQiOiI2ODg0MTg4MjEifQ==</vt:lpwstr>
  </property>
</Properties>
</file>